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August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001-40656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81-3789973</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171 Oyster Point Boulevard, 5th Floor</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825-6990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TNYA</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August 10, 2022, Tenaya Therapeutics, Inc. (the “Company”) entered into a Sales Agreement (the “Sales Agreement”) with SVB Securities LLC (“SVB Securities”) to sell shares of the Company’s common stock, par value $0.0001 per share (the “Common Stock”), having aggregate sales proceeds of up to $75,000,000, from time to time, through an “at the market offering” program under which SVB Securities will act as sales agent.</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Sales Agreement, the Company will set the parameters for the sale of shares, including the number or dollar value of shares to be issued, the time period during which sales are requested to be made, limitations on the number of shares that may be sold in any one trading day and any minimum price below which sales may not be made. Subject to the terms and conditions of the Sales Agreement, SVB Securities may sell the shares by methods deemed to be an “at the market offering” as defined in Rule 415 promulgated under the Securities Act of 1933, as amended. SVB Securities agreed to use commercially reasonable efforts in conducting such sales activities consistent with its normal trading and sales practices, applicable state and federal laws, rules and regulations and the rules of The Nasdaq Global Select Market LLC. The Sales Agreement may be terminated by the Company upon ten days’ notice to SVB Securities for any reason or by SVB Securities upon ten days’ notice to the Company for any reason, or immediately under certain circumstances, including but not limited to the occurrence of a material adverse change in the Company.</w:t>
      </w:r>
    </w:p>
    <w:p>
      <w:pPr>
        <w:spacing w:after="0" w:line="19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Sales Agreement provides that SVB Securities will be entitled to compensation for its services in an amount equal to 3.0% of the gross proceeds of all shares of Common Stock sold through SVB Securities under the Sales Agreement. The Company has no obligation to sell any shares under the Sales Agreement and may at any time suspend solicitation and offers under the Sales Agreement.</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shares will be issued pursuant to the Company’s shelf registration statement on Form S-3, including the prospectus supplement contained therein, filed with the Securities and Exchange Commission (the “SEC”) on August 10, 2022 (the “Registration Statement”), once the Registration Statement is declared effective by the SEC.</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Sales Agreement is not complete and is qualified in its entirety by reference to the full text of such agreement, a copy of which is filed herewith as Exhibit 1.1 to this Current Report on Form 8-K and is incorporated herein by reference.</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Current Report shall not constitute an offer to sell or the solicitation of an offer to buy the securities discussed herein, nor shall there be any sale of such securities in any state or jurisdiction in which such offer, solicitation or sale would be unlawful prior to registration or qualification under the securities laws of any such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800" w:type="dxa"/>
            <w:vAlign w:val="bottom"/>
          </w:tcPr>
          <w:p>
            <w:pPr>
              <w:spacing w:after="0"/>
              <w:rPr>
                <w:sz w:val="13"/>
                <w:szCs w:val="13"/>
                <w:color w:val="auto"/>
              </w:rPr>
            </w:pPr>
          </w:p>
        </w:tc>
      </w:tr>
      <w:tr>
        <w:trPr>
          <w:trHeight w:val="204"/>
        </w:trPr>
        <w:tc>
          <w:tcPr>
            <w:tcW w:w="880" w:type="dxa"/>
            <w:vAlign w:val="bottom"/>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No.</w:t>
            </w:r>
          </w:p>
        </w:tc>
        <w:tc>
          <w:tcPr>
            <w:tcW w:w="7800" w:type="dxa"/>
            <w:vAlign w:val="bottom"/>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78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Sales Agreement, dated as of August 10, 2022, between Tenaya Therapeutics, Inc. and SVB Securities LLC.</w:t>
            </w: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00"/>
          </w:cols>
          <w:pgMar w:left="440" w:top="293"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August 10, 2022</w:t>
      </w:r>
      <w:r>
        <w:rPr>
          <w:sz w:val="20"/>
          <w:szCs w:val="20"/>
          <w:color w:val="auto"/>
        </w:rPr>
        <w:tab/>
      </w:r>
      <w:r>
        <w:rPr>
          <w:rFonts w:ascii="Times New Roman" w:cs="Times New Roman" w:eastAsia="Times New Roman" w:hAnsi="Times New Roman"/>
          <w:sz w:val="18"/>
          <w:szCs w:val="18"/>
          <w:color w:val="auto"/>
        </w:rPr>
        <w:t>By:</w:t>
        <w:tab/>
        <w:t>/s/ 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Leone D. Patterson, M.B.A.</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and Business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($0.0001 par value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29"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color w:val="auto"/>
        </w:rPr>
        <w:t>August 10,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SECURITIES LLC</w:t>
      </w:r>
    </w:p>
    <w:p>
      <w:pPr>
        <w:spacing w:after="0" w:line="196" w:lineRule="auto"/>
        <w:rPr>
          <w:sz w:val="20"/>
          <w:szCs w:val="20"/>
          <w:color w:val="auto"/>
        </w:rPr>
      </w:pPr>
      <w:r>
        <w:rPr>
          <w:rFonts w:ascii="Times New Roman" w:cs="Times New Roman" w:eastAsia="Times New Roman" w:hAnsi="Times New Roman"/>
          <w:sz w:val="18"/>
          <w:szCs w:val="18"/>
          <w:color w:val="auto"/>
        </w:rPr>
        <w:t>1301 Avenue of the Americas,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color w:val="auto"/>
        </w:rPr>
        <w:t>Tenaya Therapeutics,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with SVB Securities LLC (the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as follows:</w:t>
      </w:r>
    </w:p>
    <w:p>
      <w:pPr>
        <w:spacing w:after="0" w:line="159" w:lineRule="exact"/>
        <w:rPr>
          <w:sz w:val="20"/>
          <w:szCs w:val="20"/>
          <w:color w:val="auto"/>
        </w:rPr>
      </w:pPr>
    </w:p>
    <w:p>
      <w:pPr>
        <w:ind w:right="140" w:firstLine="436"/>
        <w:spacing w:after="0" w:line="254"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issue and sell through the Agent up to $75,000,000 of shares of common stock, $0.0001 par value per share, of the Company (the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subject to the limitations set forth in Section 5(c) (the “</w:t>
      </w:r>
      <w:r>
        <w:rPr>
          <w:rFonts w:ascii="Times New Roman" w:cs="Times New Roman" w:eastAsia="Times New Roman" w:hAnsi="Times New Roman"/>
          <w:sz w:val="18"/>
          <w:szCs w:val="18"/>
          <w:b w:val="1"/>
          <w:bCs w:val="1"/>
          <w:u w:val="single" w:color="auto"/>
          <w:color w:val="auto"/>
        </w:rPr>
        <w:t>Placement Shares</w:t>
      </w:r>
      <w:r>
        <w:rPr>
          <w:rFonts w:ascii="Times New Roman" w:cs="Times New Roman" w:eastAsia="Times New Roman" w:hAnsi="Times New Roman"/>
          <w:sz w:val="18"/>
          <w:szCs w:val="18"/>
          <w:color w:val="auto"/>
        </w:rPr>
        <w:t>”). Notwithstanding anything to the contrary contained herein, the parties hereto agree that compliance with the limitation set forth in this Section 1 on the aggregate gross sales price of Placement Shares that may be issued and sold under this Agreement from time to time shall be the sole responsibility of the Company, and that the Agent shall have no obligation in connection with such compliance. The issuance and sale of Placement Shares through the Agent will be effected pursuant to the Registration Statement (as defined below) to be filed by the Company with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on the date hereof and to be declared effective by the Commission, although nothing in this Agreement shall be construed as requiring the Company to issue any Placement Shares.</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has prepared and will file, in accordance with the provisions of the Securities Act of 1933, as amended, and the rules and regulations thereunder (collectively,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with the Commission a registration statement on Form S-3, including (a)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and (b) a prospectus supplement specifically relating to the Placement Shares to be issued from time to time pursuant to this Agreement (the “</w:t>
      </w:r>
      <w:r>
        <w:rPr>
          <w:rFonts w:ascii="Times New Roman" w:cs="Times New Roman" w:eastAsia="Times New Roman" w:hAnsi="Times New Roman"/>
          <w:sz w:val="18"/>
          <w:szCs w:val="18"/>
          <w:b w:val="1"/>
          <w:bCs w:val="1"/>
          <w:u w:val="single" w:color="auto"/>
          <w:color w:val="auto"/>
        </w:rPr>
        <w:t>Prospectus Supplement</w:t>
      </w:r>
      <w:r>
        <w:rPr>
          <w:rFonts w:ascii="Times New Roman" w:cs="Times New Roman" w:eastAsia="Times New Roman" w:hAnsi="Times New Roman"/>
          <w:sz w:val="18"/>
          <w:szCs w:val="18"/>
          <w:color w:val="auto"/>
        </w:rPr>
        <w:t>”) to the base prospectus included as part of such registration statement. The Company will furnish to the Agent, for use by the Agent, copies of the base prospectus included as part of such registration statement at the time it becomes effective, as supplemented by the Prospectus Supplement. Except where the context otherwise requires, such registration statement,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Rule 462(b) under the Securities Act, is herein called the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The base prospectus, including all</w:t>
      </w:r>
    </w:p>
    <w:p>
      <w:pPr>
        <w:sectPr>
          <w:pgSz w:w="11900" w:h="16838" w:orient="portrait"/>
          <w:cols w:equalWidth="0" w:num="1">
            <w:col w:w="11020"/>
          </w:cols>
          <w:pgMar w:left="440" w:top="117" w:right="439" w:bottom="1440" w:gutter="0" w:footer="0" w:header="0"/>
        </w:sectPr>
      </w:pPr>
    </w:p>
    <w:bookmarkStart w:id="4" w:name="page5"/>
    <w:bookmarkEnd w:id="4"/>
    <w:p>
      <w:pPr>
        <w:ind w:right="2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used herein, as defined in Rule 433 under the Securities Act (“</w:t>
      </w:r>
      <w:r>
        <w:rPr>
          <w:rFonts w:ascii="Times New Roman" w:cs="Times New Roman" w:eastAsia="Times New Roman" w:hAnsi="Times New Roman"/>
          <w:sz w:val="18"/>
          <w:szCs w:val="18"/>
          <w:b w:val="1"/>
          <w:bCs w:val="1"/>
          <w:u w:val="single" w:color="auto"/>
          <w:color w:val="auto"/>
        </w:rPr>
        <w:t>Rule 433</w:t>
      </w:r>
      <w:r>
        <w:rPr>
          <w:rFonts w:ascii="Times New Roman" w:cs="Times New Roman" w:eastAsia="Times New Roman" w:hAnsi="Times New Roman"/>
          <w:sz w:val="18"/>
          <w:szCs w:val="18"/>
          <w:color w:val="auto"/>
        </w:rPr>
        <w:t>”)), relating to the Placement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Any reference herein to the Registration Statement, the Prospectus Supplement, the Prospectus or any issuer free writing prospectus shall be deemed to refer to and include the documents, if any, that are or are deemed to be incorporated by reference therein (the “</w:t>
      </w:r>
      <w:r>
        <w:rPr>
          <w:rFonts w:ascii="Times New Roman" w:cs="Times New Roman" w:eastAsia="Times New Roman" w:hAnsi="Times New Roman"/>
          <w:sz w:val="18"/>
          <w:szCs w:val="18"/>
          <w:b w:val="1"/>
          <w:bCs w:val="1"/>
          <w:u w:val="single" w:color="auto"/>
          <w:color w:val="auto"/>
        </w:rPr>
        <w:t>Incorporated Documents</w:t>
      </w:r>
      <w:r>
        <w:rPr>
          <w:rFonts w:ascii="Times New Roman" w:cs="Times New Roman" w:eastAsia="Times New Roman" w:hAnsi="Times New Roman"/>
          <w:sz w:val="18"/>
          <w:szCs w:val="18"/>
          <w:color w:val="auto"/>
        </w:rPr>
        <w:t>”), including, unless the context otherwise requires, the documents, if any, filed as exhibits to such Incorporated Documents. Any reference herein to the terms “amend,” “amendment” or “supplement” with respect to the Registration Statement, the Prospectus Supplement, the Prospectus or any issuer free writing prospectus shall be deemed to refer to and include the filing of any document under the Exchange Act on or after the most-recent effective date of the Registration Statement, or the respective dates of the Prospectus Supplement, Prospectus or such issuer free writing prospectus, as the case may be, and incorporated therein by reference. For purposes of this Agreement, all references to the Registration Statement, the Prospectus or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firstLine="436"/>
        <w:spacing w:after="0" w:line="25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 Each time that the Company wishes to issue and sell any Placement Shares through the Agent hereunder (each, a “</w:t>
      </w:r>
      <w:r>
        <w:rPr>
          <w:rFonts w:ascii="Times New Roman" w:cs="Times New Roman" w:eastAsia="Times New Roman" w:hAnsi="Times New Roman"/>
          <w:sz w:val="18"/>
          <w:szCs w:val="18"/>
          <w:b w:val="1"/>
          <w:bCs w:val="1"/>
          <w:u w:val="single" w:color="auto"/>
          <w:color w:val="auto"/>
        </w:rPr>
        <w:t>Placement</w:t>
      </w:r>
      <w:r>
        <w:rPr>
          <w:rFonts w:ascii="Times New Roman" w:cs="Times New Roman" w:eastAsia="Times New Roman" w:hAnsi="Times New Roman"/>
          <w:sz w:val="18"/>
          <w:szCs w:val="18"/>
          <w:color w:val="auto"/>
        </w:rPr>
        <w:t>”), it will notify the Agent by email notice (or other method mutually agreed to in writing by the parties) (each such notice, a “</w:t>
      </w:r>
      <w:r>
        <w:rPr>
          <w:rFonts w:ascii="Times New Roman" w:cs="Times New Roman" w:eastAsia="Times New Roman" w:hAnsi="Times New Roman"/>
          <w:sz w:val="18"/>
          <w:szCs w:val="18"/>
          <w:b w:val="1"/>
          <w:bCs w:val="1"/>
          <w:u w:val="single" w:color="auto"/>
          <w:color w:val="auto"/>
        </w:rPr>
        <w:t>Placement Notice</w:t>
      </w:r>
      <w:r>
        <w:rPr>
          <w:rFonts w:ascii="Times New Roman" w:cs="Times New Roman" w:eastAsia="Times New Roman" w:hAnsi="Times New Roman"/>
          <w:sz w:val="18"/>
          <w:szCs w:val="18"/>
          <w:color w:val="auto"/>
        </w:rPr>
        <w:t xml:space="preserve">”) containing the parameters in accordance with which it desires such Placement Shares to be sold, which at a minimum shall include the maximum number or amount of Placement Shares to be sold, the time period during which sales are requested to be made, any limitation on the number or amount of Placement Shares that may be sold in any one Trading Day (as defined in Section 3) and any minimum price below which sales may not be made, a form of which containing such minimum sales parameters is attached hereto as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The Placement Notice must originate from one of the individuals authorized to act on behalf of the Company and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(with a copy to each of the other individuals from the Company listed on such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and shall be addressed to each of the recipients from the Agent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may be updated by either party from time to time by sending a written notice containing a revised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to the other party in the manner provided in Section 12 (including by email correspondence to each of the individuals of the Company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if receipt of such correspondence is actually acknowledged by any of the individuals to whom the notice is sent, other than via auto-reply). The Placement Notice shall be effective upon receipt by the Agent unless and until (i) in accordance with the notice requirements set forth in Section 4, the Agent declines to accept the terms contained therein for any reason, in its sole discretion, within two Trading Days of the date the Agent receives the Placement Notice, (ii) in accordance with the notice requirements set forth in Section 4, the Agent suspends sales under the Placement Notice for any reason in its sole discretion, (iii) the entire amount of the Placement Shares has been sold pursuant to this Agreement, (iv) in accordance with the notice requirements set forth in Section 4, the Company suspends sales under or terminates the Placement Notice for any reason in its sole discretion, (v) the Company issues a subsequent Placement Notice and explicitly indicates that its parameters supersede those contained in the earlier dated Placement Notice or (vi) this Agreement has been terminated pursuant to the provisions of Section 11. The amount of any discount, commission or other compensation to be paid by the Company to the Agent in connection with the sale of the Placement Shares effected through the Agent shall be calculated in accordance with the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ind w:left="4" w:right="2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terms set forth in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with respect to the matters covered thereby.</w:t>
      </w:r>
    </w:p>
    <w:p>
      <w:pPr>
        <w:spacing w:after="0" w:line="183" w:lineRule="exact"/>
        <w:rPr>
          <w:sz w:val="20"/>
          <w:szCs w:val="20"/>
          <w:color w:val="auto"/>
        </w:rPr>
      </w:pPr>
    </w:p>
    <w:p>
      <w:pPr>
        <w:ind w:left="4" w:firstLine="436"/>
        <w:spacing w:after="0" w:line="251" w:lineRule="auto"/>
        <w:tabs>
          <w:tab w:leader="none" w:pos="6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 by the Agent</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 including Section 5(c), upon the Agent’s acceptance of the terms of a Placement Notice as provided in Section 2,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Nasdaq Global Select Market (“</w:t>
      </w:r>
      <w:r>
        <w:rPr>
          <w:rFonts w:ascii="Times New Roman" w:cs="Times New Roman" w:eastAsia="Times New Roman" w:hAnsi="Times New Roman"/>
          <w:sz w:val="18"/>
          <w:szCs w:val="18"/>
          <w:b w:val="1"/>
          <w:bCs w:val="1"/>
          <w:u w:val="single" w:color="auto"/>
          <w:color w:val="auto"/>
        </w:rPr>
        <w:t>Nasdaq</w:t>
      </w:r>
      <w:r>
        <w:rPr>
          <w:rFonts w:ascii="Times New Roman" w:cs="Times New Roman" w:eastAsia="Times New Roman" w:hAnsi="Times New Roman"/>
          <w:sz w:val="18"/>
          <w:szCs w:val="18"/>
          <w:color w:val="auto"/>
        </w:rPr>
        <w:t xml:space="preserve">”) to sell such Placement Shares up to the number or amount specified in, and otherwise in accordance with the terms of, such Placement Notice. The Agent will provide written confirmation to the Company (including by email correspondence to each of the individuals of the Company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or amount of Placement Shares sold on such Trading Day, the volume-weighted average price of the Placement Shares sold and the Net Proceeds (as defined below) payable to the Company. Unless otherwise specified by the Company in a Placement Notice, the Agent may sell Placement Shares by any method permitted by law deemed to be an “at the market offering” as defined in Rule 415 of the Securities Act, including sales made directly on or through Nasdaq, on or through any other existing trading market for the Common Stock or to or through a market maker. If expressly authorized by the Company (including in a Placement Notice), the Agent may also sell Placement Shares in negotiated transactions. Notwithstanding the provisions of Section 6(tt), except as may be otherwise agreed by the Company and the Agent, the Agent shall not purchase Placement Shares on a principal basis pursuant to this Agreement unless the Company and the Agent enter into a separate written agreement setting forth the terms of such sale.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state and federal laws, rules and regulations and the rules of Nasdaq to sell such Placement Shares as required under this Agreement and</w:t>
      </w:r>
    </w:p>
    <w:p>
      <w:pPr>
        <w:spacing w:after="0" w:line="8" w:lineRule="exact"/>
        <w:rPr>
          <w:rFonts w:ascii="Times New Roman" w:cs="Times New Roman" w:eastAsia="Times New Roman" w:hAnsi="Times New Roman"/>
          <w:sz w:val="18"/>
          <w:szCs w:val="18"/>
          <w:color w:val="auto"/>
        </w:rPr>
      </w:pPr>
    </w:p>
    <w:p>
      <w:pPr>
        <w:ind w:left="4" w:right="80" w:hanging="4"/>
        <w:spacing w:after="0" w:line="255" w:lineRule="auto"/>
        <w:tabs>
          <w:tab w:leader="none" w:pos="3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be under no obligation to purchase Placement Shares on a principal basis pursuant to this Agreement unless the Company and the Agent enter into a separate written agreement setting forth the terms of such sale. For the purposes hereof,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any day on which the Common Stock is purchased and sold on Nasdaq.</w:t>
      </w:r>
    </w:p>
    <w:p>
      <w:pPr>
        <w:spacing w:after="0" w:line="185"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36"/>
        <w:spacing w:after="0" w:line="254" w:lineRule="auto"/>
        <w:tabs>
          <w:tab w:leader="none" w:pos="68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the Agent may, upon notice to the other party in writing (including by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suspend any sale of Placement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suspension shall not affect or impair either party’s obligations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to any Placement Shares sold hereunder prior to the receipt of such notice. Each of the parties agrees that no such notice under this Section 4 shall be effective against the other party unless notice is sent by one of the individuals named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hereto to the other party in writing (including by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if receipt of such correspondence is actually acknowledged by any of the individuals to whom the notice is sent, other than via auto-reply).</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66" w:right="479" w:bottom="1440" w:gutter="0" w:footer="0" w:header="0"/>
        </w:sectPr>
      </w:pPr>
    </w:p>
    <w:bookmarkStart w:id="6" w:name="page7"/>
    <w:bookmarkEnd w:id="6"/>
    <w:p>
      <w:pPr>
        <w:ind w:left="4" w:right="160" w:firstLine="436"/>
        <w:spacing w:after="0" w:line="261" w:lineRule="auto"/>
        <w:tabs>
          <w:tab w:leader="none" w:pos="69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 other provision of this Agreement, during any period in which the Company is, or could be deemed to be, in possession of material non-public information, the Company and the Agent agree that (i) no sale of Placement Shares will take place, (ii) the Company shall not request the sale of any Placement Shares and shall cancel any effective Placement Notices instructing the Agent to make any sales and (iii) the Agent shall not be obligated to sell or offer to sell any Placement Shares.</w:t>
      </w:r>
    </w:p>
    <w:p>
      <w:pPr>
        <w:spacing w:after="0" w:line="180" w:lineRule="exact"/>
        <w:rPr>
          <w:sz w:val="20"/>
          <w:szCs w:val="20"/>
          <w:color w:val="auto"/>
        </w:rPr>
      </w:pPr>
    </w:p>
    <w:p>
      <w:pPr>
        <w:ind w:left="624" w:hanging="184"/>
        <w:spacing w:after="0"/>
        <w:tabs>
          <w:tab w:leader="none" w:pos="6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and Delivery of the Placement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69" w:lineRule="auto"/>
        <w:tabs>
          <w:tab w:leader="none" w:pos="689"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 of Placement Shares</w:t>
      </w:r>
      <w:r>
        <w:rPr>
          <w:rFonts w:ascii="Times New Roman" w:cs="Times New Roman" w:eastAsia="Times New Roman" w:hAnsi="Times New Roman"/>
          <w:sz w:val="17"/>
          <w:szCs w:val="17"/>
          <w:color w:val="auto"/>
        </w:rPr>
        <w:t>. Unless otherwise specified in the applicable Placement Notice, settlement for sales of Placement Shares will occur on the second Trading Day (or such earlier day as is industry practice or as is required for regular-way trading) following the date on which such sales are made (each, a “</w:t>
      </w:r>
      <w:r>
        <w:rPr>
          <w:rFonts w:ascii="Times New Roman" w:cs="Times New Roman" w:eastAsia="Times New Roman" w:hAnsi="Times New Roman"/>
          <w:sz w:val="17"/>
          <w:szCs w:val="17"/>
          <w:b w:val="1"/>
          <w:bCs w:val="1"/>
          <w:u w:val="single" w:color="auto"/>
          <w:color w:val="auto"/>
        </w:rPr>
        <w:t>Settlement Date</w:t>
      </w:r>
      <w:r>
        <w:rPr>
          <w:rFonts w:ascii="Times New Roman" w:cs="Times New Roman" w:eastAsia="Times New Roman" w:hAnsi="Times New Roman"/>
          <w:sz w:val="17"/>
          <w:szCs w:val="17"/>
          <w:color w:val="auto"/>
        </w:rPr>
        <w:t>”). The amount of proceeds to be delivered to the Company on a Settlement Date against receipt of the Placement Shares sold (the “</w:t>
      </w:r>
      <w:r>
        <w:rPr>
          <w:rFonts w:ascii="Times New Roman" w:cs="Times New Roman" w:eastAsia="Times New Roman" w:hAnsi="Times New Roman"/>
          <w:sz w:val="17"/>
          <w:szCs w:val="17"/>
          <w:b w:val="1"/>
          <w:bCs w:val="1"/>
          <w:u w:val="single" w:color="auto"/>
          <w:color w:val="auto"/>
        </w:rPr>
        <w:t>Net Proceeds</w:t>
      </w:r>
      <w:r>
        <w:rPr>
          <w:rFonts w:ascii="Times New Roman" w:cs="Times New Roman" w:eastAsia="Times New Roman" w:hAnsi="Times New Roman"/>
          <w:sz w:val="17"/>
          <w:szCs w:val="17"/>
          <w:color w:val="auto"/>
        </w:rPr>
        <w:t>”) will be equal to the aggregate gross sales price received by the Agent at which such Placement Shares were sold, after deduction of (i) the Agent’s commission, discount or other compensation for such sales payable by the Company pursuant to Section 2 hereof,</w:t>
      </w:r>
    </w:p>
    <w:p>
      <w:pPr>
        <w:spacing w:after="0" w:line="2" w:lineRule="exact"/>
        <w:rPr>
          <w:rFonts w:ascii="Times New Roman" w:cs="Times New Roman" w:eastAsia="Times New Roman" w:hAnsi="Times New Roman"/>
          <w:sz w:val="17"/>
          <w:szCs w:val="17"/>
          <w:color w:val="auto"/>
        </w:rPr>
      </w:pPr>
    </w:p>
    <w:p>
      <w:pPr>
        <w:ind w:left="4" w:hanging="4"/>
        <w:spacing w:after="0" w:line="260" w:lineRule="auto"/>
        <w:tabs>
          <w:tab w:leader="none" w:pos="2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amounts due and payable by the Company to the Agent hereunder pursuant to Section 7(g) hereof and (iii) any transaction fees imposed by any governmental or self-regulatory organization in respect of such sales.</w:t>
      </w:r>
    </w:p>
    <w:p>
      <w:pPr>
        <w:spacing w:after="0" w:line="181" w:lineRule="exact"/>
        <w:rPr>
          <w:rFonts w:ascii="Times New Roman" w:cs="Times New Roman" w:eastAsia="Times New Roman" w:hAnsi="Times New Roman"/>
          <w:sz w:val="18"/>
          <w:szCs w:val="18"/>
          <w:color w:val="auto"/>
        </w:rPr>
      </w:pPr>
    </w:p>
    <w:p>
      <w:pPr>
        <w:ind w:left="4" w:right="20" w:firstLine="436"/>
        <w:spacing w:after="0" w:line="252" w:lineRule="auto"/>
        <w:tabs>
          <w:tab w:leader="none" w:pos="69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Shares</w:t>
      </w:r>
      <w:r>
        <w:rPr>
          <w:rFonts w:ascii="Times New Roman" w:cs="Times New Roman" w:eastAsia="Times New Roman" w:hAnsi="Times New Roman"/>
          <w:sz w:val="18"/>
          <w:szCs w:val="18"/>
          <w:color w:val="auto"/>
        </w:rPr>
        <w:t>. On or before each Settlement Date, the Company will issue the Placement Shares being sold on such date and will, or will cause its transfer agent to, electronically transfer such Placement Shares by crediting the Agent’s or its designee’s account (provided the Agent shall have given the Company written notice of such designee prior to the Settlement Date) at The Depository Trust Company through its Deposit and Withdrawal at Custodian System (“</w:t>
      </w:r>
      <w:r>
        <w:rPr>
          <w:rFonts w:ascii="Times New Roman" w:cs="Times New Roman" w:eastAsia="Times New Roman" w:hAnsi="Times New Roman"/>
          <w:sz w:val="18"/>
          <w:szCs w:val="18"/>
          <w:b w:val="1"/>
          <w:bCs w:val="1"/>
          <w:u w:val="single" w:color="auto"/>
          <w:color w:val="auto"/>
        </w:rPr>
        <w:t>DWAC</w:t>
      </w:r>
      <w:r>
        <w:rPr>
          <w:rFonts w:ascii="Times New Roman" w:cs="Times New Roman" w:eastAsia="Times New Roman" w:hAnsi="Times New Roman"/>
          <w:sz w:val="18"/>
          <w:szCs w:val="18"/>
          <w:color w:val="auto"/>
        </w:rPr>
        <w:t>”) or by such other means of delivery as may be mutually agreed upon by the parties hereto, which in all cases shall be duly authorized, freely tradeable, transferable, registered shares of Common Stock in good deliverable form. On each Settlement Date, the Agent will deliver the related Net Proceeds in same day funds to an account designated by the Company on or prior to the Settlement Date. The Agent shall be responsible for providing DWAC instructions or other instructions for delivery by other means with regard to the transfer of the Placement Shares being sold. In addition to and in no way limiting the rights and obligations set forth in Section 9(a) hereto, the Company agrees that if the Company or its transfer agent (if applicable), defaults in its obligation to deliver duly authorized, freely tradeable, transferable, registered Placement Shares in good deliverable form by 2:30 P.M., New York City time, on a Settlement Date (other than as a result of a failure by the Agent to provide instructions for delivery), the Company will (i) take all necessary action to cause the full amount of any Net Proceeds that were delivered to the Company’s account with respect to such settlement, together with any costs incurred by the Agent and/or its clearing firm in connection with recovering such Net Proceeds, to be immediately returned to the Agent or its clearing firm no later than 5:00 P.M., New York City time, on such Settlement Date, by wire transfer of immediately available funds to an account designated by the Agent or its clearing firm, (ii) indemnify and hold the Agent and its clearing firm harmless against any loss, claim, damage, or expense (including reasonable legal fees and expenses), as incurred, arising out of or in connection with such default by the Company or its transfer agent (if applicable) and (iii) pay to the Agent any commission, discount or other compensation to which it would otherwise have been entitled absent such default. Certificates for the Placement Shares, if any, shall be in such denominations and registered in such names as the Agent may request in writing one Business Day (as defined below) before the applicable Settlement Date. Certificates for the Placement Shares, if any, will be made available by the Company for examination and packaging by the Agent in New York City not later than 12:00 P.M., New York City time, on the Business Day prior to the applicable Settlement Date.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7" w:name="page8"/>
    <w:bookmarkEnd w:id="7"/>
    <w:p>
      <w:pPr>
        <w:ind w:firstLine="436"/>
        <w:spacing w:after="0" w:line="268" w:lineRule="auto"/>
        <w:tabs>
          <w:tab w:leader="none" w:pos="68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Limitations on Offering Size</w:t>
      </w:r>
      <w:r>
        <w:rPr>
          <w:rFonts w:ascii="Times New Roman" w:cs="Times New Roman" w:eastAsia="Times New Roman" w:hAnsi="Times New Roman"/>
          <w:sz w:val="17"/>
          <w:szCs w:val="17"/>
          <w:color w:val="auto"/>
        </w:rPr>
        <w:t>. Under no circumstances shall the Company cause or request the offer or sale of any Placement Shares if, after giving effect to the sale of such Placement Shares, the aggregate number or gross sales proceeds of Placement Shares sold pursuant to this Agreement would exceed the lesser of: (i) the number or dollar amount of shares of Common Stock registered pursuant to, and available for offer and sale under, the Registration Statement pursuant to which the offering of Placement Shares is being made, (ii) the number of authorized but unissued shares of Common Stock of the Company (less shares of Common Stock issuable upon exercise, conversion or exchange of any outstanding securities of the Company or otherwise reserved from the Company’s authorized capital stock), (iii) the number or dollar amount of shares of Common Stock permitted to be offered and sold by the Company under Form S-3 (including General Instruction I.B.6. thereof, if such instruction is applicable), (iv) the number or dollar amount of shares of Common Stock that the Company’s board of directors or a duly authorized committee thereof is authorized to issue and sell from time to time, and notified to the Agent in writing, or (v) the dollar amount of shares of Common Stock for which the Company has filed the Prospectus Supplement. Under no circumstances shall the Company cause or request the offer or sale of any Placement Shares pursuant to this Agreement at a price lower than the minimum price authorized from time to time by the Company’s board of directors or a duly authorized committee thereof, and notified to the Agent in writing. Notwithstanding anything to the contrary contained herein, the parties hereto acknowledge and agree that compliance with the limitations set forth in this Section 5(c) on the number or dollar amount of Placement Shares that may be issued and sold under this Agreement from time to time shall be the sole responsibility of the Company, and that the Agent shall have no obligation in connection with such compliance.</w:t>
      </w:r>
    </w:p>
    <w:p>
      <w:pPr>
        <w:spacing w:after="0" w:line="184" w:lineRule="exact"/>
        <w:rPr>
          <w:sz w:val="20"/>
          <w:szCs w:val="20"/>
          <w:color w:val="auto"/>
        </w:rPr>
      </w:pPr>
    </w:p>
    <w:p>
      <w:pPr>
        <w:ind w:right="40" w:firstLine="436"/>
        <w:spacing w:after="0" w:line="258"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the Agent that as of the date of this Agreement (except for those representations, warranties and agreements that speak solely as of a specified date or time, in which case as of such date or time), and as of (i) each Representation Date (as defined in Section 7(m)) for which no waiver is in effect, (ii) each date on which a Placement Notice is given, (iii) the date and time of each sale of any Placement Shares pursuant to this Agreement and (iv) each Settlement Date (each such time or date referred to in clauses (i) through (iv), an “</w:t>
      </w:r>
      <w:r>
        <w:rPr>
          <w:rFonts w:ascii="Times New Roman" w:cs="Times New Roman" w:eastAsia="Times New Roman" w:hAnsi="Times New Roman"/>
          <w:sz w:val="18"/>
          <w:szCs w:val="18"/>
          <w:b w:val="1"/>
          <w:bCs w:val="1"/>
          <w:u w:val="single" w:color="auto"/>
          <w:color w:val="auto"/>
        </w:rPr>
        <w:t>Applicable Time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36"/>
        <w:spacing w:after="0" w:line="252" w:lineRule="auto"/>
        <w:tabs>
          <w:tab w:leader="none" w:pos="6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transactions contemplated by this Agreement meet the requirements for and comply with the conditions for the use of Form S-3 (including General Instructions I.A and I.B.1.) under the Securities Act. The Registration Statement will be filed with the Commission and will be declared effective by the Commission under the Securities Act prior to the issuance of any Placement Notices by the Company. At the time the Registration Statement will become effective, the Company will meet the applicable requirements for use of Form S-3 (including General Instructions I.A and I.B.1.) under the Securities Act. The Registration Statement meets, and the offering and sale of Placement Shares as contemplated hereby comply with, the requirements of Rule 415(a)(1)(x) under the Securities Act. The Agent is named as the agent engaged by the Company in the section entitled “Plan of Distribution” in the Prospectus Supplement. The Company has not received, and has no notice from the Commission of, any notice pursuant to Rule 401(g)(1) under the Securities Act objecting to the use of the shelf registration statement form. No stop order of the Commission preventing or suspending the use of the base prospectus, the Prospectus Supplement or the Prospectus, or the effectiveness of the Registration Statement, has been issued, and no proceedings for such purpose are pending before or, to the knowledge of the Company, threatened by the Commission. At the time of the initial filing of the Registration Statement, the Company will pay the required Commission filing fees relating to the securities covered by the Registration Statement, including the Placement Shares that may be sold pursuant to this Agreement, in accordance with Rule 457(o) under the Securities Act. Copies of the Registration Statement, the Prospectus, any such amendments or supplements to any of the foregoing and all Incorporated Documents that were filed with the Commission on or prior to the date of this Agreement have been delivered, or are available through EDGAR, to the Agent and its counsel.</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8" w:name="page9"/>
    <w:bookmarkEnd w:id="8"/>
    <w:p>
      <w:pPr>
        <w:ind w:left="-20" w:firstLine="436"/>
        <w:spacing w:after="0" w:line="252" w:lineRule="auto"/>
        <w:tabs>
          <w:tab w:leader="none" w:pos="6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Registration Statement and any post-effective amendment thereto, at the time it became or becomes effective, at each deemed effective date with respect to the Agent pursuant to Rule 430B(f)(2) under the Securities Act and as of each Applicable Time, complied, complies and will comply in all material respects with the requirements of the Securities Act and did not, does not and will not contain any untrue statement of a material fact or omit to state a material fact required to be stated therein or necessary to make the statements therein not misleading, except that the representations and warranties set forth in this sentence do not apply to Agent’s Information (as defined below). The Prospectus and any amendment or supplement thereto, when so filed with the Commission under Rule 424(b) under the Securities Act, complied, complies and as of each Applicable Time will comply in all material respects with the requirements of the Securities Act, and each Prospectus Supplement, Prospectus or issuer free writing prospectus (or any amendments or supplements to any of the foregoing) furnished to the Agent for use in connection with the offering of the Placement Shares was identical to the electronically transmitted copies thereof filed with the Commission pursuant to EDGAR, except to the extent permitted by Regulation S-T. Neither the Prospectus nor any amendment or supplement thereto, as of its date and as of each Applicable Time,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sentence do not apply to Agent’s Information. Each Incorporated Document heretofore filed, when it was filed (or, if any amendment with respect to any such document was filed, when such amendment was filed), conformed in all material respects with the requirements of the Exchange Act and were filed on a timely basis with the Commission, and any further Incorporated Documents so filed and incorporated after the date of this Agreement will be filed on a timely basis and, when so filed, will conform in all material respects with the requirements of the Exchange Act; no such Incorporated Document when it was filed (or, if an amendment with respect to any such document was filed, when such amendment was filed), contained an untrue statement of a material fact or omitted to state a material fact required to be stated therein or necessary in order to make the statements therein, in the light of the circumstances under which they were made, not misleading; and no such Incorporated Document, when it is filed, will contain an untrue statement of a material fact or will omit to state a material fact required to be stated therein or necessary in order to make the statements therein, in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ind w:left="-20" w:right="140" w:firstLine="436"/>
        <w:spacing w:after="0" w:line="289" w:lineRule="auto"/>
        <w:tabs>
          <w:tab w:leader="none" w:pos="66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At the time of filing the Registration Statement and (ii) at the time of the execution of this Agreement (with such date being used as the determination date for purposes of this clause (ii)), the Company will not be and was not an “ineligible issuer” (as defined in Rule 405), without taking account of any determination by the Commission pursuant to Rule 405 that it is not necessary that the Company be considered an ineligible issuer.</w:t>
      </w:r>
    </w:p>
    <w:p>
      <w:pPr>
        <w:spacing w:after="0" w:line="153" w:lineRule="exact"/>
        <w:rPr>
          <w:rFonts w:ascii="Times New Roman" w:cs="Times New Roman" w:eastAsia="Times New Roman" w:hAnsi="Times New Roman"/>
          <w:sz w:val="17"/>
          <w:szCs w:val="17"/>
          <w:color w:val="auto"/>
        </w:rPr>
      </w:pPr>
    </w:p>
    <w:p>
      <w:pPr>
        <w:ind w:left="680" w:hanging="264"/>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 “emerging growth company,” as defined in Section 2(a) of the Securities Act (an “</w:t>
      </w:r>
      <w:r>
        <w:rPr>
          <w:rFonts w:ascii="Times New Roman" w:cs="Times New Roman" w:eastAsia="Times New Roman" w:hAnsi="Times New Roman"/>
          <w:sz w:val="18"/>
          <w:szCs w:val="18"/>
          <w:b w:val="1"/>
          <w:bCs w:val="1"/>
          <w:u w:val="single" w:color="auto"/>
          <w:color w:val="auto"/>
        </w:rPr>
        <w:t>Emerging Growth Company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20" w:right="100" w:firstLine="436"/>
        <w:spacing w:after="0" w:line="258" w:lineRule="auto"/>
        <w:tabs>
          <w:tab w:leader="none" w:pos="6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issuer free writing prospectus, as of its issue date and as of each Applicable Time,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Each issuer free writing prospectus that the Company has filed, or is required to file, pursuant to Rule 433 or that was prepared by or on behalf of or used by the Company complies or will comply in all material respects with the requirements of the Securities Act.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60" w:top="270" w:right="459" w:bottom="1440" w:gutter="0" w:footer="0" w:header="0"/>
        </w:sectPr>
      </w:pPr>
    </w:p>
    <w:bookmarkStart w:id="9" w:name="page10"/>
    <w:bookmarkEnd w:id="9"/>
    <w:p>
      <w:pPr>
        <w:ind w:left="-60" w:right="60" w:firstLine="436"/>
        <w:spacing w:after="0" w:line="266" w:lineRule="auto"/>
        <w:tabs>
          <w:tab w:leader="none" w:pos="6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not distributed and, prior to the later to occur of each Settlement Date and completion of the Agent’s distribution of the Placement Shares under this Agreement, will not distribute any offering material in connection with the offering and sale of the Placement Shares other than the Registration Statement, the Prospectus or any Permitted Free Writing Prospectus (as defined below).</w:t>
      </w:r>
    </w:p>
    <w:p>
      <w:pPr>
        <w:spacing w:after="0" w:line="175" w:lineRule="exact"/>
        <w:rPr>
          <w:rFonts w:ascii="Times New Roman" w:cs="Times New Roman" w:eastAsia="Times New Roman" w:hAnsi="Times New Roman"/>
          <w:sz w:val="18"/>
          <w:szCs w:val="18"/>
          <w:color w:val="auto"/>
        </w:rPr>
      </w:pPr>
    </w:p>
    <w:p>
      <w:pPr>
        <w:ind w:left="-60" w:right="180" w:firstLine="436"/>
        <w:spacing w:after="0" w:line="266"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175" w:lineRule="exact"/>
        <w:rPr>
          <w:rFonts w:ascii="Times New Roman" w:cs="Times New Roman" w:eastAsia="Times New Roman" w:hAnsi="Times New Roman"/>
          <w:sz w:val="18"/>
          <w:szCs w:val="18"/>
          <w:color w:val="auto"/>
        </w:rPr>
      </w:pPr>
    </w:p>
    <w:p>
      <w:pPr>
        <w:ind w:left="-60" w:right="80" w:firstLine="436"/>
        <w:spacing w:after="0" w:line="256"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and in compliance in all material respects with the reporting requirements of Section 13 or Section 15(d) of the Exchange Act. The Common Stock is registered pursuant to Section 12(b) of the Exchange Act and is listed on Nasdaq,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The Company is in compliance with the current listing standards of Nasdaq. The Company has filed a Notification of Listing of Additional Shares with Nasdaq with respect to the Placement Shares.</w:t>
      </w:r>
    </w:p>
    <w:p>
      <w:pPr>
        <w:spacing w:after="0" w:line="187" w:lineRule="exact"/>
        <w:rPr>
          <w:rFonts w:ascii="Times New Roman" w:cs="Times New Roman" w:eastAsia="Times New Roman" w:hAnsi="Times New Roman"/>
          <w:sz w:val="18"/>
          <w:szCs w:val="18"/>
          <w:color w:val="auto"/>
        </w:rPr>
      </w:pPr>
    </w:p>
    <w:p>
      <w:pPr>
        <w:ind w:left="-60" w:right="40" w:firstLine="436"/>
        <w:spacing w:after="0" w:line="258" w:lineRule="auto"/>
        <w:tabs>
          <w:tab w:leader="none" w:pos="5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(as such term is defined in Rule 1-02 of Regulation S-X promulgated under the Securities Act) has the right to act as an underwriter or as a financial advisor to the Company in connection with the offer and sale of the Placement Shares hereunder, whether as a result of the filing or effectiveness of the Registration Statement or the sale of the Placement Shares as contemplated hereby or otherwise. Except for the Agent, there is no broker, finder or other party that is entitled to receive from the Company any brokerage or finder’s fee or other fee or commission as a result of any transactions contemplated by this Agreement.</w:t>
      </w:r>
    </w:p>
    <w:p>
      <w:pPr>
        <w:spacing w:after="0" w:line="183" w:lineRule="exact"/>
        <w:rPr>
          <w:rFonts w:ascii="Times New Roman" w:cs="Times New Roman" w:eastAsia="Times New Roman" w:hAnsi="Times New Roman"/>
          <w:sz w:val="18"/>
          <w:szCs w:val="18"/>
          <w:color w:val="auto"/>
        </w:rPr>
      </w:pPr>
    </w:p>
    <w:p>
      <w:pPr>
        <w:ind w:left="-60" w:firstLine="436"/>
        <w:spacing w:after="0" w:line="255" w:lineRule="auto"/>
        <w:tabs>
          <w:tab w:leader="none" w:pos="5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is validly existing as a corporation in good standing under the laws of the State of Delaware, has the corporate power and authority to own or lease its property and to conduct its business as described in each of the Registration Statement,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individually or in the aggregate, have a material adverse effect on the condition (financial or otherwise), earnings, results of operations, business, properties, operations, assets, liabilities or prospects of the Company, whether or not arising from transactions in the ordinary course of business (a “</w:t>
      </w:r>
      <w:r>
        <w:rPr>
          <w:rFonts w:ascii="Times New Roman" w:cs="Times New Roman" w:eastAsia="Times New Roman" w:hAnsi="Times New Roman"/>
          <w:sz w:val="18"/>
          <w:szCs w:val="18"/>
          <w:b w:val="1"/>
          <w:bCs w:val="1"/>
          <w:u w:val="single" w:color="auto"/>
          <w:color w:val="auto"/>
        </w:rPr>
        <w:t>Material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Effect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40" w:hanging="264"/>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subsidiaries as defined under the Securities Act.</w:t>
      </w:r>
    </w:p>
    <w:p>
      <w:pPr>
        <w:spacing w:after="0" w:line="225" w:lineRule="exact"/>
        <w:rPr>
          <w:rFonts w:ascii="Times New Roman" w:cs="Times New Roman" w:eastAsia="Times New Roman" w:hAnsi="Times New Roman"/>
          <w:sz w:val="18"/>
          <w:szCs w:val="18"/>
          <w:color w:val="auto"/>
        </w:rPr>
      </w:pPr>
    </w:p>
    <w:p>
      <w:pPr>
        <w:ind w:left="-60" w:right="60" w:firstLine="436"/>
        <w:spacing w:after="0" w:line="255" w:lineRule="auto"/>
        <w:tabs>
          <w:tab w:leader="none" w:pos="5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authorized and outstanding capitalization as set forth in the Company’s quarterly report on Form 10-Q for the most recent fiscal quarter, as of the dates referred to therein (subject, in each case, to the issuance of Placement Shares under this Agreement, the issuance of shares of Common Stock upon exercise of share options and warrants disclosed as outstanding as of the date hereof in the Registration Statement and the Prospectus and the grant of options under existing share option plans described in the Registration Statement and the Prospectus). The Common Stock conforms in all material respects to the description thereof contained in the Registration Statement and the Prospectus, including under the heading “Description of Capital Stock.” All of the issued and outstanding share capital or other equity or ownership interest of the Company (including the Common Stock) has been duly authorized and validly issued and is fully paid and nonassessable, has been issued 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500" w:top="270" w:right="499" w:bottom="1440" w:gutter="0" w:footer="0" w:header="0"/>
        </w:sectPr>
      </w:pPr>
    </w:p>
    <w:bookmarkStart w:id="10" w:name="page11"/>
    <w:bookmarkEnd w:id="1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all federal, state and local securities laws and is free and clear of any security interest, mortgage, pledge, lien, encumbrance or adverse claim. None of the outstanding shares of capital stock of the Company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subscribe for, or equity or debt securities convertible into or exchangeable or exercisable for, any share capital of the Company or to which the Company is a party or by which it may be bound. The descriptions of the Company’s equity incentive plan, stock option plans and other stock plans or arrangements described in the Prospectus and in effect as of the date hereof (collectively, the “</w:t>
      </w:r>
      <w:r>
        <w:rPr>
          <w:rFonts w:ascii="Times New Roman" w:cs="Times New Roman" w:eastAsia="Times New Roman" w:hAnsi="Times New Roman"/>
          <w:sz w:val="18"/>
          <w:szCs w:val="18"/>
          <w:b w:val="1"/>
          <w:bCs w:val="1"/>
          <w:u w:val="single" w:color="auto"/>
          <w:color w:val="auto"/>
        </w:rPr>
        <w:t>Stock Plans</w:t>
      </w:r>
      <w:r>
        <w:rPr>
          <w:rFonts w:ascii="Times New Roman" w:cs="Times New Roman" w:eastAsia="Times New Roman" w:hAnsi="Times New Roman"/>
          <w:sz w:val="18"/>
          <w:szCs w:val="18"/>
          <w:color w:val="auto"/>
        </w:rPr>
        <w:t>”) and the options or other rights granted thereunder, set forth in the Registration Statement and the Prospectus accurately and fairly present the information required to be shown with respect to such Stock Plans and the options or other rights granted thereunder.</w:t>
      </w:r>
    </w:p>
    <w:p>
      <w:pPr>
        <w:spacing w:after="0" w:line="192" w:lineRule="exact"/>
        <w:rPr>
          <w:sz w:val="20"/>
          <w:szCs w:val="20"/>
          <w:color w:val="auto"/>
        </w:rPr>
      </w:pPr>
    </w:p>
    <w:p>
      <w:pPr>
        <w:ind w:right="140" w:firstLine="436"/>
        <w:spacing w:after="0" w:line="253" w:lineRule="auto"/>
        <w:tabs>
          <w:tab w:leader="none" w:pos="7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Shares have been duly authorized for issuance and sale pursuant to this Agreement and, when issued and delivered by the Company against payment therefor pursuant to this Agreement, will be validly issued, fully paid and nonassessable and will conform in all material respects to the description thereof contained in the Prospectus. The issuance and sale of the Placement Shares as contemplated hereby shall not be subject to any preemptive rights, rights of first refusal or other similar rights to subscribe for or purchase the Placement Shares. When issued and delivered by the Company against payment therefor pursuant to this Agreement, the purchasers of the Placement Shares issued and sold hereunder will acquire good, marketable and valid title to such Placement Shares, free and clear of all pledges, liens, security interests, charges, claims or encumbrances. The issuance and sale of the Placement Shares as contemplated hereby will not cause any holder of any share capital, securities convertible into or exchangeable or exercisable for share capital or options, warrants or other rights to purchase share capital or any other securities of the Company to have any right to acquire any preferred shares of the Company. There are no restrictions upon the voting or transfer of the Common Stock under the Company’s amended and restated certificate of incorporation or amended and restated bylaws or any agreement or other instrument to which the Company is a party or otherwise filed as an exhibit to the Registration Statement.</w:t>
      </w:r>
    </w:p>
    <w:p>
      <w:pPr>
        <w:spacing w:after="0" w:line="191"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or incorporated by reference in the Prospectus, insofar as they purport to constitute summaries of the terms of the contracts, agreements or other documents described and filed, constitute accurate summaries of the terms thereof in all material respects. The statements set forth or incorporated by reference in the Prospectus under the headings “Risk Factors,” “Business—Intellectual Property,” “Business—Government Regulation,” “Legal Proceedings,” and “Description of Capital Stock,” insofar as such statements summarize legal matters, agreements, documents or proceedings discussed therein, are accurate and fair summaries of such legal matters, agreements, documents or proceedings. The Company has not sent or received any communication regarding termination of, or intent not to renew or render performance under, any of the contracts or agreements referred to or described in the Prospectus or any free writing prospectus, or referred to or described in, or filed as an exhibit to, the Registration Statement, or any Incorporated Document, and no such termination or non-renewal has been threatened by the Company or, to the Company’s knowledge, any other party to any such contract or agreement, which threat of termination or non-renewal has not been rescinded as of the date hereof.</w:t>
      </w:r>
    </w:p>
    <w:p>
      <w:pPr>
        <w:spacing w:after="0" w:line="188"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authorized, executed and delivered by the Company and constitutes a valid and legally binding obligation of the Company, enforceable against the Company in accordance with its terms, except as enforceability, including rights of indemnification, may be limited by bankruptcy, insolvency, fraudulent conveyance, reorganization, moratorium and other similar laws relating to or affecting creditors’ rights generally and by general principles of equity. This Agreement conforms in all material respects to the descriptions thereof in the Registration Statement and the Prospectus.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1" w:name="page12"/>
    <w:bookmarkEnd w:id="11"/>
    <w:p>
      <w:pPr>
        <w:ind w:left="4" w:right="360" w:firstLine="436"/>
        <w:spacing w:after="0" w:line="282" w:lineRule="auto"/>
        <w:tabs>
          <w:tab w:leader="none" w:pos="69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is not and, after giving effect to the offering and sale of the Placement Shares and the application of the proceeds thereof as described in the Prospectus, will not be an “investment company” as defined in the Investment Company Act of 1940, as amended.</w:t>
      </w:r>
    </w:p>
    <w:p>
      <w:pPr>
        <w:spacing w:after="0" w:line="161" w:lineRule="exact"/>
        <w:rPr>
          <w:rFonts w:ascii="Times New Roman" w:cs="Times New Roman" w:eastAsia="Times New Roman" w:hAnsi="Times New Roman"/>
          <w:sz w:val="18"/>
          <w:szCs w:val="18"/>
          <w:color w:val="auto"/>
        </w:rPr>
      </w:pPr>
    </w:p>
    <w:p>
      <w:pPr>
        <w:ind w:left="4" w:right="160" w:firstLine="436"/>
        <w:spacing w:after="0" w:line="258" w:lineRule="auto"/>
        <w:tabs>
          <w:tab w:leader="none" w:pos="69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license, permit, qualification, authorization or other order or decree of, or registration or filing with, any court or other governmental, taxing or regulatory authority or agency, is required for the Company’s execution, delivery and performance of this Agreement or consummation of the transactions contemplated hereby or by the Registration Statement and the Prospectus (including the issuance and sale of the Placement Shares hereunder), except such as have been already obtained or made or as may be required under the Securities Act, applicable state securities or Blue Sky laws, applicable rules of Nasdaq, or Rule 5110 of the Financial Industry Regulatory Authority, Inc. (“</w:t>
      </w:r>
      <w:r>
        <w:rPr>
          <w:rFonts w:ascii="Times New Roman" w:cs="Times New Roman" w:eastAsia="Times New Roman" w:hAnsi="Times New Roman"/>
          <w:sz w:val="18"/>
          <w:szCs w:val="18"/>
          <w:b w:val="1"/>
          <w:bCs w:val="1"/>
          <w:u w:val="single" w:color="auto"/>
          <w:color w:val="auto"/>
        </w:rPr>
        <w:t>FINRA</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66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and the performance by the Company of its obligations under, this Agreement will not contravene (i) any provision of applicable law, (ii) the certificate of incorporation or bylaws of the Company, (iii) any agreement or other instrument binding upon the Company that is material to the Company, or (iv) any judgment, order or decree of any governmental body, agency or court having jurisdiction over the Company, except, in the cases of clauses (i), (iii) and (iv), as would not, individually or in the aggregate, reasonably be expected to have a Material Adverse Effect.</w:t>
      </w:r>
    </w:p>
    <w:p>
      <w:pPr>
        <w:spacing w:after="0" w:line="183" w:lineRule="exact"/>
        <w:rPr>
          <w:rFonts w:ascii="Times New Roman" w:cs="Times New Roman" w:eastAsia="Times New Roman" w:hAnsi="Times New Roman"/>
          <w:sz w:val="18"/>
          <w:szCs w:val="18"/>
          <w:color w:val="auto"/>
        </w:rPr>
      </w:pPr>
    </w:p>
    <w:p>
      <w:pPr>
        <w:ind w:left="4" w:firstLine="436"/>
        <w:spacing w:after="0" w:line="254" w:lineRule="auto"/>
        <w:tabs>
          <w:tab w:leader="none" w:pos="67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the Registration Statement and the Prospectus: (i) the Company has not incurred any material liability or obligation, direct or contingent, nor entered into any material transaction; (ii) the Company has not purchased any of its outstanding capital stock, other than from employees or other service providers in connection with such person’s termination of service from the Company pursuant to the existing terms of the agreements or Stock Plans or in exercise of the Company’s right of first refusal upon a proposed transfer, nor declared, paid or otherwise made any dividend or distribution of any kind on its capital stock other than ordinary and customary dividends; and</w:t>
      </w:r>
    </w:p>
    <w:p>
      <w:pPr>
        <w:spacing w:after="0" w:line="3" w:lineRule="exact"/>
        <w:rPr>
          <w:rFonts w:ascii="Times New Roman" w:cs="Times New Roman" w:eastAsia="Times New Roman" w:hAnsi="Times New Roman"/>
          <w:sz w:val="18"/>
          <w:szCs w:val="18"/>
          <w:color w:val="auto"/>
        </w:rPr>
      </w:pPr>
    </w:p>
    <w:p>
      <w:pPr>
        <w:ind w:left="4" w:right="100" w:hanging="4"/>
        <w:spacing w:after="0" w:line="253" w:lineRule="auto"/>
        <w:tabs>
          <w:tab w:leader="none" w:pos="31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any material change in the capital stock (other than the exercise or conversion of equity awards, warrants or convertible notes or loans or grants of equity awards or forfeiture of equity awards outstanding as of such respective dates as of which information is given in each of the Registration Statement and the Prospectus, in each case granted pursuant to Stock Plans), short term debt or long term debt of the Company, except in each case as described in each of the Registration Statement and the Prospectus.</w:t>
      </w:r>
    </w:p>
    <w:p>
      <w:pPr>
        <w:spacing w:after="0" w:line="188" w:lineRule="exact"/>
        <w:rPr>
          <w:rFonts w:ascii="Times New Roman" w:cs="Times New Roman" w:eastAsia="Times New Roman" w:hAnsi="Times New Roman"/>
          <w:sz w:val="18"/>
          <w:szCs w:val="18"/>
          <w:color w:val="auto"/>
        </w:rPr>
      </w:pPr>
    </w:p>
    <w:p>
      <w:pPr>
        <w:ind w:left="4" w:right="140" w:firstLine="436"/>
        <w:spacing w:after="0" w:line="266" w:lineRule="auto"/>
        <w:tabs>
          <w:tab w:leader="none" w:pos="65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persons (as such term is defined in Rule 1-02 of Regulation S-X promulgated under the Securities Act) with registration or other similar rights to have any equity or debt securities of the Company registered for sale under the Registration Statement or included in the offering contemplated by this Agreement, except for such rights as have been duly waived in a writing previously furnished to the Agent.</w:t>
      </w:r>
    </w:p>
    <w:p>
      <w:pPr>
        <w:spacing w:after="0" w:line="175" w:lineRule="exact"/>
        <w:rPr>
          <w:rFonts w:ascii="Times New Roman" w:cs="Times New Roman" w:eastAsia="Times New Roman" w:hAnsi="Times New Roman"/>
          <w:sz w:val="18"/>
          <w:szCs w:val="18"/>
          <w:color w:val="auto"/>
        </w:rPr>
      </w:pPr>
    </w:p>
    <w:p>
      <w:pPr>
        <w:ind w:left="4" w:right="80" w:firstLine="436"/>
        <w:spacing w:after="0" w:line="258" w:lineRule="auto"/>
        <w:tabs>
          <w:tab w:leader="none" w:pos="69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included or incorporated by reference in the Registration Statement and the Prospectus, together with the related schedules and notes thereto, comply as to form in all material respects with the applicable requirements of the Securities Act and the Exchange Act and present fairly in all material respects the financial position of the Company as of the dates shown and its results of operations and cash flows for the periods shown, and such financial statements have been prepared in conformity with generally accepted accounting principles in the United States (“</w:t>
      </w:r>
      <w:r>
        <w:rPr>
          <w:rFonts w:ascii="Times New Roman" w:cs="Times New Roman" w:eastAsia="Times New Roman" w:hAnsi="Times New Roman"/>
          <w:sz w:val="18"/>
          <w:szCs w:val="18"/>
          <w:b w:val="1"/>
          <w:bCs w:val="1"/>
          <w:u w:val="single" w:color="auto"/>
          <w:color w:val="auto"/>
        </w:rPr>
        <w:t>U.S. GAAP</w:t>
      </w:r>
      <w:r>
        <w:rPr>
          <w:rFonts w:ascii="Times New Roman" w:cs="Times New Roman" w:eastAsia="Times New Roman" w:hAnsi="Times New Roman"/>
          <w:sz w:val="18"/>
          <w:szCs w:val="18"/>
          <w:color w:val="auto"/>
        </w:rPr>
        <w:t>”) applied on a consistent basis throughout the periods covered thereby except for any normal</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12" w:name="page13"/>
    <w:bookmarkEnd w:id="12"/>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year-end adjustments in the Company’s quarterly financial statements. The other financial information included in or incorporated by reference in the Registration Statement and the Prospectus has been derived from the accounting records of the Company and presents fairly in all material respects the information shown thereby. The statistical, industry-related and market-related data included or incorporated by reference in each of the Registration Statement and the Prospectus are based on or derived from sources which the Company reasonably and in good faith believes are reliable and accurate and such data is consistent with the sources from which they are derived, in each case in all material respects, and, to the extent required, the Company has obtained the written consent to the use of such data from such sources.</w:t>
      </w:r>
    </w:p>
    <w:p>
      <w:pPr>
        <w:spacing w:after="0" w:line="187" w:lineRule="exact"/>
        <w:rPr>
          <w:sz w:val="20"/>
          <w:szCs w:val="20"/>
          <w:color w:val="auto"/>
        </w:rPr>
      </w:pPr>
    </w:p>
    <w:p>
      <w:pPr>
        <w:ind w:right="20" w:firstLine="436"/>
        <w:spacing w:after="0" w:line="255"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or, to the knowledge of the Company, threatened to which the Company is a party or to which any of the properties of the Company is subject (i) other than proceedings accurately described in all material respects in each of the Registration Statement and the Prospectus and proceedings that would not singly or in the aggregate, reasonably be expected to have a Material Adverse Effect on the Company or on the performance by the Company of its obligations under this Agreement or to consummate the transactions contemplated hereby or (ii) that are required to be described in the Registration Statement or the Prospectus and are not so described in all material respects; and there are no statutes, regulations, contracts or other documents that are required to be described in the Registration Statement or the Prospectus or to be filed as exhibits to the Registration Statement that are not described in all material respects or filed as required.</w:t>
      </w:r>
    </w:p>
    <w:p>
      <w:pPr>
        <w:spacing w:after="0" w:line="188" w:lineRule="exact"/>
        <w:rPr>
          <w:rFonts w:ascii="Times New Roman" w:cs="Times New Roman" w:eastAsia="Times New Roman" w:hAnsi="Times New Roman"/>
          <w:sz w:val="18"/>
          <w:szCs w:val="18"/>
          <w:color w:val="auto"/>
        </w:rPr>
      </w:pPr>
    </w:p>
    <w:p>
      <w:pPr>
        <w:ind w:firstLine="436"/>
        <w:spacing w:after="0" w:line="256" w:lineRule="auto"/>
        <w:tabs>
          <w:tab w:leader="none" w:pos="7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own any real property. The Company has good and marketable title to all personal property (excluding intellectual property) owned by it which is material to the business of the Company, in each case free and clear of all liens, encumbrances and defects except such as do not materially affect the value of such property and do not interfere in any material respect with the use made and proposed to be made of such property by the Company; and any real property and buildings held under lease by the Company is held by it under valid, subsisting and, to the knowledge of the Company, enforceable leases with such exceptions as are not material and do not materially interfere with the use made and proposed to be made of such property and buildings by the Company.</w:t>
      </w:r>
    </w:p>
    <w:p>
      <w:pPr>
        <w:spacing w:after="0" w:line="187" w:lineRule="exact"/>
        <w:rPr>
          <w:rFonts w:ascii="Times New Roman" w:cs="Times New Roman" w:eastAsia="Times New Roman" w:hAnsi="Times New Roman"/>
          <w:sz w:val="18"/>
          <w:szCs w:val="18"/>
          <w:color w:val="auto"/>
        </w:rPr>
      </w:pPr>
    </w:p>
    <w:p>
      <w:pPr>
        <w:ind w:right="100" w:firstLine="436"/>
        <w:spacing w:after="0" w:line="256"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 violation or default of (i) any provision of its certificate of incorporation or bylaws, (ii) the terms of any indenture, contract, lease, mortgage, deed of trust, note agreement, loan agreement or other agreement, obligation, condition, covenant or instrument to which it is a party or bound or to which its property or assets is subject, or (iii) any statute, law, rule, regulation, judgment, order or decree of any court, regulatory body, administrative agency, governmental body, arbitrator or other authority having jurisdiction over the Company or any of its properties or assets, as applicable, except, in the case of clauses (ii) and (iii) above, for any such default or violation that would not, individually or in the aggregate, have a Material Adverse Effect.</w:t>
      </w:r>
    </w:p>
    <w:p>
      <w:pPr>
        <w:spacing w:after="0" w:line="187" w:lineRule="exact"/>
        <w:rPr>
          <w:rFonts w:ascii="Times New Roman" w:cs="Times New Roman" w:eastAsia="Times New Roman" w:hAnsi="Times New Roman"/>
          <w:sz w:val="18"/>
          <w:szCs w:val="18"/>
          <w:color w:val="auto"/>
        </w:rPr>
      </w:pPr>
    </w:p>
    <w:p>
      <w:pPr>
        <w:jc w:val="both"/>
        <w:ind w:firstLine="436"/>
        <w:spacing w:after="0" w:line="281" w:lineRule="auto"/>
        <w:tabs>
          <w:tab w:leader="none" w:pos="69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Deloitte &amp; Touche LLP, whose report on the consolidated financial statements of the Company is filed with the Commission as part of the Company’s most recent annual report on Form 10-K filed with the Commission and incorporated by reference in the Registration Statement and the Prospectus, is an independent registered public accounting firm with respect to the Company within the meaning of the Securities Act, the Exchange Act and the applicable rules and regulations thereunder adopted by the Commission and the Public Company Accounting Oversight Board (United States).</w:t>
      </w:r>
    </w:p>
    <w:p>
      <w:pPr>
        <w:spacing w:after="0" w:line="164" w:lineRule="exact"/>
        <w:rPr>
          <w:rFonts w:ascii="Times New Roman" w:cs="Times New Roman" w:eastAsia="Times New Roman" w:hAnsi="Times New Roman"/>
          <w:sz w:val="17"/>
          <w:szCs w:val="17"/>
          <w:color w:val="auto"/>
        </w:rPr>
      </w:pPr>
    </w:p>
    <w:p>
      <w:pPr>
        <w:ind w:left="680" w:hanging="244"/>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3" w:name="page14"/>
    <w:bookmarkEnd w:id="13"/>
    <w:p>
      <w:pPr>
        <w:ind w:left="-20" w:firstLine="436"/>
        <w:spacing w:after="0" w:line="254" w:lineRule="auto"/>
        <w:tabs>
          <w:tab w:leader="none" w:pos="7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filed all United States federal, state, local and foreign tax returns required to be filed through the date of this agreement or have requested extensions thereof (except where the failure to file would not, singly or in the aggregate, reasonably be expected to have a Material Adverse Effect on the Company) and has paid all taxes required to be paid thereon (except for cases in which the failure to file or pay would not, singly or in the aggregate, reasonably be expected to have a Material Adverse Effect on the Company, or, except as currently being contested in good faith and by appropriate proceedings and for which reserves required by U.S. GAAP have been created and maintained in the financial statements of the Company), and no tax deficiency has been determined adversely to the Company which, singly or in the aggregate, has had (nor does the Company have any notice or knowledge of any tax deficiency which could reasonably be expected to be determined adversely to the Company and which could reasonably be expected to have) a Material Adverse Effect on the Company.</w:t>
      </w:r>
    </w:p>
    <w:p>
      <w:pPr>
        <w:spacing w:after="0" w:line="191" w:lineRule="exact"/>
        <w:rPr>
          <w:rFonts w:ascii="Times New Roman" w:cs="Times New Roman" w:eastAsia="Times New Roman" w:hAnsi="Times New Roman"/>
          <w:sz w:val="18"/>
          <w:szCs w:val="18"/>
          <w:color w:val="auto"/>
        </w:rPr>
      </w:pPr>
    </w:p>
    <w:p>
      <w:pPr>
        <w:jc w:val="both"/>
        <w:ind w:left="-20" w:right="60" w:firstLine="436"/>
        <w:spacing w:after="0" w:line="266" w:lineRule="auto"/>
        <w:tabs>
          <w:tab w:leader="none" w:pos="7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dispute with the employees of the Company exists, or, to the knowledge of the Company, is imminent; and the Company is not aware of any existing, threatened or imminent labor disturbance by the employees of any of its principal suppliers, manufacturers or contractors that could, singly or in the aggregate, reasonably be expected to have a Material Adverse Effect on the Company.</w:t>
      </w:r>
    </w:p>
    <w:p>
      <w:pPr>
        <w:spacing w:after="0" w:line="175" w:lineRule="exact"/>
        <w:rPr>
          <w:rFonts w:ascii="Times New Roman" w:cs="Times New Roman" w:eastAsia="Times New Roman" w:hAnsi="Times New Roman"/>
          <w:sz w:val="18"/>
          <w:szCs w:val="18"/>
          <w:color w:val="auto"/>
        </w:rPr>
      </w:pPr>
    </w:p>
    <w:p>
      <w:pPr>
        <w:ind w:left="-20" w:right="20" w:firstLine="436"/>
        <w:spacing w:after="0" w:line="258" w:lineRule="auto"/>
        <w:tabs>
          <w:tab w:leader="none" w:pos="7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insured by insurers of recognized financial responsibility against such losses and risks and in such amounts as in the Company’s reasonable judgement are prudent and customary in the businesses in which they are engaged; the Company has not been refused any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singly or in the aggregate, reasonably be expected have a Material Adverse Effect on the Company.</w:t>
      </w:r>
    </w:p>
    <w:p>
      <w:pPr>
        <w:spacing w:after="0" w:line="183" w:lineRule="exact"/>
        <w:rPr>
          <w:rFonts w:ascii="Times New Roman" w:cs="Times New Roman" w:eastAsia="Times New Roman" w:hAnsi="Times New Roman"/>
          <w:sz w:val="18"/>
          <w:szCs w:val="18"/>
          <w:color w:val="auto"/>
        </w:rPr>
      </w:pPr>
    </w:p>
    <w:p>
      <w:pPr>
        <w:ind w:left="-20" w:right="60" w:firstLine="436"/>
        <w:spacing w:after="0" w:line="253" w:lineRule="auto"/>
        <w:tabs>
          <w:tab w:leader="none" w:pos="7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the Registration Statement and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 The Company maintains disclosure controls and procedures (as defined in Rules 13a-15 and 15d-15 under the Exchange Act), which (i) are designed to ensure that information relating to the Company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w:t>
      </w:r>
    </w:p>
    <w:p>
      <w:pPr>
        <w:spacing w:after="0" w:line="187" w:lineRule="exact"/>
        <w:rPr>
          <w:rFonts w:ascii="Times New Roman" w:cs="Times New Roman" w:eastAsia="Times New Roman" w:hAnsi="Times New Roman"/>
          <w:sz w:val="18"/>
          <w:szCs w:val="18"/>
          <w:color w:val="auto"/>
        </w:rPr>
      </w:pPr>
    </w:p>
    <w:p>
      <w:pPr>
        <w:ind w:left="-20" w:right="20" w:firstLine="436"/>
        <w:spacing w:after="0" w:line="258" w:lineRule="auto"/>
        <w:tabs>
          <w:tab w:leader="none" w:pos="7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to the knowledge of the Company, any of its directors, officers or controlling persons has taken, directly or indirectly, without giving effect to any actions taken by the Agent, (i) any action designed to or that might constitute or reasonably be expected to cause or result in, under the Exchange Act or otherwise, stabilization or manipulation of the price of any security of the Company to facilitate the sale or resale of the Placement Shares or (ii) any action designed to or that might constitute or reasonably be expected to cause or result in a violation of Regulation M under the Exchange Act.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60" w:top="270" w:right="459" w:bottom="1440" w:gutter="0" w:footer="0" w:header="0"/>
        </w:sectPr>
      </w:pPr>
    </w:p>
    <w:bookmarkStart w:id="14" w:name="page15"/>
    <w:bookmarkEnd w:id="14"/>
    <w:p>
      <w:pPr>
        <w:ind w:left="-40" w:firstLine="436"/>
        <w:spacing w:after="0" w:line="271" w:lineRule="auto"/>
        <w:tabs>
          <w:tab w:leader="none" w:pos="68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The Company (i) is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7"/>
          <w:szCs w:val="17"/>
          <w:b w:val="1"/>
          <w:bCs w:val="1"/>
          <w:u w:val="single" w:color="auto"/>
          <w:color w:val="auto"/>
        </w:rPr>
        <w:t>Environmental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Laws</w:t>
      </w:r>
      <w:r>
        <w:rPr>
          <w:rFonts w:ascii="Times New Roman" w:cs="Times New Roman" w:eastAsia="Times New Roman" w:hAnsi="Times New Roman"/>
          <w:sz w:val="17"/>
          <w:szCs w:val="17"/>
          <w:color w:val="auto"/>
        </w:rPr>
        <w:t>”), (ii) has received all permits, licenses or other approvals required of them under applicable Environmental Laws to conduct its respective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businesses and (iii) is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(B) There are no costs or liabilities associated with Environmental Laws (including, without limitation, any capital or operating expenditures required for clean 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w:t>
      </w:r>
    </w:p>
    <w:p>
      <w:pPr>
        <w:spacing w:after="0" w:line="173" w:lineRule="exact"/>
        <w:rPr>
          <w:rFonts w:ascii="Times New Roman" w:cs="Times New Roman" w:eastAsia="Times New Roman" w:hAnsi="Times New Roman"/>
          <w:sz w:val="17"/>
          <w:szCs w:val="17"/>
          <w:color w:val="auto"/>
        </w:rPr>
      </w:pPr>
    </w:p>
    <w:p>
      <w:pPr>
        <w:ind w:left="-40" w:right="60" w:firstLine="436"/>
        <w:spacing w:after="0" w:line="254" w:lineRule="auto"/>
        <w:tabs>
          <w:tab w:leader="none" w:pos="7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on the Company, (i) each employee benefit plan, within the meaning of Section 3(3) of the Employee Retirement Income Security Act of 1974, as amended (“</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that is sponsored, maintained, administered or contributed to by the Company has been maintained in compliance with its terms and the requirements of any applicable statutes, orders, rules and regulations, including but not limited to ERISA and the Internal Revenue Code of 1986, as amended (the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and (ii) neither the Company nor any member of its “Controlled Group” (defined as any trade or business, whether or not incorporated, that would be regarded as a single employer with the Company under Section 414 of the Code) (x) has ever sponsored, maintained, contributed to or has had any obligation to contribute to, any employee benefit plan that is subject to Title IV of ERISA or any “multiemployer plan” as defined in Section 3(37) of ERISA or (y) has incurred, or reasonably expects to incur, any liability under Title IV of ERISA.</w:t>
      </w:r>
    </w:p>
    <w:p>
      <w:pPr>
        <w:spacing w:after="0" w:line="191" w:lineRule="exact"/>
        <w:rPr>
          <w:rFonts w:ascii="Times New Roman" w:cs="Times New Roman" w:eastAsia="Times New Roman" w:hAnsi="Times New Roman"/>
          <w:sz w:val="18"/>
          <w:szCs w:val="18"/>
          <w:color w:val="auto"/>
        </w:rPr>
      </w:pPr>
    </w:p>
    <w:p>
      <w:pPr>
        <w:ind w:left="-40" w:right="80" w:firstLine="436"/>
        <w:spacing w:after="0" w:line="261" w:lineRule="auto"/>
        <w:tabs>
          <w:tab w:leader="none" w:pos="7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with, and there is and has been no failure on the part of the Company and, to the Company’s knowledge, any of the Company’s directors or officers, in their capacities as such, to comply with, any provision of the Sarbanes-Oxley Act of 2002 and all rules and regulations promulgated thereunder or implementing the provisions thereof (the “</w:t>
      </w:r>
      <w:r>
        <w:rPr>
          <w:rFonts w:ascii="Times New Roman" w:cs="Times New Roman" w:eastAsia="Times New Roman" w:hAnsi="Times New Roman"/>
          <w:sz w:val="18"/>
          <w:szCs w:val="18"/>
          <w:b w:val="1"/>
          <w:bCs w:val="1"/>
          <w:u w:val="single" w:color="auto"/>
          <w:color w:val="auto"/>
        </w:rPr>
        <w:t>Sarbanes-Oxley Act</w:t>
      </w:r>
      <w:r>
        <w:rPr>
          <w:rFonts w:ascii="Times New Roman" w:cs="Times New Roman" w:eastAsia="Times New Roman" w:hAnsi="Times New Roman"/>
          <w:sz w:val="18"/>
          <w:szCs w:val="18"/>
          <w:color w:val="auto"/>
        </w:rPr>
        <w:t>”) and the rules and regulations promulgated in connection therewith, including Section 402 relating to loans.</w:t>
      </w:r>
    </w:p>
    <w:p>
      <w:pPr>
        <w:spacing w:after="0" w:line="179" w:lineRule="exact"/>
        <w:rPr>
          <w:rFonts w:ascii="Times New Roman" w:cs="Times New Roman" w:eastAsia="Times New Roman" w:hAnsi="Times New Roman"/>
          <w:sz w:val="18"/>
          <w:szCs w:val="18"/>
          <w:color w:val="auto"/>
        </w:rPr>
      </w:pPr>
    </w:p>
    <w:p>
      <w:pPr>
        <w:ind w:left="-40" w:right="40" w:firstLine="436"/>
        <w:spacing w:after="0" w:line="253" w:lineRule="auto"/>
        <w:tabs>
          <w:tab w:leader="none" w:pos="6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or any of its subsidiaries or any of its controlled affiliates, or any director, officer, or key employee thereof who is named in the Registration Statement or Prospectus, or, to the Company’s knowledge, any non-controlled affiliates, or any other employee, agent or representative of the Company or any of its subsidiaries or any of its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(ii) the Company and each of its subsidiaries, if any, and each of its controlled affiliates, and to the Company’s knowledge, each of its non-controlled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480" w:top="270" w:right="479" w:bottom="1440" w:gutter="0" w:footer="0" w:header="0"/>
        </w:sectPr>
      </w:pPr>
    </w:p>
    <w:bookmarkStart w:id="15" w:name="page16"/>
    <w:bookmarkEnd w:id="15"/>
    <w:p>
      <w:pPr>
        <w:ind w:firstLine="436"/>
        <w:spacing w:after="0" w:line="254" w:lineRule="auto"/>
        <w:tabs>
          <w:tab w:leader="none" w:pos="7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operations of the Company and each of its subsidiaries, if any,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if any,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191" w:lineRule="exact"/>
        <w:rPr>
          <w:rFonts w:ascii="Times New Roman" w:cs="Times New Roman" w:eastAsia="Times New Roman" w:hAnsi="Times New Roman"/>
          <w:sz w:val="18"/>
          <w:szCs w:val="18"/>
          <w:color w:val="auto"/>
        </w:rPr>
      </w:pPr>
    </w:p>
    <w:p>
      <w:pPr>
        <w:ind w:right="40" w:firstLine="436"/>
        <w:spacing w:after="0" w:line="266" w:lineRule="auto"/>
        <w:tabs>
          <w:tab w:leader="none" w:pos="7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any of its subsidiaries, or any director, officer, or key employee thereof who is named in the Registration Statement and Prospectus, or, to the Company’s knowledge, any other employee, agent, affiliate or representative of the Company or any of its subsidiaries, is an individual or entity (“</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81" w:lineRule="exact"/>
        <w:rPr>
          <w:rFonts w:ascii="Times New Roman" w:cs="Times New Roman" w:eastAsia="Times New Roman" w:hAnsi="Times New Roman"/>
          <w:sz w:val="18"/>
          <w:szCs w:val="18"/>
          <w:color w:val="auto"/>
        </w:rPr>
      </w:pPr>
    </w:p>
    <w:p>
      <w:pPr>
        <w:ind w:left="1960" w:right="380" w:hanging="533"/>
        <w:spacing w:after="0" w:line="266" w:lineRule="auto"/>
        <w:tabs>
          <w:tab w:leader="none" w:pos="1960" w:val="left"/>
        </w:tabs>
        <w:numPr>
          <w:ilvl w:val="3"/>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the Treasury’s Office of Foreign Assets Control, the United Nations Security Council, the European Union, Her Majesty’s Treasury, or other relevant sanctions authority (collectively,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or</w:t>
      </w:r>
    </w:p>
    <w:p>
      <w:pPr>
        <w:spacing w:after="0" w:line="81" w:lineRule="exact"/>
        <w:rPr>
          <w:rFonts w:ascii="Times New Roman" w:cs="Times New Roman" w:eastAsia="Times New Roman" w:hAnsi="Times New Roman"/>
          <w:sz w:val="18"/>
          <w:szCs w:val="18"/>
          <w:color w:val="auto"/>
        </w:rPr>
      </w:pPr>
    </w:p>
    <w:p>
      <w:pPr>
        <w:jc w:val="both"/>
        <w:ind w:left="1960" w:right="420" w:hanging="533"/>
        <w:spacing w:after="0" w:line="289" w:lineRule="auto"/>
        <w:tabs>
          <w:tab w:leader="none" w:pos="1960" w:val="left"/>
        </w:tabs>
        <w:numPr>
          <w:ilvl w:val="3"/>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located, organized or resident in a country or territory that is the subject of Sanctions (including, without limitation, the so-called Donetsk People’s Republic, the so-called Luhansk People’s Republic or any other Covered Region of Ukraine identified pursuant to Executive Order 14065, the Crimea region of Ukraine, Cuba, Iran, North Korea and Syria).</w:t>
      </w:r>
    </w:p>
    <w:p>
      <w:pPr>
        <w:spacing w:after="0" w:line="49" w:lineRule="exact"/>
        <w:rPr>
          <w:rFonts w:ascii="Times New Roman" w:cs="Times New Roman" w:eastAsia="Times New Roman" w:hAnsi="Times New Roman"/>
          <w:sz w:val="17"/>
          <w:szCs w:val="17"/>
          <w:color w:val="auto"/>
        </w:rPr>
      </w:pPr>
    </w:p>
    <w:p>
      <w:pPr>
        <w:ind w:left="980" w:right="340" w:firstLine="7"/>
        <w:spacing w:after="0" w:line="282" w:lineRule="auto"/>
        <w:tabs>
          <w:tab w:leader="none" w:pos="1245"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67" w:lineRule="exact"/>
        <w:rPr>
          <w:rFonts w:ascii="Times New Roman" w:cs="Times New Roman" w:eastAsia="Times New Roman" w:hAnsi="Times New Roman"/>
          <w:sz w:val="18"/>
          <w:szCs w:val="18"/>
          <w:color w:val="auto"/>
        </w:rPr>
      </w:pPr>
    </w:p>
    <w:p>
      <w:pPr>
        <w:ind w:left="2400" w:right="300" w:hanging="649"/>
        <w:spacing w:after="0" w:line="266" w:lineRule="auto"/>
        <w:tabs>
          <w:tab w:leader="none" w:pos="2400" w:val="left"/>
        </w:tabs>
        <w:numPr>
          <w:ilvl w:val="4"/>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if that activity could reasonably be expected to result in a violation of Sanctions; or</w:t>
      </w:r>
    </w:p>
    <w:p>
      <w:pPr>
        <w:spacing w:after="0" w:line="81" w:lineRule="exact"/>
        <w:rPr>
          <w:rFonts w:ascii="Times New Roman" w:cs="Times New Roman" w:eastAsia="Times New Roman" w:hAnsi="Times New Roman"/>
          <w:sz w:val="18"/>
          <w:szCs w:val="18"/>
          <w:color w:val="auto"/>
        </w:rPr>
      </w:pPr>
    </w:p>
    <w:p>
      <w:pPr>
        <w:ind w:left="2400" w:right="260" w:hanging="649"/>
        <w:spacing w:after="0" w:line="282" w:lineRule="auto"/>
        <w:tabs>
          <w:tab w:leader="none" w:pos="2400" w:val="left"/>
        </w:tabs>
        <w:numPr>
          <w:ilvl w:val="4"/>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could reasonably be expected to result in a violation of Sanctions by any Person (including any Person participating in the offering, whether as underwriter, advisor, investor or otherwise).</w:t>
      </w:r>
    </w:p>
    <w:p>
      <w:pPr>
        <w:spacing w:after="0" w:line="53"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7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five years, the Company and each of its subsidiaries, if any,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75" w:lineRule="exact"/>
        <w:rPr>
          <w:rFonts w:ascii="Times New Roman" w:cs="Times New Roman" w:eastAsia="Times New Roman" w:hAnsi="Times New Roman"/>
          <w:sz w:val="18"/>
          <w:szCs w:val="18"/>
          <w:color w:val="auto"/>
        </w:rPr>
      </w:pPr>
    </w:p>
    <w:p>
      <w:pPr>
        <w:ind w:right="120" w:firstLine="436"/>
        <w:spacing w:after="0" w:line="261" w:lineRule="auto"/>
        <w:tabs>
          <w:tab w:leader="none" w:pos="7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each case, as set forth in the Registration Statement or the Prospectus, or as would not, singly or in the aggregate, reasonably be expected to have a Material Adverse Effect on the Company: (i) the Company owns or has a valid and enforceable right or license to use, all patents, inventions, copyrights, know how (including trade secrets and other unpatented and/or unpatentable proprietary or confidential information, systems or procedures), software, domain names, trademarks,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6" w:name="page17"/>
    <w:bookmarkEnd w:id="16"/>
    <w:p>
      <w:pPr>
        <w:ind w:left="4" w:right="6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service marks, trade names, logos and any and all other worldwide intellectual property and proprietary rights (including all registrations and applications for, and all goodwill associated with, any of the foregoing) (collectively, “</w:t>
      </w:r>
      <w:r>
        <w:rPr>
          <w:rFonts w:ascii="Times New Roman" w:cs="Times New Roman" w:eastAsia="Times New Roman" w:hAnsi="Times New Roman"/>
          <w:sz w:val="17"/>
          <w:szCs w:val="17"/>
          <w:b w:val="1"/>
          <w:bCs w:val="1"/>
          <w:u w:val="single" w:color="auto"/>
          <w:color w:val="auto"/>
        </w:rPr>
        <w:t>Intellectual Property Rights</w:t>
      </w:r>
      <w:r>
        <w:rPr>
          <w:rFonts w:ascii="Times New Roman" w:cs="Times New Roman" w:eastAsia="Times New Roman" w:hAnsi="Times New Roman"/>
          <w:sz w:val="17"/>
          <w:szCs w:val="17"/>
          <w:color w:val="auto"/>
        </w:rPr>
        <w:t>”) used in, or reasonably necessary or expected to be material to the conduct of, its business as currently conducted and as proposed to be conducted, in each case as such business is described in the Registration Statement and the Prospectus; (ii) to the Company’s knowledge, the Intellectual Property Rights owned by and exclusively licensed to the Company, are valid, subsisting and enforceable; (iii) no Intellectual Property Rights owned by the Company and, to the Company’s knowledge, no Intellectual Property Rights licensed to the Company, have been held invalid or unenforceable by a final decision of a court or other governmental agency of competent jurisdiction which is unappealable or unappealed within the time allowed for appeal; (iv) all Intellectual Property Rights owned by the Company are owned free and clear of all liens and encumbrances, except such non-exclusive rights and licenses as are granted to third parties (including CROs and other vendors) in the ordinary course of business; (v) to the Company’s knowledge, there are no defects in any of the patents or patent applications within the Intellectual Property Rights owned by and exclusively licensed to the Company; (vi) there is no pending, or to the Company’s knowledge, threatened (in writing) action, suit, proceeding or claim by others, and the Company has not received any written notice,</w:t>
      </w:r>
    </w:p>
    <w:p>
      <w:pPr>
        <w:spacing w:after="0" w:line="2" w:lineRule="exact"/>
        <w:rPr>
          <w:sz w:val="20"/>
          <w:szCs w:val="20"/>
          <w:color w:val="auto"/>
        </w:rPr>
      </w:pPr>
    </w:p>
    <w:p>
      <w:pPr>
        <w:ind w:left="4" w:right="40" w:hanging="4"/>
        <w:spacing w:after="0" w:line="267" w:lineRule="auto"/>
        <w:tabs>
          <w:tab w:leader="none" w:pos="299"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challenging the Company’s rights in or to any Intellectual Property Rights, (B) challenging the validity, scope or enforceability of any Intellectual Property Rights owned by or exclusively licensed to the Company, or (C) alleging any infringement, misappropriation or other violation by the Company of any Intellectual Property Rights of others, and in each case, the Company is unaware of any facts which the Company reasonably believes would form a reasonable basis for any such action, suit, proceeding or claim; (vii) to the Company’s knowledge, there is no infringement, misappropriation or other violation, and there has been no infringement, misappropriation or other violation, by third parties of any of the Company’s Intellectual Property Rights, whether owned by, or licensed to, the Company; (viii) to the Company’s knowledge, the Company and the conduct of its business does not infringe, misappropriate or otherwise violate, and has not infringed, misappropriated or otherwise violated, any Intellectual Property Rights of others; (ix) the Company has taken reasonable steps necessary to secure its interests in the Intellectual Property Rights by requiring the execution of appropriate confidentiality and invention assignment agreements from the Company’s current and former employees or contractors engaged in or formerly engaged in the development of Intellectual Property Rights for or on behalf of the Company, and to the Company’s knowledge no such agreement has been breached or violated; and (x) the Company uses, and has used, commercially reasonable efforts in accordance with customary industry practice to appropriately maintain the confidentiality of all confidential information of the Company and all information intended by the Company to be maintained as a trade secret and no such information has been disclosed other than pursuant to written confidentiality agreements.</w:t>
      </w:r>
    </w:p>
    <w:p>
      <w:pPr>
        <w:spacing w:after="0" w:line="178" w:lineRule="exact"/>
        <w:rPr>
          <w:rFonts w:ascii="Times New Roman" w:cs="Times New Roman" w:eastAsia="Times New Roman" w:hAnsi="Times New Roman"/>
          <w:sz w:val="17"/>
          <w:szCs w:val="17"/>
          <w:color w:val="auto"/>
        </w:rPr>
      </w:pPr>
    </w:p>
    <w:p>
      <w:pPr>
        <w:ind w:left="4" w:firstLine="436"/>
        <w:spacing w:after="0" w:line="253" w:lineRule="auto"/>
        <w:tabs>
          <w:tab w:leader="none" w:pos="88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would not, singly or in the aggregate, reasonably be expected to have a Material Adverse Effect on the Company, and except as disclosed in the Registration Statement and the Prospectus, the Company has complied and is presently in compliance with all of its internal and external privacy policies, its privacy- and data protection-related contractual obligations, applicable laws, binding industry standards, statutes, binding rules, regulations, judgments and orders of any court or arbitrator or other governmental or regulatory authority, and any other legal obligations, in each case, relating to the collection, use, transfer, import, export, storage, protection, security, disposal, disclosure and other processing by or on behalf of the Company of personal, personally identifiable, household (in the case of household data, to the extent “Personal Information” under the California Consumer Privacy Act), sensitive or regulated information or data (“</w:t>
      </w:r>
      <w:r>
        <w:rPr>
          <w:rFonts w:ascii="Times New Roman" w:cs="Times New Roman" w:eastAsia="Times New Roman" w:hAnsi="Times New Roman"/>
          <w:sz w:val="18"/>
          <w:szCs w:val="18"/>
          <w:b w:val="1"/>
          <w:bCs w:val="1"/>
          <w:u w:val="single" w:color="auto"/>
          <w:color w:val="auto"/>
        </w:rPr>
        <w:t>Data Security Obligations</w:t>
      </w:r>
      <w:r>
        <w:rPr>
          <w:rFonts w:ascii="Times New Roman" w:cs="Times New Roman" w:eastAsia="Times New Roman" w:hAnsi="Times New Roman"/>
          <w:sz w:val="18"/>
          <w:szCs w:val="18"/>
          <w:color w:val="auto"/>
        </w:rPr>
        <w:t>”, and such information and data, “</w:t>
      </w:r>
      <w:r>
        <w:rPr>
          <w:rFonts w:ascii="Times New Roman" w:cs="Times New Roman" w:eastAsia="Times New Roman" w:hAnsi="Times New Roman"/>
          <w:sz w:val="18"/>
          <w:szCs w:val="18"/>
          <w:b w:val="1"/>
          <w:bCs w:val="1"/>
          <w:u w:val="single" w:color="auto"/>
          <w:color w:val="auto"/>
        </w:rPr>
        <w:t>Data</w:t>
      </w:r>
      <w:r>
        <w:rPr>
          <w:rFonts w:ascii="Times New Roman" w:cs="Times New Roman" w:eastAsia="Times New Roman" w:hAnsi="Times New Roman"/>
          <w:sz w:val="18"/>
          <w:szCs w:val="18"/>
          <w:color w:val="auto"/>
        </w:rPr>
        <w:t>”); (ii) the Company has not received any written notification of or written complaint regarding, and is unaware of any other facts that the Company reasonably believes would indicate, its non-compliance with any Data Security Obligation; and (iii) there is no action, suit, proceeding or claim by or before any court or governmental agency, authority or body pending or, to the Company’s knowledge, threatened in writing against the Company alleging non-compliance with any Data Security Obligation.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7" w:name="page18"/>
    <w:bookmarkEnd w:id="17"/>
    <w:p>
      <w:pPr>
        <w:ind w:firstLine="436"/>
        <w:spacing w:after="0" w:line="253" w:lineRule="auto"/>
        <w:tabs>
          <w:tab w:leader="none" w:pos="7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would not, singly or in the aggregate, reasonably be expected to have a Material Adverse Effect on the Company (i) the Company has established, implemented and maintain technical and organizational measures reasonably designed to protect its information technology systems, assets, equipment, computers, systems, websites, networks, hardware, and associated software, applications and databases used in connection with the operation of the Company’s business (collectively, “</w:t>
      </w:r>
      <w:r>
        <w:rPr>
          <w:rFonts w:ascii="Times New Roman" w:cs="Times New Roman" w:eastAsia="Times New Roman" w:hAnsi="Times New Roman"/>
          <w:sz w:val="18"/>
          <w:szCs w:val="18"/>
          <w:b w:val="1"/>
          <w:bCs w:val="1"/>
          <w:u w:val="single" w:color="auto"/>
          <w:color w:val="auto"/>
        </w:rPr>
        <w:t>IT Systems</w:t>
      </w:r>
      <w:r>
        <w:rPr>
          <w:rFonts w:ascii="Times New Roman" w:cs="Times New Roman" w:eastAsia="Times New Roman" w:hAnsi="Times New Roman"/>
          <w:sz w:val="18"/>
          <w:szCs w:val="18"/>
          <w:color w:val="auto"/>
        </w:rPr>
        <w:t>”) and Data; (ii) the Company has used reasonable efforts to implement, establish and maintain, and have established, implemented and maintained, and complied with, reasonable information technology, information security, cybersecurity and data protection controls, policies and procedures designed to maintain and protect the integrity, redundancy and security of all IT Systems and Data and to protect against and prevent security breaches and incidents resulting in destruction, loss, unauthorized distribution, use, access, disablement, misappropriation or modification, outages, or other compromise or misuse of any IT Systems or Data (</w:t>
      </w:r>
      <w:r>
        <w:rPr>
          <w:rFonts w:ascii="Times New Roman" w:cs="Times New Roman" w:eastAsia="Times New Roman" w:hAnsi="Times New Roman"/>
          <w:sz w:val="18"/>
          <w:szCs w:val="18"/>
          <w:b w:val="1"/>
          <w:bCs w:val="1"/>
          <w:u w:val="single" w:color="auto"/>
          <w:color w:val="auto"/>
        </w:rPr>
        <w:t>“Breach</w:t>
      </w:r>
      <w:r>
        <w:rPr>
          <w:rFonts w:ascii="Times New Roman" w:cs="Times New Roman" w:eastAsia="Times New Roman" w:hAnsi="Times New Roman"/>
          <w:sz w:val="18"/>
          <w:szCs w:val="18"/>
          <w:color w:val="auto"/>
        </w:rPr>
        <w:t>”); (iii) to the knowledge of the Company, there has been no such Breach, and the Company has not been notified in writing of and has no knowledge of any event or condition that would reasonably be expected to result in, any such Breach; and (iv) the IT Systems are adequate in capacity and operation for, and operate and perform in all material respects as required in connection with the operation of the business of the Company and, to the knowledge of the Company, are free and clear of all bugs, errors, defects, Trojan horses, time bombs, malware and other corruptants or malicious code.</w:t>
      </w:r>
    </w:p>
    <w:p>
      <w:pPr>
        <w:spacing w:after="0" w:line="189" w:lineRule="exact"/>
        <w:rPr>
          <w:rFonts w:ascii="Times New Roman" w:cs="Times New Roman" w:eastAsia="Times New Roman" w:hAnsi="Times New Roman"/>
          <w:sz w:val="18"/>
          <w:szCs w:val="18"/>
          <w:color w:val="auto"/>
        </w:rPr>
      </w:pPr>
    </w:p>
    <w:p>
      <w:pPr>
        <w:jc w:val="both"/>
        <w:ind w:right="180" w:firstLine="436"/>
        <w:spacing w:after="0" w:line="266" w:lineRule="auto"/>
        <w:tabs>
          <w:tab w:leader="none" w:pos="7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operated at all times and is currently in compliance in all material respects with all applicable statutes, rules, regulations and policies of the U.S. Food and Drug Administration (the “</w:t>
      </w:r>
      <w:r>
        <w:rPr>
          <w:rFonts w:ascii="Times New Roman" w:cs="Times New Roman" w:eastAsia="Times New Roman" w:hAnsi="Times New Roman"/>
          <w:sz w:val="18"/>
          <w:szCs w:val="18"/>
          <w:b w:val="1"/>
          <w:bCs w:val="1"/>
          <w:u w:val="single" w:color="auto"/>
          <w:color w:val="auto"/>
        </w:rPr>
        <w:t>FDA</w:t>
      </w:r>
      <w:r>
        <w:rPr>
          <w:rFonts w:ascii="Times New Roman" w:cs="Times New Roman" w:eastAsia="Times New Roman" w:hAnsi="Times New Roman"/>
          <w:sz w:val="18"/>
          <w:szCs w:val="18"/>
          <w:color w:val="auto"/>
        </w:rPr>
        <w:t>”) and comparable U.S. and foreign regulatory authorities to which they are subject, including the European Medicines Agency (collectively, the “</w:t>
      </w:r>
      <w:r>
        <w:rPr>
          <w:rFonts w:ascii="Times New Roman" w:cs="Times New Roman" w:eastAsia="Times New Roman" w:hAnsi="Times New Roman"/>
          <w:sz w:val="18"/>
          <w:szCs w:val="18"/>
          <w:b w:val="1"/>
          <w:bCs w:val="1"/>
          <w:u w:val="single" w:color="auto"/>
          <w:color w:val="auto"/>
        </w:rPr>
        <w:t>Regulatory Authorities</w:t>
      </w:r>
      <w:r>
        <w:rPr>
          <w:rFonts w:ascii="Times New Roman" w:cs="Times New Roman" w:eastAsia="Times New Roman" w:hAnsi="Times New Roman"/>
          <w:sz w:val="18"/>
          <w:szCs w:val="18"/>
          <w:color w:val="auto"/>
        </w:rPr>
        <w:t>”), including, without limitation:</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and the regulations promulgated thereunder;</w:t>
      </w:r>
    </w:p>
    <w:p>
      <w:pPr>
        <w:spacing w:after="0" w:line="130" w:lineRule="exact"/>
        <w:rPr>
          <w:rFonts w:ascii="Times New Roman" w:cs="Times New Roman" w:eastAsia="Times New Roman" w:hAnsi="Times New Roman"/>
          <w:sz w:val="18"/>
          <w:szCs w:val="18"/>
          <w:color w:val="auto"/>
        </w:rPr>
      </w:pPr>
    </w:p>
    <w:p>
      <w:pPr>
        <w:ind w:left="1420" w:hanging="439"/>
        <w:spacing w:after="0" w:line="254" w:lineRule="auto"/>
        <w:tabs>
          <w:tab w:leader="none" w:pos="14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federal, state, local and foreign health care laws, including, without limitation, the U.S. Anti-Kickback Statute (42 U.S.C. Section 1320a-7b(b)), the Civil Monetary Penalties Law (42 U.S.C. § 1320a-7a), the U.S. Civil False Claims Act (31 U.S.C. Section 3729 et seq.), all applicable federal, state, local and all foreign criminal laws relating to health care fraud and abuse, including but not limited to the U.S. False Statements Law (42 U.S.C. Section 1320a-7b(a)), 18 U.S.C. Sections 286 and 287, and the health care fraud criminal provisions under the U.S. Health Insurance Portability and Accountability Act of 1996 (42 U.S.C. Section 1320d et seq.), the Health Information Technology for Economic and Clinical Health Act (42 U.S.C. Section 17921 et seq.), the exclusion law (42 U.S.C. Section 1320a-7), the statutes, regulations and directives of applicable government funded or sponsored healthcare programs, and the regulations promulgated pursuant to such statutes;</w:t>
      </w:r>
    </w:p>
    <w:p>
      <w:pPr>
        <w:spacing w:after="0" w:line="97" w:lineRule="exact"/>
        <w:rPr>
          <w:rFonts w:ascii="Times New Roman" w:cs="Times New Roman" w:eastAsia="Times New Roman" w:hAnsi="Times New Roman"/>
          <w:sz w:val="18"/>
          <w:szCs w:val="18"/>
          <w:color w:val="auto"/>
        </w:rPr>
      </w:pPr>
    </w:p>
    <w:p>
      <w:pPr>
        <w:ind w:left="1420" w:right="160" w:hanging="439"/>
        <w:spacing w:after="0" w:line="282" w:lineRule="auto"/>
        <w:tabs>
          <w:tab w:leader="none" w:pos="14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Protection and Affordable Care Act of 2010, as amended by the Health Care and Education Reconciliation Act of 2010, the regulations promulgated thereunder;</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Controlled Substances Act (21 U.S.C. Section 801 et seq.);</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Good Manufacturing Practices and Good Laboratory Practices;</w:t>
      </w:r>
    </w:p>
    <w:p>
      <w:pPr>
        <w:spacing w:after="0" w:line="130" w:lineRule="exact"/>
        <w:rPr>
          <w:rFonts w:ascii="Times New Roman" w:cs="Times New Roman" w:eastAsia="Times New Roman" w:hAnsi="Times New Roman"/>
          <w:sz w:val="18"/>
          <w:szCs w:val="18"/>
          <w:color w:val="auto"/>
        </w:rPr>
      </w:pPr>
    </w:p>
    <w:p>
      <w:pPr>
        <w:ind w:left="1420" w:right="260" w:hanging="439"/>
        <w:spacing w:after="0" w:line="282" w:lineRule="auto"/>
        <w:tabs>
          <w:tab w:leader="none" w:pos="14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licensure, quality, safety and accreditation requirements under applicable federal, state, local or foreign laws or regulatory bodies; and</w:t>
      </w:r>
    </w:p>
    <w:p>
      <w:pPr>
        <w:spacing w:after="0" w:line="67" w:lineRule="exact"/>
        <w:rPr>
          <w:rFonts w:ascii="Times New Roman" w:cs="Times New Roman" w:eastAsia="Times New Roman" w:hAnsi="Times New Roman"/>
          <w:sz w:val="18"/>
          <w:szCs w:val="18"/>
          <w:color w:val="auto"/>
        </w:rPr>
      </w:pPr>
    </w:p>
    <w:p>
      <w:pPr>
        <w:ind w:left="1420" w:right="140" w:hanging="439"/>
        <w:spacing w:after="0" w:line="272" w:lineRule="auto"/>
        <w:tabs>
          <w:tab w:leader="none" w:pos="14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local, state, federal, national, supranational and foreign laws, relating to the regulation of the Company and the ownership, testing, development, manufacture, packaging, processing, use, distribution, marketing, labeling, promotion, sale, offer for sale, storage, import, export or disposal of any product under development, manufactured or distributed by the Company; (clauses</w:t>
      </w:r>
    </w:p>
    <w:p>
      <w:pPr>
        <w:spacing w:after="0" w:line="1" w:lineRule="exact"/>
        <w:rPr>
          <w:rFonts w:ascii="Times New Roman" w:cs="Times New Roman" w:eastAsia="Times New Roman" w:hAnsi="Times New Roman"/>
          <w:sz w:val="17"/>
          <w:szCs w:val="17"/>
          <w:color w:val="auto"/>
        </w:rPr>
      </w:pP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through (vii), collectively, “</w:t>
      </w:r>
      <w:r>
        <w:rPr>
          <w:rFonts w:ascii="Times New Roman" w:cs="Times New Roman" w:eastAsia="Times New Roman" w:hAnsi="Times New Roman"/>
          <w:sz w:val="18"/>
          <w:szCs w:val="18"/>
          <w:b w:val="1"/>
          <w:bCs w:val="1"/>
          <w:u w:val="single" w:color="auto"/>
          <w:color w:val="auto"/>
        </w:rPr>
        <w:t>Health Care Laws</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8" w:name="page19"/>
    <w:bookmarkEnd w:id="18"/>
    <w:p>
      <w:pPr>
        <w:ind w:firstLine="436"/>
        <w:spacing w:after="0" w:line="269" w:lineRule="auto"/>
        <w:tabs>
          <w:tab w:leader="none" w:pos="78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the studies, tests and preclinical and clinical trials conducted by or on behalf of or sponsored by the Company or in which the Company has participated, were, and if still pending are, being conducted in all material respects in accordance with legally required standard medical and experimental protocols, procedures and controls pursuant to accepted professional scientific research standards and procedures and all applicable Health Care Laws; (ii) the descriptions of the results of such studies, tests and trials contained in the Registration Statement or the Prospectus are accurate and complete in all material respects and fairly present the data derived from such trials; (iii) the Company has no knowledge of any other studies not described in the Registration Statement and the Prospectus, the results of which the Company reasonably believes call into question the results described or referred to in the Registration Statement and the Prospectus, except where such question would not, singly or in the aggregate, reasonably be expected to have a Material Adverse Effect on the Company; (iv) the Company has provided the Agent with all substantive written notices, correspondence and communications provided to the Company from the Regulatory Authorities; and (v) the Company has not received any written notices, correspondence or other communications from any Regulatory Authority or any other governmental entity requiring or threatening the termination, material modification or suspension of any studies or trials that are described in the Registration Statement and the Prospectus, or the results of which are referred to in the Registration Statement and the Prospectus, and, to the Company’s knowledge, there are no reasonable grounds for the same.</w:t>
      </w:r>
    </w:p>
    <w:p>
      <w:pPr>
        <w:spacing w:after="0" w:line="178" w:lineRule="exact"/>
        <w:rPr>
          <w:rFonts w:ascii="Times New Roman" w:cs="Times New Roman" w:eastAsia="Times New Roman" w:hAnsi="Times New Roman"/>
          <w:sz w:val="17"/>
          <w:szCs w:val="17"/>
          <w:color w:val="auto"/>
        </w:rPr>
      </w:pPr>
    </w:p>
    <w:p>
      <w:pPr>
        <w:ind w:firstLine="436"/>
        <w:spacing w:after="0" w:line="252" w:lineRule="auto"/>
        <w:tabs>
          <w:tab w:leader="none" w:pos="7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would not, individually or in the aggregate, reasonably be expected to have a Material Adverse Effect on the Company, the Company has filed, obtained,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timely, complete, accurate and not misleading on the date filed (or were corrected or supplemented by a subsequent submission); (ii) the Company has not received written notice of any claim, action, suit, proceeding, hearing, enforcement, investigation, arbitration or other action from any court or arbitrator or Regulatory Authority, other governmental entity or third party alleging that any Company or product operation or activity is in violation of any Health Care Laws, including, without limitation, any FDA Form 483, notice of adverse finding, warning letter, untitled letter or other correspondence or notice from the FDA or any other Regulatory Authority or governmental entity, nor, to the Company’s knowledge, is any such claim, action, suit, proceeding, hearing, enforcement, investigation, arbitration or other action threatened; (iii) the Company is not a party to any corporate integrity agreements, monitoring agreements, consent decrees, settlement orders, or similar agreements with or imposed by any Regulatory Authority or other governmental entity; and (iv) neither the Company nor any of its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w:t>
      </w:r>
    </w:p>
    <w:p>
      <w:pPr>
        <w:spacing w:after="0" w:line="197" w:lineRule="exact"/>
        <w:rPr>
          <w:rFonts w:ascii="Times New Roman" w:cs="Times New Roman" w:eastAsia="Times New Roman" w:hAnsi="Times New Roman"/>
          <w:sz w:val="18"/>
          <w:szCs w:val="18"/>
          <w:color w:val="auto"/>
        </w:rPr>
      </w:pPr>
    </w:p>
    <w:p>
      <w:pPr>
        <w:ind w:right="60" w:firstLine="436"/>
        <w:spacing w:after="0" w:line="277" w:lineRule="auto"/>
        <w:tabs>
          <w:tab w:leader="none" w:pos="72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not failed to file with the Regulatory Authorities any required filing, declaration, listing, registration, report or submission with respect to the Company’s product candidates that are described or referred to in the Registration Statement and Prospectus; all such filings, declarations, listings, registrations, reports or submissions were in material compliance with applicable laws when filed, or amended or supplemented in material compliance with applicable laws; and no material deficiencies regarding compliance with applicable law have been asserted by any applicable regulatory authority with respect to any such filings, declarations, listings, registrations, reports or submissions, or amendments or supplements thereof.</w:t>
      </w:r>
    </w:p>
    <w:p>
      <w:pPr>
        <w:spacing w:after="0" w:line="167" w:lineRule="exact"/>
        <w:rPr>
          <w:rFonts w:ascii="Times New Roman" w:cs="Times New Roman" w:eastAsia="Times New Roman" w:hAnsi="Times New Roman"/>
          <w:sz w:val="17"/>
          <w:szCs w:val="17"/>
          <w:color w:val="auto"/>
        </w:rPr>
      </w:pPr>
    </w:p>
    <w:p>
      <w:pPr>
        <w:ind w:right="80" w:firstLine="436"/>
        <w:spacing w:after="0" w:line="258" w:lineRule="auto"/>
        <w:tabs>
          <w:tab w:leader="none" w:pos="74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possesses all certificates, authorizations and permits issued by the appropriate federal, state or foreign regulatory authorities necessary to conduct its business as currently conducted, including, without limitation, from the Regulatory Authorities, and the Company has not received any notice of proceedings relating to the revocation or material modification of any such certificate, authorization or permit which, singly or in the aggregate, if the subject of an unfavorable decision, ruling or finding, would reasonably be expected have a Material Adverse Effect on the Company, except as described in the Registration Statement and Prospectus.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19" w:name="page20"/>
    <w:bookmarkEnd w:id="19"/>
    <w:p>
      <w:pPr>
        <w:ind w:left="4" w:right="260" w:firstLine="436"/>
        <w:spacing w:after="0" w:line="276" w:lineRule="auto"/>
        <w:tabs>
          <w:tab w:leader="none" w:pos="709"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acknowledges and agrees that the Agent has informed the Company that the Agent may, to the extent permitted under the Securities Act and the Exchange Act, purchase and sell shares of Common Stock for its own account while this Agreement is in effect;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w:t>
      </w:r>
    </w:p>
    <w:p>
      <w:pPr>
        <w:ind w:left="4" w:right="20" w:hanging="4"/>
        <w:spacing w:after="0" w:line="255" w:lineRule="auto"/>
        <w:tabs>
          <w:tab w:leader="none" w:pos="2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purchase or sales shall take place while a Placement Notice is in effect (except to the extent the Agent may engage in sales of Placement Shares purchased or deemed purchased from the Company as a “riskless principal” or in a similar capacity) and (ii) the Company shall not be deemed to have authorized or consented to any such purchases or sales by the Agent, except as may be otherwise agreed by the Company and the Agent.</w:t>
      </w:r>
    </w:p>
    <w:p>
      <w:pPr>
        <w:spacing w:after="0" w:line="185" w:lineRule="exact"/>
        <w:rPr>
          <w:rFonts w:ascii="Times New Roman" w:cs="Times New Roman" w:eastAsia="Times New Roman" w:hAnsi="Times New Roman"/>
          <w:sz w:val="18"/>
          <w:szCs w:val="18"/>
          <w:color w:val="auto"/>
        </w:rPr>
      </w:pPr>
    </w:p>
    <w:p>
      <w:pPr>
        <w:ind w:left="784" w:hanging="344"/>
        <w:spacing w:after="0"/>
        <w:tabs>
          <w:tab w:leader="none" w:pos="78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agreement with an agent or underwriter for any other “at the market” or continuous equity transaction.</w:t>
      </w:r>
    </w:p>
    <w:p>
      <w:pPr>
        <w:spacing w:after="0" w:line="225" w:lineRule="exact"/>
        <w:rPr>
          <w:rFonts w:ascii="Times New Roman" w:cs="Times New Roman" w:eastAsia="Times New Roman" w:hAnsi="Times New Roman"/>
          <w:sz w:val="18"/>
          <w:szCs w:val="18"/>
          <w:color w:val="auto"/>
        </w:rPr>
      </w:pPr>
    </w:p>
    <w:p>
      <w:pPr>
        <w:ind w:left="4" w:firstLine="436"/>
        <w:spacing w:after="0" w:line="254" w:lineRule="auto"/>
        <w:tabs>
          <w:tab w:leader="none" w:pos="78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required to register as a “broker” or “dealer” in accordance with the provisions of the Exchange Act and does not, directly or indirectly through one or more intermediaries, control or have any other association with (within the meaning of Article I of the By-laws of FINRA) any member firm of FINRA. No relationship, direct or indirect, exists between or among the Company, on the one hand, and the directors, officers or shareholders of the Company, on the other hand, which is required by the rules of FINRA to be described in the Registration Statement and the Prospectus, which is not so described. All of the information (including, but not limited to, information regarding affiliations, security ownership and trading activity) provided to the Agent or its counsel by the Company, its officers and directors and the holders of any securities (debt or equity) or warrants, options or rights to acquire any securities of the Company in connection with the filing to be made and other supplemental information to be provided to FINRA pursuant to FINRA Rule 5110 in connection with the transactions contemplated by this Agreement is true, complete and correct.</w:t>
      </w:r>
    </w:p>
    <w:p>
      <w:pPr>
        <w:spacing w:after="0" w:line="191" w:lineRule="exact"/>
        <w:rPr>
          <w:rFonts w:ascii="Times New Roman" w:cs="Times New Roman" w:eastAsia="Times New Roman" w:hAnsi="Times New Roman"/>
          <w:sz w:val="18"/>
          <w:szCs w:val="18"/>
          <w:color w:val="auto"/>
        </w:rPr>
      </w:pPr>
    </w:p>
    <w:p>
      <w:pPr>
        <w:ind w:left="4" w:firstLine="436"/>
        <w:spacing w:after="0" w:line="256" w:lineRule="auto"/>
        <w:tabs>
          <w:tab w:leader="none" w:pos="86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trading on Nasdaq on June 30, 2022, the aggregate market value of the outstanding voting and non-voting common equity (as defined in Rule 405) of the Company held by persons other than affiliates of the Company (pursuant to Rule 144 of the Securities Act, those that directly, or indirectly through one or more intermediaries, control, or are controlled by, or are under common control with, the Company) (the “</w:t>
      </w:r>
      <w:r>
        <w:rPr>
          <w:rFonts w:ascii="Times New Roman" w:cs="Times New Roman" w:eastAsia="Times New Roman" w:hAnsi="Times New Roman"/>
          <w:sz w:val="18"/>
          <w:szCs w:val="18"/>
          <w:b w:val="1"/>
          <w:bCs w:val="1"/>
          <w:u w:val="single" w:color="auto"/>
          <w:color w:val="auto"/>
        </w:rPr>
        <w:t>Non-Affiliate Shares</w:t>
      </w:r>
      <w:r>
        <w:rPr>
          <w:rFonts w:ascii="Times New Roman" w:cs="Times New Roman" w:eastAsia="Times New Roman" w:hAnsi="Times New Roman"/>
          <w:sz w:val="18"/>
          <w:szCs w:val="18"/>
          <w:color w:val="auto"/>
        </w:rPr>
        <w:t>”), was approximately $176 million (calculated by multiplying (x) the price at which the common equity of the Company was last sold on Nasdaq on June 23, 2022 by (y) the number of Non-Affiliate Shares outstanding on June 30, 2022). The Company is not a shell company (as defined in Rule 405) and has not been a shell company for at least 12 calendar months previously.</w:t>
      </w:r>
    </w:p>
    <w:p>
      <w:pPr>
        <w:spacing w:after="0" w:line="187" w:lineRule="exact"/>
        <w:rPr>
          <w:rFonts w:ascii="Times New Roman" w:cs="Times New Roman" w:eastAsia="Times New Roman" w:hAnsi="Times New Roman"/>
          <w:sz w:val="18"/>
          <w:szCs w:val="18"/>
          <w:color w:val="auto"/>
        </w:rPr>
      </w:pPr>
    </w:p>
    <w:p>
      <w:pPr>
        <w:jc w:val="both"/>
        <w:ind w:left="4" w:right="180" w:firstLine="436"/>
        <w:spacing w:after="0" w:line="266" w:lineRule="auto"/>
        <w:tabs>
          <w:tab w:leader="none" w:pos="78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75" w:lineRule="exact"/>
        <w:rPr>
          <w:rFonts w:ascii="Times New Roman" w:cs="Times New Roman" w:eastAsia="Times New Roman" w:hAnsi="Times New Roman"/>
          <w:sz w:val="18"/>
          <w:szCs w:val="18"/>
          <w:color w:val="auto"/>
        </w:rPr>
      </w:pPr>
    </w:p>
    <w:p>
      <w:pPr>
        <w:ind w:left="4" w:right="80" w:firstLine="436"/>
        <w:spacing w:after="0" w:line="266" w:lineRule="auto"/>
        <w:tabs>
          <w:tab w:leader="none" w:pos="78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independent directors (or independent director nominees, once appointed, if applicable) named in the Registration Statement and Prospectus satisfies the independence standards established by Nasdaq and, with respect to members of the Company’s audit committee, the enhanced independence standards contained in Rule 10A-3(b)(1) promulgated by the Commission under the Exchange Act.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0" w:name="page21"/>
    <w:bookmarkEnd w:id="20"/>
    <w:p>
      <w:pPr>
        <w:ind w:left="4" w:right="60" w:firstLine="436"/>
        <w:spacing w:after="0" w:line="261" w:lineRule="auto"/>
        <w:tabs>
          <w:tab w:leader="none" w:pos="7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described in the Registration Statement, the Company has not sold, issued or distributed any shares of Common Stock during the six 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180" w:lineRule="exact"/>
        <w:rPr>
          <w:sz w:val="20"/>
          <w:szCs w:val="20"/>
          <w:color w:val="auto"/>
        </w:rPr>
      </w:pPr>
    </w:p>
    <w:p>
      <w:pPr>
        <w:ind w:left="4" w:right="300" w:firstLine="436"/>
        <w:spacing w:after="0" w:line="266" w:lineRule="auto"/>
        <w:tabs>
          <w:tab w:leader="none" w:pos="8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(i) failed to pay any dividend or sinking fund installment on preferred stock or (ii) defaulted on any installment or payment due on indebtedness for borrowed money or on any rental on one or more long-term leases, which defaults, individually or in the aggregate, could reasonably be expected to result in a Material Adverse Effect.</w:t>
      </w:r>
    </w:p>
    <w:p>
      <w:pPr>
        <w:spacing w:after="0" w:line="175" w:lineRule="exact"/>
        <w:rPr>
          <w:rFonts w:ascii="Times New Roman" w:cs="Times New Roman" w:eastAsia="Times New Roman" w:hAnsi="Times New Roman"/>
          <w:sz w:val="18"/>
          <w:szCs w:val="18"/>
          <w:color w:val="auto"/>
        </w:rPr>
      </w:pPr>
    </w:p>
    <w:p>
      <w:pPr>
        <w:ind w:left="884" w:hanging="444"/>
        <w:spacing w:after="0"/>
        <w:tabs>
          <w:tab w:leader="none" w:pos="8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financial or operational projection or other “forward-looking statement” (as defined by Section 27A of the Securities Act or</w:t>
      </w:r>
    </w:p>
    <w:p>
      <w:pPr>
        <w:spacing w:after="0" w:line="27" w:lineRule="exact"/>
        <w:rPr>
          <w:sz w:val="20"/>
          <w:szCs w:val="20"/>
          <w:color w:val="auto"/>
        </w:rPr>
      </w:pPr>
    </w:p>
    <w:p>
      <w:pPr>
        <w:ind w:left="4" w:right="120"/>
        <w:spacing w:after="0" w:line="265" w:lineRule="auto"/>
        <w:rPr>
          <w:sz w:val="20"/>
          <w:szCs w:val="20"/>
          <w:color w:val="auto"/>
        </w:rPr>
      </w:pPr>
      <w:r>
        <w:rPr>
          <w:rFonts w:ascii="Times New Roman" w:cs="Times New Roman" w:eastAsia="Times New Roman" w:hAnsi="Times New Roman"/>
          <w:sz w:val="17"/>
          <w:szCs w:val="17"/>
          <w:color w:val="auto"/>
        </w:rPr>
        <w:t>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w:t>
      </w:r>
    </w:p>
    <w:p>
      <w:pPr>
        <w:ind w:left="4" w:right="280" w:hanging="4"/>
        <w:spacing w:after="0" w:line="255" w:lineRule="auto"/>
        <w:tabs>
          <w:tab w:leader="none" w:pos="26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is accompanied by meaningful cautionary statements identifying those factors that could cause actual results to differ materially from those in such forward-looking statement. No such statement was made with the knowledge of a director or senior manager of the Company that was false or misleading.</w:t>
      </w:r>
    </w:p>
    <w:p>
      <w:pPr>
        <w:spacing w:after="0" w:line="185" w:lineRule="exact"/>
        <w:rPr>
          <w:rFonts w:ascii="Times New Roman" w:cs="Times New Roman" w:eastAsia="Times New Roman" w:hAnsi="Times New Roman"/>
          <w:sz w:val="18"/>
          <w:szCs w:val="18"/>
          <w:color w:val="auto"/>
        </w:rPr>
      </w:pPr>
    </w:p>
    <w:p>
      <w:pPr>
        <w:ind w:left="4" w:firstLine="436"/>
        <w:spacing w:after="0" w:line="258" w:lineRule="auto"/>
        <w:tabs>
          <w:tab w:leader="none" w:pos="84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relationships, direct or indirect, or related party transactions involving the Company or any other person (including any director, officer, stockholder, customer or supplier of the Company) required to be described in the Registration Statement or the Prospectus that have not been described as required. There are no material outstanding loans, advances (except normal advances for business expenses in the ordinary course of business) or guarantees of indebtedness by the Company to or for the benefit of any of the officers or directors of the Company, or any of the family members of any of such persons.</w:t>
      </w:r>
    </w:p>
    <w:p>
      <w:pPr>
        <w:spacing w:after="0" w:line="183" w:lineRule="exact"/>
        <w:rPr>
          <w:rFonts w:ascii="Times New Roman" w:cs="Times New Roman" w:eastAsia="Times New Roman" w:hAnsi="Times New Roman"/>
          <w:sz w:val="18"/>
          <w:szCs w:val="18"/>
          <w:color w:val="auto"/>
        </w:rPr>
      </w:pPr>
    </w:p>
    <w:p>
      <w:pPr>
        <w:ind w:left="884" w:hanging="444"/>
        <w:spacing w:after="0"/>
        <w:tabs>
          <w:tab w:leader="none" w:pos="88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 or subject to a bankruptcy or insolvency proceeding in any jurisdiction.</w:t>
      </w:r>
    </w:p>
    <w:p>
      <w:pPr>
        <w:spacing w:after="0" w:line="225"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Any certificate signed by any officer of the Company and delivered to the Agent or its counsel in connection with the offering of the Placement Shares shall be deemed a representation and warranty by the Company, as to matters covered thereby, to the Agent.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the Agent that:</w:t>
      </w:r>
    </w:p>
    <w:p>
      <w:pPr>
        <w:spacing w:after="0" w:line="225" w:lineRule="exact"/>
        <w:rPr>
          <w:sz w:val="20"/>
          <w:szCs w:val="20"/>
          <w:color w:val="auto"/>
        </w:rPr>
      </w:pPr>
    </w:p>
    <w:p>
      <w:pPr>
        <w:ind w:left="4" w:right="20" w:firstLine="436"/>
        <w:spacing w:after="0" w:line="253" w:lineRule="auto"/>
        <w:tabs>
          <w:tab w:leader="none" w:pos="68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the Prospectus relating to any Placement Shares is required to be delivered by the Agent under the Securities Act (including in circumstances where such requirement may be satisfied pursuant to Rule 172 under the Securities Act or a similar rule); (i) the Company will notify the Agent promptly of the time when any subsequent amendment to the Registration Statement, other than Incorporated Documents, has been filed with the Commission and/or has become effective or any subsequent supplement to the Prospectus, other than Incorporated Documents,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 (provided, however, that the failure of the Agent to make such request shall not relieve the Company of any obligation or liability hereunder, or affect the Agent’s right to rely on the representations and warranties made by the Company in this Agreement and provided, further, that</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70" w:right="439" w:bottom="1440" w:gutter="0" w:footer="0" w:header="0"/>
        </w:sectPr>
      </w:pPr>
    </w:p>
    <w:bookmarkStart w:id="21" w:name="page22"/>
    <w:bookmarkEnd w:id="21"/>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only remedy the Agent shall have with respect to the failure by the Company to make such filing (but without limiting the Agent’s rights under Section 9 hereof) will be to cease making sales under this Agreement until such amendment or supplement is filed); (iii) the Company will not file any amendment or supplement to the Registration Statement or Prospectus, other than Incorporated Documents, relating to the Placement Shares or a security convertible into or exchangeable or exercisable for the Placement Shares unless a copy thereof has been submitted to the Agent within a reasonable period of time before the filing and the Agent has not reasonably objected thereto (provided, however, that the failure of the Agent to make such objection shall not relieve the Company of any obligation or liability hereunder, or affect the Agent’s right to rely on the representations and warranties made by the Company in this Agreement and provided, further, that the only remedy the Agent shall have with respect to the Company’s making such filing notwithstanding the Agent’s objection (but without limiting the Agent’s rights under Section 9 hereof) will be to cease making sales under this Agreement) and the Company will furnish to the Agent at the time of filing thereof a copy of any Incorporated Document, except for those documents available via EDGAR; and (iv) the Company will cause each amendment or supplement to the Prospectus, other than Incorporated Documents, to be filed with the Commission as required pursuant to the applicable paragraph of Rule 424(b) of the Securities Act and, in the case of any Incorporated Document, to be filed with the Commission as required pursuant to the Exchange Act, within the time period prescribed.</w:t>
      </w:r>
    </w:p>
    <w:p>
      <w:pPr>
        <w:spacing w:after="0" w:line="190" w:lineRule="exact"/>
        <w:rPr>
          <w:sz w:val="20"/>
          <w:szCs w:val="20"/>
          <w:color w:val="auto"/>
        </w:rPr>
      </w:pPr>
    </w:p>
    <w:p>
      <w:pPr>
        <w:ind w:firstLine="436"/>
        <w:spacing w:after="0" w:line="255"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for additional information related to the offering of the Placement Shares or for additional information related to the Registration Statement or the Prospectus.</w:t>
      </w:r>
    </w:p>
    <w:p>
      <w:pPr>
        <w:spacing w:after="0" w:line="188" w:lineRule="exact"/>
        <w:rPr>
          <w:rFonts w:ascii="Times New Roman" w:cs="Times New Roman" w:eastAsia="Times New Roman" w:hAnsi="Times New Roman"/>
          <w:sz w:val="18"/>
          <w:szCs w:val="18"/>
          <w:color w:val="auto"/>
        </w:rPr>
      </w:pPr>
    </w:p>
    <w:p>
      <w:pPr>
        <w:ind w:right="20" w:firstLine="436"/>
        <w:spacing w:after="0" w:line="266" w:lineRule="auto"/>
        <w:tabs>
          <w:tab w:leader="none" w:pos="68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Prospectus; Subsequent Changes</w:t>
      </w:r>
      <w:r>
        <w:rPr>
          <w:rFonts w:ascii="Times New Roman" w:cs="Times New Roman" w:eastAsia="Times New Roman" w:hAnsi="Times New Roman"/>
          <w:sz w:val="17"/>
          <w:szCs w:val="17"/>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comply with all requirements imposed upon it by the Securities Act, as from time to time in force, and will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If the Company has omitted any information from the Registration Statement pursuant to Rule 430B under the Securities Act, it will use its reasonable best efforts to comply with the provisions thereof and make all requisite filings with the Commission pursuant to said Rule 430B and to notify the Agent promptly of all such filings if not available on</w:t>
      </w:r>
    </w:p>
    <w:p>
      <w:pPr>
        <w:spacing w:after="0" w:line="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EDGAR.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22" w:name="page23"/>
    <w:bookmarkEnd w:id="22"/>
    <w:p>
      <w:pPr>
        <w:ind w:right="240" w:firstLine="436"/>
        <w:spacing w:after="0" w:line="258"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Listing of Placement Shares</w:t>
      </w:r>
      <w:r>
        <w:rPr>
          <w:rFonts w:ascii="Times New Roman" w:cs="Times New Roman" w:eastAsia="Times New Roman" w:hAnsi="Times New Roman"/>
          <w:sz w:val="18"/>
          <w:szCs w:val="18"/>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use its commercially reasonable efforts to cause the Placement Shares to be listed on Nasdaq. The Company will timely file with Nasdaq all material documents and notices required by Nasdaq of companies that have or will issue securities that are traded on Nasdaq.</w:t>
      </w:r>
    </w:p>
    <w:p>
      <w:pPr>
        <w:spacing w:after="0" w:line="183" w:lineRule="exact"/>
        <w:rPr>
          <w:rFonts w:ascii="Times New Roman" w:cs="Times New Roman" w:eastAsia="Times New Roman" w:hAnsi="Times New Roman"/>
          <w:sz w:val="18"/>
          <w:szCs w:val="18"/>
          <w:color w:val="auto"/>
        </w:rPr>
      </w:pPr>
    </w:p>
    <w:p>
      <w:pPr>
        <w:ind w:right="60" w:firstLine="436"/>
        <w:spacing w:after="0" w:line="255"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xml:space="preserve">. The Company will furnish to the Agent and its counsel (at the expense of the Company) copies of the Registration Statement, the Prospectus (including all Incorporated Documents) and all amendments and supplements to the Registration Statement or Prospectus that are filed with the Commission during any period in which the Prospectus relating to the Placement Shares is required to be delivered under the Securities Act (including all Incorporated Documents filed with the Commission during such period),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furnish any document (other than the Prospectus) to the Agent to the extent such document is available on EDGAR.</w:t>
      </w:r>
    </w:p>
    <w:p>
      <w:pPr>
        <w:spacing w:after="0" w:line="188" w:lineRule="exact"/>
        <w:rPr>
          <w:rFonts w:ascii="Times New Roman" w:cs="Times New Roman" w:eastAsia="Times New Roman" w:hAnsi="Times New Roman"/>
          <w:sz w:val="18"/>
          <w:szCs w:val="18"/>
          <w:color w:val="auto"/>
        </w:rPr>
      </w:pPr>
    </w:p>
    <w:p>
      <w:pPr>
        <w:ind w:right="120" w:firstLine="436"/>
        <w:spacing w:after="0" w:line="261" w:lineRule="auto"/>
        <w:tabs>
          <w:tab w:leader="none" w:pos="6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will make generally available to its security holders and to the Agent as soon as practicable, but in any event not later than 15 months after the end of the Company’s current fiscal quarter, an earnings statement covering a 12-month period that satisfies the provisions of Section 11(a) of and Rule 158 under the Securities Act, which requirement shall be satisfied by the timely filing with the Commission of the Company’s annual report on Form 10-K.</w:t>
      </w:r>
    </w:p>
    <w:p>
      <w:pPr>
        <w:spacing w:after="0" w:line="179"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whether or not the transactions contemplated hereunder are consummated or this Agreement is terminated in accordance with the provisions of Section 11 hereunder, will pay all expenses incident to the performance of its obligations hereunder, including expenses relating to (i) the preparation, printing and filing of the Registration Statement and each amendment and supplement thereto, of the Prospectus and of each amendment and supplement thereto and of this Agreement and such other documents as may be required in connection with the offering, purchase, sale, issuance or delivery of the Placement Shares, (ii) the preparation, issuance, sale and delivery of the Placement Shares and any stamp, documentary or similar issue taxes due or payable in connection therewith, (iii) the qualification of the Placement Shares under securities laws in accordance with the provisions of Section 7(w) of this Agreement, including filing fees (provided, however, that any fees or disbursements of counsel for the Agent in connection therewith shall be paid by the Agent except as set forth in clauses (vii) and (viii) below), (iv) the printing and delivery to the Agent and its counsel of copies of the Prospectus and any amendments or supplements thereto, and of this Agreement, (v) the fees and expenses incurred in connection with the listing or qualification of the Placement Shares for trading on Nasdaq, (vi) the filing fees and expenses, if any, owed to the Commission or FINRA and the fees and expenses of any transfer agent or registrar for the Shares, , and (vii) the reasonable fees and disbursements of the Agent’s outside legal counsel (A) in an amount not to exceed $75,000 arising out of executing this Agreement and the Company’s delivery of the initial certificate pursuant to Section 7(m), (B) in an amount not to exceed $25,000 at each 10-K Filing Event (as defined below) on which the Company is required to provide a certificate pursuant to Section 7(m) (in addition to the fees and associated expenses referred to in clause (vii) above and (C) in an amount not to exceed $15,000 in connection with each Representation Date (as defined below) that is not a 10-K Filing Event, on which the Company is required to provide a certificate pursuant to Section 7(m) (in addition to the fees and associated expenses referred to in clause (vii) above).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3" w:name="page24"/>
    <w:bookmarkEnd w:id="23"/>
    <w:p>
      <w:pPr>
        <w:ind w:left="700" w:hanging="264"/>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of Proceeds</w:t>
      </w:r>
      <w:r>
        <w:rPr>
          <w:rFonts w:ascii="Times New Roman" w:cs="Times New Roman" w:eastAsia="Times New Roman" w:hAnsi="Times New Roman"/>
          <w:sz w:val="18"/>
          <w:szCs w:val="18"/>
          <w:color w:val="auto"/>
        </w:rPr>
        <w:t>. The Company will use the Net Proceeds as described in the Prospectus in the section entitled “Use of Proceeds.”</w:t>
      </w:r>
    </w:p>
    <w:p>
      <w:pPr>
        <w:spacing w:after="0" w:line="225" w:lineRule="exact"/>
        <w:rPr>
          <w:rFonts w:ascii="Times New Roman" w:cs="Times New Roman" w:eastAsia="Times New Roman" w:hAnsi="Times New Roman"/>
          <w:sz w:val="18"/>
          <w:szCs w:val="18"/>
          <w:color w:val="auto"/>
        </w:rPr>
      </w:pPr>
    </w:p>
    <w:p>
      <w:pPr>
        <w:ind w:firstLine="436"/>
        <w:spacing w:after="0" w:line="25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Sales</w:t>
      </w:r>
      <w:r>
        <w:rPr>
          <w:rFonts w:ascii="Times New Roman" w:cs="Times New Roman" w:eastAsia="Times New Roman" w:hAnsi="Times New Roman"/>
          <w:sz w:val="18"/>
          <w:szCs w:val="18"/>
          <w:color w:val="auto"/>
        </w:rPr>
        <w:t xml:space="preserve">. Without the prior written consent of the Agent, the Company will not, directly or indirectly, offer to sell, sell, contract to sell, grant any option to sell or otherwise dispose of any shares of Common Stock (other than the Placement Shares offered pursuant to this Agreement) or securities convertible into or exchangeable or exercisable for shares of Common Stock, warrants or any rights to purchase or acquire shares of Common Stock during the period beginning on the third Trading Day immediately prior to the date on which any Placement Notice is delivered to Agent hereunder and ending on the second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offering” or continuous equity transaction offer to sell, sell, contract to sell, grant any option to sell or otherwise dispose of any shares of Common Stock (other than the Placement Shares offered pursuant to this Agreement) or securities convertible into or exchangeable or exercisable for shares of Common Stock, warrants or any rights to purchase or acquire, shares of Common Stock prior to the later of the termination of this Agreement and the thirtieth day immediately following the final Settlement Date with respect to Placement Shares sold pursuant to such Placement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restrictions will not be required in connection with the Company’s issuance or sale of (i) shares of Common Stock, options to purchase shares of Common Stock, other securities under the Company’s existing equity incentive plans, or shares of Common Stock issuable upon the exercise of options or other equity awards or vesting of other securities, pursuant to any employee or director stock option or benefits plan, stock ownership plan, dividend reinvestment plan (but not shares of Common Stock subject to a waiver to exceed plan limits in its dividend reinvestment plan), inducement award under Nasdaq rules or other compensation plan of the Company whether now in effect or hereafter implemented, (ii) shares of Common Stock issuable upon the exchange, conversion or redemption of securities or the exercise or vesting of warrants, options or other rights in effect or outstanding, and disclosed in filings by the Company available on EDGAR or otherwise in writing to the Agent and (iii) shares of Common Stock or securities convertible into or exchangeable for shares of Common Stock as consideration for mergers; acquisitions; other business combinations; joint ventures; collaborations; licensing arrangements; manufacturing, distribution, marketing, supply, sponsored research, technology transfer or development or third party service arrangements; or strategic alliances occurring after the date of this Agreement which are not issued for capital raising purposes. Notwithstanding the foregoing provisions, subject to the Company’s compliance with the notice provisions set forth in this Section 7(i), nothing herein shall be construed to restrict the Company from entering into and/or consummating a committed underwritten equity offering or other similar offering of its registered securities, the Company’s ability to file, or require the Company to provide notice to Agent of the filing of, a registration statement under the Securities Act, or otherwise prohibit the issuance of its equity securities in a private placement transaction, or require that the Company provide notice of, or obtain prior written consent, to do any of the foregoing.</w:t>
      </w:r>
    </w:p>
    <w:p>
      <w:pPr>
        <w:spacing w:after="0" w:line="203" w:lineRule="exact"/>
        <w:rPr>
          <w:rFonts w:ascii="Times New Roman" w:cs="Times New Roman" w:eastAsia="Times New Roman" w:hAnsi="Times New Roman"/>
          <w:sz w:val="18"/>
          <w:szCs w:val="18"/>
          <w:color w:val="auto"/>
        </w:rPr>
      </w:pPr>
    </w:p>
    <w:p>
      <w:pPr>
        <w:ind w:right="40" w:firstLine="436"/>
        <w:spacing w:after="0" w:line="26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a fiscal quarter in which the Company intends to tender a Placement Notice or sell Placement Shares, advise the Agent promptly after it shall have received notice or obtained knowledge of any information or fact that would alter or affect in any material respect any opinion, certificate, letter or other document provided or required to be provided to the Agent pursuant to this Agreement.</w:t>
      </w:r>
    </w:p>
    <w:p>
      <w:pPr>
        <w:spacing w:after="0" w:line="179"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Cooperation</w:t>
      </w:r>
      <w:r>
        <w:rPr>
          <w:rFonts w:ascii="Times New Roman" w:cs="Times New Roman" w:eastAsia="Times New Roman" w:hAnsi="Times New Roman"/>
          <w:sz w:val="18"/>
          <w:szCs w:val="18"/>
          <w:color w:val="auto"/>
        </w:rPr>
        <w:t>. During the term of this Agreement, the Company will cooperate with any reasonable due diligence review conducted by the Agent, its affiliates agents and counsel from time to time in connection with the transactions contemplated hereby, including providing information and making available documents and senior corporate officers, during regular business hours and at the Company’s principal offices, as the Agent may reasonably request.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4" w:name="page25"/>
    <w:bookmarkEnd w:id="24"/>
    <w:p>
      <w:pPr>
        <w:ind w:left="4" w:right="40" w:firstLine="436"/>
        <w:spacing w:after="0" w:line="254" w:lineRule="auto"/>
        <w:tabs>
          <w:tab w:leader="none" w:pos="65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Filings Relating to Placement of Placement Shares</w:t>
      </w:r>
      <w:r>
        <w:rPr>
          <w:rFonts w:ascii="Times New Roman" w:cs="Times New Roman" w:eastAsia="Times New Roman" w:hAnsi="Times New Roman"/>
          <w:sz w:val="18"/>
          <w:szCs w:val="18"/>
          <w:color w:val="auto"/>
        </w:rPr>
        <w:t xml:space="preserve">. The Company agrees that on or prior to such dates as the Securities Act shall require, the Company will (i) file a prospectus supplement with the Commission under the applicable paragraph of Rule 424(b) under the Securities Act, which prospectus supplement will set forth, within the relevant period, the number or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unless a prospectus supplement containing such information is required to be filed under the Securities Act, the requirement of this Section 7(l) may be satisfied by Company’s inclusion in the Company’s Form 10-K or Form 10-Q, as applicable, of the number or amount of Placement Shares sold through the Agent, the Net Proceeds to the Company and the compensation payable by the Company to the Agent with respect to such Placement Shares during the relevant period.</w:t>
      </w:r>
    </w:p>
    <w:p>
      <w:pPr>
        <w:spacing w:after="0" w:line="188" w:lineRule="exact"/>
        <w:rPr>
          <w:rFonts w:ascii="Times New Roman" w:cs="Times New Roman" w:eastAsia="Times New Roman" w:hAnsi="Times New Roman"/>
          <w:sz w:val="18"/>
          <w:szCs w:val="18"/>
          <w:color w:val="auto"/>
        </w:rPr>
      </w:pPr>
    </w:p>
    <w:p>
      <w:pPr>
        <w:ind w:left="4" w:right="140" w:firstLine="436"/>
        <w:spacing w:after="0" w:line="282" w:lineRule="auto"/>
        <w:tabs>
          <w:tab w:leader="none" w:pos="74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Dates; Certificate</w:t>
      </w:r>
      <w:r>
        <w:rPr>
          <w:rFonts w:ascii="Times New Roman" w:cs="Times New Roman" w:eastAsia="Times New Roman" w:hAnsi="Times New Roman"/>
          <w:sz w:val="18"/>
          <w:szCs w:val="18"/>
          <w:color w:val="auto"/>
        </w:rPr>
        <w:t>. On or prior to the date on which the Company first delivers a Placement Notice pursuant to this agreement (the “</w:t>
      </w:r>
      <w:r>
        <w:rPr>
          <w:rFonts w:ascii="Times New Roman" w:cs="Times New Roman" w:eastAsia="Times New Roman" w:hAnsi="Times New Roman"/>
          <w:sz w:val="18"/>
          <w:szCs w:val="18"/>
          <w:b w:val="1"/>
          <w:bCs w:val="1"/>
          <w:u w:val="single" w:color="auto"/>
          <w:color w:val="auto"/>
        </w:rPr>
        <w:t>First Placement Notice Date</w:t>
      </w:r>
      <w:r>
        <w:rPr>
          <w:rFonts w:ascii="Times New Roman" w:cs="Times New Roman" w:eastAsia="Times New Roman" w:hAnsi="Times New Roman"/>
          <w:sz w:val="18"/>
          <w:szCs w:val="18"/>
          <w:color w:val="auto"/>
        </w:rPr>
        <w:t>”) and each time the Company:</w:t>
      </w:r>
    </w:p>
    <w:p>
      <w:pPr>
        <w:spacing w:after="0" w:line="161"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1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amends or supplements the Registration Statement or the Prospectus relating to the Placement Shares (other than a prospectus supplement filed in accordance with Section 7(l) of this Agreement) by means of a post-effective amendment, sticker or supplement but not by means of incorporation of document(s) by reference into the Registration Statement or the Prospectus relating to the Placement Shares;</w:t>
      </w:r>
    </w:p>
    <w:p>
      <w:pPr>
        <w:spacing w:after="0" w:line="175" w:lineRule="exact"/>
        <w:rPr>
          <w:rFonts w:ascii="Times New Roman" w:cs="Times New Roman" w:eastAsia="Times New Roman" w:hAnsi="Times New Roman"/>
          <w:sz w:val="18"/>
          <w:szCs w:val="18"/>
          <w:color w:val="auto"/>
        </w:rPr>
      </w:pPr>
    </w:p>
    <w:p>
      <w:pPr>
        <w:ind w:left="4" w:firstLine="987"/>
        <w:spacing w:after="0" w:line="282" w:lineRule="auto"/>
        <w:tabs>
          <w:tab w:leader="none" w:pos="126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annual report on Form 10-K under the Exchange Act (including any Form 10-K/A containing amended financial information or a material amendment to the previously filed Form 10-K) (a “</w:t>
      </w:r>
      <w:r>
        <w:rPr>
          <w:rFonts w:ascii="Times New Roman" w:cs="Times New Roman" w:eastAsia="Times New Roman" w:hAnsi="Times New Roman"/>
          <w:sz w:val="18"/>
          <w:szCs w:val="18"/>
          <w:b w:val="1"/>
          <w:bCs w:val="1"/>
          <w:u w:val="single" w:color="auto"/>
          <w:color w:val="auto"/>
        </w:rPr>
        <w:t>10-K Filing Event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quarterly report on Form 10-Q under the Exchange Act; or</w:t>
      </w:r>
    </w:p>
    <w:p>
      <w:pPr>
        <w:spacing w:after="0" w:line="225" w:lineRule="exact"/>
        <w:rPr>
          <w:rFonts w:ascii="Times New Roman" w:cs="Times New Roman" w:eastAsia="Times New Roman" w:hAnsi="Times New Roman"/>
          <w:sz w:val="18"/>
          <w:szCs w:val="18"/>
          <w:color w:val="auto"/>
        </w:rPr>
      </w:pPr>
    </w:p>
    <w:p>
      <w:pPr>
        <w:ind w:left="4" w:right="420" w:firstLine="987"/>
        <w:spacing w:after="0" w:line="276" w:lineRule="auto"/>
        <w:tabs>
          <w:tab w:leader="none" w:pos="1300" w:val="left"/>
        </w:tabs>
        <w:numPr>
          <w:ilvl w:val="2"/>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files a current report on Form 8-K containing amended financial information (other than an earnings release that is “furnished” pursuant to Item 2.02 or Item 7.01 of Form 8-K) under the Exchange Act (each date of filing of one or more of the documents referred to in clauses</w:t>
      </w:r>
    </w:p>
    <w:p>
      <w:pPr>
        <w:ind w:left="224" w:hanging="224"/>
        <w:spacing w:after="0"/>
        <w:tabs>
          <w:tab w:leader="none" w:pos="2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(iv) shall be a “</w:t>
      </w:r>
      <w:r>
        <w:rPr>
          <w:rFonts w:ascii="Times New Roman" w:cs="Times New Roman" w:eastAsia="Times New Roman" w:hAnsi="Times New Roman"/>
          <w:sz w:val="18"/>
          <w:szCs w:val="18"/>
          <w:b w:val="1"/>
          <w:bCs w:val="1"/>
          <w:u w:val="single" w:color="auto"/>
          <w:color w:val="auto"/>
        </w:rPr>
        <w:t>Representation Date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 xml:space="preserve">the Company shall furnish the Agent (but in the case of clause (iv) above only if (1) a Placement Notice is pending or in effect and (2) the Agent requests such certificate within three Business Days after the filing of such Form 8-K with the Commission) with a certificate, in the form attached hereto as </w:t>
      </w:r>
      <w:r>
        <w:rPr>
          <w:rFonts w:ascii="Times New Roman" w:cs="Times New Roman" w:eastAsia="Times New Roman" w:hAnsi="Times New Roman"/>
          <w:sz w:val="18"/>
          <w:szCs w:val="18"/>
          <w:b w:val="1"/>
          <w:bCs w:val="1"/>
          <w:u w:val="single" w:color="auto"/>
          <w:color w:val="auto"/>
        </w:rPr>
        <w:t>Exhibit 7(m)</w:t>
      </w:r>
      <w:r>
        <w:rPr>
          <w:rFonts w:ascii="Times New Roman" w:cs="Times New Roman" w:eastAsia="Times New Roman" w:hAnsi="Times New Roman"/>
          <w:sz w:val="18"/>
          <w:szCs w:val="18"/>
          <w:color w:val="auto"/>
        </w:rPr>
        <w:t xml:space="preserve"> (modified, as necessary, to relate to the Registration Statement and the Prospectus as then amended or supplemented), within two Trading Days of any Representation Date. The requirement to provide a certificate under this Section 7(m) shall be waived for any Representation Date occurring at a time at which no Placement Notice is pending or in effect, which waiver shall continue until the earlier to occur of (1) the date the Company delivers a Placement Notice hereunder (which for such calendar quarter shall be considered a Representation Date) and (2) the next occurring Representation Date. Notwithstanding the foregoing, if the Company subsequently decides to sell Placement Shares following a Representation Date on which the Company relied on the waiver referred to in the previous sentence and did not provide the Agent with a certificate under this Section 7(m), then before the Company delivers a Placement Notice or the Agent sells any Placement Shares pursuant thereto, the Company shall provide the Agent with a certificate, in the form attached hereto as </w:t>
      </w:r>
      <w:r>
        <w:rPr>
          <w:rFonts w:ascii="Times New Roman" w:cs="Times New Roman" w:eastAsia="Times New Roman" w:hAnsi="Times New Roman"/>
          <w:sz w:val="18"/>
          <w:szCs w:val="18"/>
          <w:b w:val="1"/>
          <w:bCs w:val="1"/>
          <w:u w:val="single" w:color="auto"/>
          <w:color w:val="auto"/>
        </w:rPr>
        <w:t>Exhibit 7(m)</w:t>
      </w:r>
      <w:r>
        <w:rPr>
          <w:rFonts w:ascii="Times New Roman" w:cs="Times New Roman" w:eastAsia="Times New Roman" w:hAnsi="Times New Roman"/>
          <w:sz w:val="18"/>
          <w:szCs w:val="18"/>
          <w:color w:val="auto"/>
        </w:rPr>
        <w:t>, dated the date of such Placement Notice. Within two Trading Days of each Representation Date, the Company shall have furnished to the Agent such further information, certificates and documents as the Agent may reasonably request.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4"/>
          </w:cols>
          <w:pgMar w:left="436" w:top="270" w:right="439" w:bottom="1440" w:gutter="0" w:footer="0" w:header="0"/>
        </w:sectPr>
      </w:pPr>
    </w:p>
    <w:bookmarkStart w:id="25" w:name="page26"/>
    <w:bookmarkEnd w:id="25"/>
    <w:p>
      <w:pPr>
        <w:ind w:left="4" w:right="20" w:firstLine="436"/>
        <w:spacing w:after="0" w:line="254" w:lineRule="auto"/>
        <w:tabs>
          <w:tab w:leader="none" w:pos="69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Opinions</w:t>
      </w:r>
      <w:r>
        <w:rPr>
          <w:rFonts w:ascii="Times New Roman" w:cs="Times New Roman" w:eastAsia="Times New Roman" w:hAnsi="Times New Roman"/>
          <w:sz w:val="18"/>
          <w:szCs w:val="18"/>
          <w:color w:val="auto"/>
        </w:rPr>
        <w:t>. On or prior to the First Placement Notice Date and on any date which the Company is obligated to deliver a certificate pursuant to Section 7(m) for which no waiver is applicable, the Company shall cause to be furnished to the Agent the written opinion and negative assurance letter of Wilson Sonsini Goodrich &amp; Rosati, P.C., counsel to the Company, or such other counsel satisfactory to the Agent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Counsel</w:t>
      </w:r>
      <w:r>
        <w:rPr>
          <w:rFonts w:ascii="Times New Roman" w:cs="Times New Roman" w:eastAsia="Times New Roman" w:hAnsi="Times New Roman"/>
          <w:sz w:val="18"/>
          <w:szCs w:val="18"/>
          <w:color w:val="auto"/>
        </w:rPr>
        <w:t>”), in form and substance satisfactory to the Agent and its counsel, dated the date that the opinion and negative assurance letter are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delivered,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lieu of such opinion and negative assurance letter for subsequent Representation Dates, Company Counsel may furnish the Agent with a letter to the effect that the Agent may rely on a prior opinion or negative assurance letter delivered by such counsel under this Section 7(n) to the same extent as if it were dated the date of such letter (except that statements in such prior opinion or negative assurance letter shall be deemed to relate to the Registration Statement and the Prospectus as amended or supplemented at such Representation Date).</w:t>
      </w:r>
    </w:p>
    <w:p>
      <w:pPr>
        <w:spacing w:after="0" w:line="188" w:lineRule="exact"/>
        <w:rPr>
          <w:rFonts w:ascii="Times New Roman" w:cs="Times New Roman" w:eastAsia="Times New Roman" w:hAnsi="Times New Roman"/>
          <w:sz w:val="18"/>
          <w:szCs w:val="18"/>
          <w:color w:val="auto"/>
        </w:rPr>
      </w:pPr>
    </w:p>
    <w:p>
      <w:pPr>
        <w:ind w:left="4" w:right="60" w:firstLine="436"/>
        <w:spacing w:after="0" w:line="261" w:lineRule="auto"/>
        <w:tabs>
          <w:tab w:leader="none" w:pos="69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Opinion</w:t>
      </w:r>
      <w:r>
        <w:rPr>
          <w:rFonts w:ascii="Times New Roman" w:cs="Times New Roman" w:eastAsia="Times New Roman" w:hAnsi="Times New Roman"/>
          <w:sz w:val="18"/>
          <w:szCs w:val="18"/>
          <w:color w:val="auto"/>
        </w:rPr>
        <w:t>. On or prior to the First Placement Notice Date and on any date on which the Company is obligated to deliver a certificate pursuant to Section 7(m) for which no waiver is applicable, the Company shall cause to be furnished to the Agent the written opinions of</w:t>
      </w:r>
    </w:p>
    <w:p>
      <w:pPr>
        <w:ind w:left="4" w:hanging="4"/>
        <w:spacing w:after="0" w:line="252" w:lineRule="auto"/>
        <w:tabs>
          <w:tab w:leader="none" w:pos="2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Cooley LLP and (ii) Wilson Sonsini Goodrich &amp; Rosati, P.C., each counsel for the Company with respect to intellectual property matters, or such other intellectual property counsel satisfactory to the Agent (“</w:t>
      </w:r>
      <w:r>
        <w:rPr>
          <w:rFonts w:ascii="Times New Roman" w:cs="Times New Roman" w:eastAsia="Times New Roman" w:hAnsi="Times New Roman"/>
          <w:sz w:val="18"/>
          <w:szCs w:val="18"/>
          <w:b w:val="1"/>
          <w:bCs w:val="1"/>
          <w:u w:val="single" w:color="auto"/>
          <w:color w:val="auto"/>
        </w:rPr>
        <w:t>Intellectual Property Counsel</w:t>
      </w:r>
      <w:r>
        <w:rPr>
          <w:rFonts w:ascii="Times New Roman" w:cs="Times New Roman" w:eastAsia="Times New Roman" w:hAnsi="Times New Roman"/>
          <w:sz w:val="18"/>
          <w:szCs w:val="18"/>
          <w:color w:val="auto"/>
        </w:rPr>
        <w:t xml:space="preserve">”), in form and substance satisfactory to the Agent and its counsel, dated the date that the opinion letters are required to be delivered,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lieu of such written opinions for subsequent Representation Dates, Intellectual Property Counsel may furnish the Agent with a letter to the effect that the Agent may rely on a prior opinion letter delivered by such counsel under this Section 7(o) to the same extent as if it were dated the date of such opinion letter (except that statements in such prior opinion letter shall be deemed to relate to the Registration Statement and the Prospectus as amended or supplemented at such Representation Date).</w:t>
      </w:r>
    </w:p>
    <w:p>
      <w:pPr>
        <w:spacing w:after="0" w:line="188" w:lineRule="exact"/>
        <w:rPr>
          <w:rFonts w:ascii="Times New Roman" w:cs="Times New Roman" w:eastAsia="Times New Roman" w:hAnsi="Times New Roman"/>
          <w:sz w:val="18"/>
          <w:szCs w:val="18"/>
          <w:color w:val="auto"/>
        </w:rPr>
      </w:pPr>
    </w:p>
    <w:p>
      <w:pPr>
        <w:ind w:left="4" w:right="20" w:firstLine="436"/>
        <w:spacing w:after="0" w:line="253" w:lineRule="auto"/>
        <w:tabs>
          <w:tab w:leader="none" w:pos="69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On or prior to the First Placement Notice Date and on any date which the Company is obligated to deliver a certificate pursuant to Section 7(m) for which no waiver is applicable, the Company shall cause its independent registered public accounting firm (and any other independent accountants whose report is included in the Registration Statement or the Prospectus) to furnish the Agent a letter (a “</w:t>
      </w:r>
      <w:r>
        <w:rPr>
          <w:rFonts w:ascii="Times New Roman" w:cs="Times New Roman" w:eastAsia="Times New Roman" w:hAnsi="Times New Roman"/>
          <w:sz w:val="18"/>
          <w:szCs w:val="18"/>
          <w:b w:val="1"/>
          <w:bCs w:val="1"/>
          <w:u w:val="single" w:color="auto"/>
          <w:color w:val="auto"/>
        </w:rPr>
        <w:t>Comfort Letter</w:t>
      </w:r>
      <w:r>
        <w:rPr>
          <w:rFonts w:ascii="Times New Roman" w:cs="Times New Roman" w:eastAsia="Times New Roman" w:hAnsi="Times New Roman"/>
          <w:sz w:val="18"/>
          <w:szCs w:val="18"/>
          <w:color w:val="auto"/>
        </w:rPr>
        <w:t xml:space="preserve">”), dated the date the Comfort Letter is delivered, which shall meet the requirements set forth in this Section 7(p);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requested by the Agent, the Company shall cause a Comfort Letter to be furnished to the Agent within 10 Trading Days of the occurrence of any material transaction or event that necessitates the filing of additional, pro forma, amended or revised financial statements (including any restatement of previously issued financial statements). Each Comfort Letter shall be in form and substance satisfactory to the Agent and each Comfort Letter from the Company’s independent registered public accounting firm shall (i) confirm that they are an independent registered public accounting firm within the meaning of the Securities Act and the PCAOB, (ii) state,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b w:val="1"/>
          <w:bCs w:val="1"/>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Comfort Letter</w:t>
      </w:r>
      <w:r>
        <w:rPr>
          <w:rFonts w:ascii="Times New Roman" w:cs="Times New Roman" w:eastAsia="Times New Roman" w:hAnsi="Times New Roman"/>
          <w:sz w:val="18"/>
          <w:szCs w:val="18"/>
          <w:color w:val="auto"/>
        </w:rPr>
        <w:t>”) and (iii) update the Initial Comfort Letter with any information that would have been included in the Initial Comfort Letter had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given on such date and modified as necessary to relate to the Registration Statement and the Prospectus, as amended and supplemented to the date of such letter.</w:t>
      </w:r>
    </w:p>
    <w:p>
      <w:pPr>
        <w:spacing w:after="0" w:line="120"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24"/>
          </w:cols>
          <w:pgMar w:left="436" w:top="270" w:right="539" w:bottom="1440" w:gutter="0" w:footer="0" w:header="0"/>
        </w:sectPr>
      </w:pPr>
    </w:p>
    <w:bookmarkStart w:id="26" w:name="page27"/>
    <w:bookmarkEnd w:id="26"/>
    <w:p>
      <w:pPr>
        <w:ind w:firstLine="436"/>
        <w:spacing w:after="0" w:line="258"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Market Activities</w:t>
      </w:r>
      <w:r>
        <w:rPr>
          <w:rFonts w:ascii="Times New Roman" w:cs="Times New Roman" w:eastAsia="Times New Roman" w:hAnsi="Times New Roman"/>
          <w:sz w:val="18"/>
          <w:szCs w:val="18"/>
          <w:color w:val="auto"/>
        </w:rPr>
        <w:t xml:space="preserve">. The Company will not, directly or indirectly, (i) take any action designed to cause or result in, or that constitutes or might reasonably be expected to constitute, the stabilization or manipulation of the price of any security of the Company to facilitate the sale or resale of shares of Common Stock or (ii) sell, bid for, or purchase shares of Common Stock in violation of Regulation M, or pay anyone any compensation for soliciting purchases of the Placement Shares other than the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bid for and purchase shares of Common Stock in accordance with Rule 10b-18 under the Exchange Act.</w:t>
      </w:r>
    </w:p>
    <w:p>
      <w:pPr>
        <w:spacing w:after="0" w:line="183" w:lineRule="exact"/>
        <w:rPr>
          <w:rFonts w:ascii="Times New Roman" w:cs="Times New Roman" w:eastAsia="Times New Roman" w:hAnsi="Times New Roman"/>
          <w:sz w:val="18"/>
          <w:szCs w:val="18"/>
          <w:color w:val="auto"/>
        </w:rPr>
      </w:pPr>
    </w:p>
    <w:p>
      <w:pPr>
        <w:ind w:right="320" w:firstLine="436"/>
        <w:spacing w:after="0" w:line="282" w:lineRule="auto"/>
        <w:tabs>
          <w:tab w:leader="none" w:pos="6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shall maintain, or cause to be maintained, insurance in such amounts and covering such risks as is reasonable and customary for the business for which it is engaged.</w:t>
      </w:r>
    </w:p>
    <w:p>
      <w:pPr>
        <w:spacing w:after="0" w:line="161" w:lineRule="exact"/>
        <w:rPr>
          <w:rFonts w:ascii="Times New Roman" w:cs="Times New Roman" w:eastAsia="Times New Roman" w:hAnsi="Times New Roman"/>
          <w:sz w:val="18"/>
          <w:szCs w:val="18"/>
          <w:color w:val="auto"/>
        </w:rPr>
      </w:pPr>
    </w:p>
    <w:p>
      <w:pPr>
        <w:ind w:right="440" w:firstLine="436"/>
        <w:spacing w:after="0" w:line="258" w:lineRule="auto"/>
        <w:tabs>
          <w:tab w:leader="none" w:pos="6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shall maintain, or cause to be maintained, all material environmental certificates, authorizations or permits required by federal, state and local law in order to conduct its business as described in the Prospectus (collectively,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and the Company shall conduct its business, or cause its business to be conducted, in substantial compliance with such Permits and with applicable Environmental Laws, except where the failure to maintain or be in compliance with such Permits could not reasonably be expected to result in a Material Adverse Effect.</w:t>
      </w:r>
    </w:p>
    <w:p>
      <w:pPr>
        <w:spacing w:after="0" w:line="183" w:lineRule="exact"/>
        <w:rPr>
          <w:rFonts w:ascii="Times New Roman" w:cs="Times New Roman" w:eastAsia="Times New Roman" w:hAnsi="Times New Roman"/>
          <w:sz w:val="18"/>
          <w:szCs w:val="18"/>
          <w:color w:val="auto"/>
        </w:rPr>
      </w:pPr>
    </w:p>
    <w:p>
      <w:pPr>
        <w:ind w:right="180" w:firstLine="436"/>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any of its subsidiaries, if any, will be or become, at any time prior to the termination of this Agreement, an “investment company,” as such term is defined in the Investment Company Act.</w:t>
      </w:r>
    </w:p>
    <w:p>
      <w:pPr>
        <w:spacing w:after="0" w:line="175" w:lineRule="exact"/>
        <w:rPr>
          <w:rFonts w:ascii="Times New Roman" w:cs="Times New Roman" w:eastAsia="Times New Roman" w:hAnsi="Times New Roman"/>
          <w:sz w:val="18"/>
          <w:szCs w:val="18"/>
          <w:color w:val="auto"/>
        </w:rPr>
      </w:pPr>
    </w:p>
    <w:p>
      <w:pPr>
        <w:ind w:right="300" w:firstLine="436"/>
        <w:spacing w:after="0" w:line="266"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and Exchange Act</w:t>
      </w:r>
      <w:r>
        <w:rPr>
          <w:rFonts w:ascii="Times New Roman" w:cs="Times New Roman" w:eastAsia="Times New Roman" w:hAnsi="Times New Roman"/>
          <w:sz w:val="18"/>
          <w:szCs w:val="18"/>
          <w:color w:val="auto"/>
        </w:rPr>
        <w:t>. The Company will use its reasonable best efforts to comply with all requirements imposed upon it by the Securities Act and the Exchange Act as from time to time in force, so far as necessary to permit the sales of, or dealings in, the Placement Shares as contemplated by the provisions hereof and the Prospectus.</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Other than a free writing prospectus (as defined in Rule 405 under the Securities Act) approved in advance by the Company and the Agent, neither the Agent nor the Company (including its agents and representatives, other than the Agent in its capacity as agent)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179" w:lineRule="exact"/>
        <w:rPr>
          <w:rFonts w:ascii="Times New Roman" w:cs="Times New Roman" w:eastAsia="Times New Roman" w:hAnsi="Times New Roman"/>
          <w:sz w:val="18"/>
          <w:szCs w:val="18"/>
          <w:color w:val="auto"/>
        </w:rPr>
      </w:pPr>
    </w:p>
    <w:p>
      <w:pPr>
        <w:ind w:firstLine="436"/>
        <w:spacing w:after="0" w:line="254" w:lineRule="auto"/>
        <w:tabs>
          <w:tab w:leader="none" w:pos="7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and Other Qualifications</w:t>
      </w:r>
      <w:r>
        <w:rPr>
          <w:rFonts w:ascii="Times New Roman" w:cs="Times New Roman" w:eastAsia="Times New Roman" w:hAnsi="Times New Roman"/>
          <w:sz w:val="18"/>
          <w:szCs w:val="18"/>
          <w:color w:val="auto"/>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27" w:name="page28"/>
    <w:bookmarkEnd w:id="27"/>
    <w:p>
      <w:pPr>
        <w:ind w:left="-20" w:right="360" w:firstLine="436"/>
        <w:spacing w:after="0" w:line="282" w:lineRule="auto"/>
        <w:tabs>
          <w:tab w:leader="none" w:pos="6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Sarbanes-Oxley Act</w:t>
      </w:r>
      <w:r>
        <w:rPr>
          <w:rFonts w:ascii="Times New Roman" w:cs="Times New Roman" w:eastAsia="Times New Roman" w:hAnsi="Times New Roman"/>
          <w:sz w:val="18"/>
          <w:szCs w:val="18"/>
          <w:color w:val="auto"/>
        </w:rPr>
        <w:t>. As applicable, the Company will comply with any provision of the Sarbanes-Oxley Act and the rules and regulations promulgated in connection therewith with which the Company is required to comply.</w:t>
      </w:r>
    </w:p>
    <w:p>
      <w:pPr>
        <w:spacing w:after="0" w:line="161" w:lineRule="exact"/>
        <w:rPr>
          <w:rFonts w:ascii="Times New Roman" w:cs="Times New Roman" w:eastAsia="Times New Roman" w:hAnsi="Times New Roman"/>
          <w:sz w:val="18"/>
          <w:szCs w:val="18"/>
          <w:color w:val="auto"/>
        </w:rPr>
      </w:pPr>
    </w:p>
    <w:p>
      <w:pPr>
        <w:ind w:left="-20" w:right="80" w:firstLine="436"/>
        <w:spacing w:after="0" w:line="282" w:lineRule="auto"/>
        <w:tabs>
          <w:tab w:leader="none" w:pos="6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 The Company will promptly notify the Agent if the company ceases to be an Emerging Growth Company at any time prior to the completion of the Agent’s distribution of the Placement Shares pursuant to this Agreement.</w:t>
      </w:r>
    </w:p>
    <w:p>
      <w:pPr>
        <w:spacing w:after="0" w:line="161" w:lineRule="exact"/>
        <w:rPr>
          <w:rFonts w:ascii="Times New Roman" w:cs="Times New Roman" w:eastAsia="Times New Roman" w:hAnsi="Times New Roman"/>
          <w:sz w:val="18"/>
          <w:szCs w:val="18"/>
          <w:color w:val="auto"/>
        </w:rPr>
      </w:pPr>
    </w:p>
    <w:p>
      <w:pPr>
        <w:ind w:left="-20" w:right="40" w:firstLine="436"/>
        <w:spacing w:after="0" w:line="254" w:lineRule="auto"/>
        <w:tabs>
          <w:tab w:leader="none" w:pos="6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Renewal of Registration Statement.</w:t>
      </w:r>
      <w:r>
        <w:rPr>
          <w:rFonts w:ascii="Times New Roman" w:cs="Times New Roman" w:eastAsia="Times New Roman" w:hAnsi="Times New Roman"/>
          <w:sz w:val="18"/>
          <w:szCs w:val="18"/>
          <w:color w:val="auto"/>
        </w:rPr>
        <w:t xml:space="preserve"> If, immediately prior to the third anniversary of the initial effective date of the Registration Statement (the “</w:t>
      </w:r>
      <w:r>
        <w:rPr>
          <w:rFonts w:ascii="Times New Roman" w:cs="Times New Roman" w:eastAsia="Times New Roman" w:hAnsi="Times New Roman"/>
          <w:sz w:val="18"/>
          <w:szCs w:val="18"/>
          <w:b w:val="1"/>
          <w:bCs w:val="1"/>
          <w:u w:val="single" w:color="auto"/>
          <w:color w:val="auto"/>
        </w:rPr>
        <w:t>Renewal Date</w:t>
      </w:r>
      <w:r>
        <w:rPr>
          <w:rFonts w:ascii="Times New Roman" w:cs="Times New Roman" w:eastAsia="Times New Roman" w:hAnsi="Times New Roman"/>
          <w:sz w:val="18"/>
          <w:szCs w:val="18"/>
          <w:color w:val="auto"/>
        </w:rPr>
        <w:t>”), any of the Placement Shares remain unsold and this Agreement has not been terminated, the Company will, prior to the Renewal Date, file a new shelf registration statement or, if applicable, an automatic shelf registration statement relating to the Common Stock that may be offered and sold pursuant to this Agreement (which shall include a prospectus reflecting the number or amount of Placement Shares that may be offered and sold pursuant to this Agreement), in a form satisfactory to the Agent and its counsel, and, if such registration statement is not an automatic shelf registration statement, will use its reasonable best efforts to cause such registration statement to be declared effective within 180 days after the Renewal Date. The Company will take all other reasonable actions necessary or appropriate to permit the public offer and sale of the Placement Shares to continue as contemplated in the expired registration statement and this Agreement. From and after the effective date thereof, references herein to the “Registration Statement” shall include such new shelf registration statement or such new automatic shelf registration statement, as the case may be.</w:t>
      </w:r>
    </w:p>
    <w:p>
      <w:pPr>
        <w:spacing w:after="0" w:line="188" w:lineRule="exact"/>
        <w:rPr>
          <w:sz w:val="20"/>
          <w:szCs w:val="20"/>
          <w:color w:val="auto"/>
        </w:rPr>
      </w:pPr>
    </w:p>
    <w:p>
      <w:pPr>
        <w:ind w:left="-20" w:right="60" w:firstLine="436"/>
        <w:spacing w:after="0" w:line="254" w:lineRule="auto"/>
        <w:tabs>
          <w:tab w:leader="none" w:pos="74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Instruction I.B.6. of Form S-3</w:t>
      </w:r>
      <w:r>
        <w:rPr>
          <w:rFonts w:ascii="Times New Roman" w:cs="Times New Roman" w:eastAsia="Times New Roman" w:hAnsi="Times New Roman"/>
          <w:sz w:val="18"/>
          <w:szCs w:val="18"/>
          <w:color w:val="auto"/>
        </w:rPr>
        <w:t xml:space="preserve">. If, from and after the date of this Agreement, the Company is no longer eligible to use Form S-3 (including pursuant to General Instruction I.B.6.) at the time it files with the Commission an annual report on Form 10-K or any post-effective amendment to the Registration Statement, then it shall promptly notify the Agent and, within two Business Days after the date of filing of such annual report on Form 10-K or amendment to the Registration Statement, the Company shall file a new prospectus supplement with the Commission reflecting the number of shares of Common Stock available to be offered and sold by the Company under this Agreement pursuant to General Instruction I.B.6. of Form S-3;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delay the filing of any such prospectus supplement, provided that no Placement Notice is in effect or pending during such time. Until such time as the Company shall have corrected such misstatement or omission or effected such compliance, the Company shall not notify the Agent to resume the offering of Placement Shares.</w:t>
      </w:r>
    </w:p>
    <w:p>
      <w:pPr>
        <w:spacing w:after="0" w:line="191" w:lineRule="exact"/>
        <w:rPr>
          <w:rFonts w:ascii="Times New Roman" w:cs="Times New Roman" w:eastAsia="Times New Roman" w:hAnsi="Times New Roman"/>
          <w:sz w:val="18"/>
          <w:szCs w:val="18"/>
          <w:color w:val="auto"/>
        </w:rPr>
      </w:pPr>
    </w:p>
    <w:p>
      <w:pPr>
        <w:ind w:left="-20" w:firstLine="436"/>
        <w:spacing w:after="0" w:line="282" w:lineRule="auto"/>
        <w:tabs>
          <w:tab w:leader="none" w:pos="7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Indemnity</w:t>
      </w:r>
      <w:r>
        <w:rPr>
          <w:rFonts w:ascii="Times New Roman" w:cs="Times New Roman" w:eastAsia="Times New Roman" w:hAnsi="Times New Roman"/>
          <w:sz w:val="18"/>
          <w:szCs w:val="18"/>
          <w:color w:val="auto"/>
        </w:rPr>
        <w:t>. The Company will indemnify and hold harmless the Agent against any documentary, stamp or similar issue tax, including any interest and penalties, on the issue and sale of the Placement Shares.</w:t>
      </w:r>
    </w:p>
    <w:p>
      <w:pPr>
        <w:spacing w:after="0" w:line="161" w:lineRule="exact"/>
        <w:rPr>
          <w:rFonts w:ascii="Times New Roman" w:cs="Times New Roman" w:eastAsia="Times New Roman" w:hAnsi="Times New Roman"/>
          <w:sz w:val="18"/>
          <w:szCs w:val="18"/>
          <w:color w:val="auto"/>
        </w:rPr>
      </w:pPr>
    </w:p>
    <w:p>
      <w:pPr>
        <w:ind w:left="740" w:hanging="324"/>
        <w:spacing w:after="0"/>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has engaged and will maintain, at its sole expense, a transfer agent and registrar for the Common Stock.</w:t>
      </w:r>
    </w:p>
    <w:p>
      <w:pPr>
        <w:spacing w:after="0" w:line="225" w:lineRule="exact"/>
        <w:rPr>
          <w:sz w:val="20"/>
          <w:szCs w:val="20"/>
          <w:color w:val="auto"/>
        </w:rPr>
      </w:pPr>
    </w:p>
    <w:p>
      <w:pPr>
        <w:ind w:left="-20" w:right="340" w:firstLine="436"/>
        <w:spacing w:after="0" w:line="261" w:lineRule="auto"/>
        <w:tabs>
          <w:tab w:leader="none" w:pos="6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Agent’s Obligations</w:t>
      </w:r>
      <w:r>
        <w:rPr>
          <w:rFonts w:ascii="Times New Roman" w:cs="Times New Roman" w:eastAsia="Times New Roman" w:hAnsi="Times New Roman"/>
          <w:sz w:val="18"/>
          <w:szCs w:val="18"/>
          <w:color w:val="auto"/>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the Agent in its reasonable judgment, and to the continuing satisfaction (or waiver by the Agent in its sole discretion) of the following additional conditions:</w:t>
      </w:r>
    </w:p>
    <w:p>
      <w:pPr>
        <w:spacing w:after="0" w:line="180" w:lineRule="exact"/>
        <w:rPr>
          <w:sz w:val="20"/>
          <w:szCs w:val="20"/>
          <w:color w:val="auto"/>
        </w:rPr>
      </w:pPr>
    </w:p>
    <w:p>
      <w:pPr>
        <w:ind w:left="-20" w:right="420" w:firstLine="436"/>
        <w:spacing w:after="0" w:line="282" w:lineRule="auto"/>
        <w:tabs>
          <w:tab w:leader="none" w:pos="6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be effective and shall be available for all offers and sales of Placement Shares (i) that have been issued pursuant to all prior Placement Notices and (ii) that will be issued pursuant to any Placement Notice.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60" w:top="270" w:right="459" w:bottom="1440" w:gutter="0" w:footer="0" w:header="0"/>
        </w:sectPr>
      </w:pPr>
    </w:p>
    <w:bookmarkStart w:id="28" w:name="page29"/>
    <w:bookmarkEnd w:id="28"/>
    <w:p>
      <w:pPr>
        <w:ind w:left="-20" w:right="280" w:firstLine="436"/>
        <w:spacing w:after="0" w:line="282" w:lineRule="auto"/>
        <w:tabs>
          <w:tab w:leader="none" w:pos="6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Prospectus Supplement</w:t>
      </w:r>
      <w:r>
        <w:rPr>
          <w:rFonts w:ascii="Times New Roman" w:cs="Times New Roman" w:eastAsia="Times New Roman" w:hAnsi="Times New Roman"/>
          <w:sz w:val="18"/>
          <w:szCs w:val="18"/>
          <w:color w:val="auto"/>
        </w:rPr>
        <w:t>. The Company shall have filed with the Commission the Prospectus Supplement pursuant to Rule 424(b) under the Securities Act not later than the Commission’s close of business on the second Business Day following the date of this Agreement.</w:t>
      </w:r>
    </w:p>
    <w:p>
      <w:pPr>
        <w:spacing w:after="0" w:line="161" w:lineRule="exact"/>
        <w:rPr>
          <w:rFonts w:ascii="Times New Roman" w:cs="Times New Roman" w:eastAsia="Times New Roman" w:hAnsi="Times New Roman"/>
          <w:sz w:val="18"/>
          <w:szCs w:val="18"/>
          <w:color w:val="auto"/>
        </w:rPr>
      </w:pPr>
    </w:p>
    <w:p>
      <w:pPr>
        <w:ind w:left="-20" w:firstLine="436"/>
        <w:spacing w:after="0" w:line="253" w:lineRule="auto"/>
        <w:tabs>
          <w:tab w:leader="none" w:pos="6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Incorporated Document untrue in any material respect or that requires the making of any changes in the Registration Statement, the Prospectus or Incorporated Documents so that, in the case of the Registration Statement, it will not contain any untrue statement of a material fact or omit to state any material fact required to be stated therein or necessary to make the statements therein not misleading and, in the case of the Prospectus, so that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89" w:lineRule="exact"/>
        <w:rPr>
          <w:rFonts w:ascii="Times New Roman" w:cs="Times New Roman" w:eastAsia="Times New Roman" w:hAnsi="Times New Roman"/>
          <w:sz w:val="18"/>
          <w:szCs w:val="18"/>
          <w:color w:val="auto"/>
        </w:rPr>
      </w:pPr>
    </w:p>
    <w:p>
      <w:pPr>
        <w:ind w:left="-20" w:right="60" w:firstLine="436"/>
        <w:spacing w:after="0" w:line="266" w:lineRule="auto"/>
        <w:tabs>
          <w:tab w:leader="none" w:pos="6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The Agent shall not have advised the Company that the Registration Statement or Prospectus, or any amendment or supplement thereto, contains an untrue statement of fact that in the Agent’s opinion is material, or omits to state a fact that in the Agent’s opinion is material and is required to be stated therein or is necessary to make the statements therein not misleading.</w:t>
      </w:r>
    </w:p>
    <w:p>
      <w:pPr>
        <w:spacing w:after="0" w:line="175" w:lineRule="exact"/>
        <w:rPr>
          <w:rFonts w:ascii="Times New Roman" w:cs="Times New Roman" w:eastAsia="Times New Roman" w:hAnsi="Times New Roman"/>
          <w:sz w:val="18"/>
          <w:szCs w:val="18"/>
          <w:color w:val="auto"/>
        </w:rPr>
      </w:pPr>
    </w:p>
    <w:p>
      <w:pPr>
        <w:ind w:left="-20" w:firstLine="436"/>
        <w:spacing w:after="0" w:line="255" w:lineRule="auto"/>
        <w:tabs>
          <w:tab w:leader="none" w:pos="6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change, on a consolidated basis, in the authorized capital stock of the Company or any Material Adverse Effect or any development that could reasonably be expected to result in a Material Adverse Effect, or any downgrading in or withdrawal of the rating assigned to any of the Company’s securities (other than asset backed securities), if any, by any rating organization or a public announcement by any rating organization that it has under surveillance or review its rating of any of the Company’s securities (other than asset backed securities), if any, the effect of which, in the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88" w:lineRule="exact"/>
        <w:rPr>
          <w:rFonts w:ascii="Times New Roman" w:cs="Times New Roman" w:eastAsia="Times New Roman" w:hAnsi="Times New Roman"/>
          <w:sz w:val="18"/>
          <w:szCs w:val="18"/>
          <w:color w:val="auto"/>
        </w:rPr>
      </w:pPr>
    </w:p>
    <w:p>
      <w:pPr>
        <w:ind w:left="-20" w:right="340" w:firstLine="436"/>
        <w:spacing w:after="0" w:line="266" w:lineRule="auto"/>
        <w:tabs>
          <w:tab w:leader="none" w:pos="64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Counsel Legal Opinions</w:t>
      </w:r>
      <w:r>
        <w:rPr>
          <w:rFonts w:ascii="Times New Roman" w:cs="Times New Roman" w:eastAsia="Times New Roman" w:hAnsi="Times New Roman"/>
          <w:sz w:val="18"/>
          <w:szCs w:val="18"/>
          <w:color w:val="auto"/>
        </w:rPr>
        <w:t>. The Agent shall have received the opinions and negative assurance letters, as applicable, of Company Counsel and Intellectual Property Counsel required to be delivered pursuant to Section 7(n) and Section 7(o), as applicable, on or before the date on which such delivery of such opinions and negative assurance letters are required pursuant to Section 7(n) and Section 7(o), as applicable.</w:t>
      </w:r>
    </w:p>
    <w:p>
      <w:pPr>
        <w:spacing w:after="0" w:line="175" w:lineRule="exact"/>
        <w:rPr>
          <w:rFonts w:ascii="Times New Roman" w:cs="Times New Roman" w:eastAsia="Times New Roman" w:hAnsi="Times New Roman"/>
          <w:sz w:val="18"/>
          <w:szCs w:val="18"/>
          <w:color w:val="auto"/>
        </w:rPr>
      </w:pPr>
    </w:p>
    <w:p>
      <w:pPr>
        <w:ind w:left="-20" w:firstLine="436"/>
        <w:spacing w:after="0" w:line="261" w:lineRule="auto"/>
        <w:tabs>
          <w:tab w:leader="none" w:pos="6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Counsel Legal Opinion</w:t>
      </w:r>
      <w:r>
        <w:rPr>
          <w:rFonts w:ascii="Times New Roman" w:cs="Times New Roman" w:eastAsia="Times New Roman" w:hAnsi="Times New Roman"/>
          <w:sz w:val="18"/>
          <w:szCs w:val="18"/>
          <w:color w:val="auto"/>
        </w:rPr>
        <w:t>. The Agent shall have received from Davis Polk &amp; Wardwell LLP, counsel for the Agent, such opinion or opinions, on or before the date on which the delivery of the Company Counsel legal opinion is required pursuant to Section 7(n), with respect to such matters as the Agent may reasonably require, and the Company shall have furnished to such counsel such documents as they may request to enable them to pass upon such matters.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60" w:top="270" w:right="479" w:bottom="1440" w:gutter="0" w:footer="0" w:header="0"/>
        </w:sectPr>
      </w:pPr>
    </w:p>
    <w:bookmarkStart w:id="29" w:name="page30"/>
    <w:bookmarkEnd w:id="29"/>
    <w:p>
      <w:pPr>
        <w:ind w:left="4" w:right="220" w:firstLine="436"/>
        <w:spacing w:after="0" w:line="282" w:lineRule="auto"/>
        <w:tabs>
          <w:tab w:leader="none" w:pos="69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Comfort Letter</w:t>
      </w:r>
      <w:r>
        <w:rPr>
          <w:rFonts w:ascii="Times New Roman" w:cs="Times New Roman" w:eastAsia="Times New Roman" w:hAnsi="Times New Roman"/>
          <w:sz w:val="18"/>
          <w:szCs w:val="18"/>
          <w:color w:val="auto"/>
        </w:rPr>
        <w:t>. The Agent shall have received the Comfort Letter required to be delivered pursuant to Section 7(p) on or before the date on which such delivery of such Comfort Letter is required pursuant to Section 7(p).</w:t>
      </w:r>
    </w:p>
    <w:p>
      <w:pPr>
        <w:spacing w:after="0" w:line="161" w:lineRule="exact"/>
        <w:rPr>
          <w:rFonts w:ascii="Times New Roman" w:cs="Times New Roman" w:eastAsia="Times New Roman" w:hAnsi="Times New Roman"/>
          <w:sz w:val="18"/>
          <w:szCs w:val="18"/>
          <w:color w:val="auto"/>
        </w:rPr>
      </w:pPr>
    </w:p>
    <w:p>
      <w:pPr>
        <w:ind w:left="4" w:firstLine="436"/>
        <w:spacing w:after="0" w:line="282" w:lineRule="auto"/>
        <w:tabs>
          <w:tab w:leader="none" w:pos="65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The Agent shall have received the certificate required to be delivered pursuant to Section 7(m) on or before the date on which delivery of such certificate is required pursuant to Section 7(m).</w:t>
      </w:r>
    </w:p>
    <w:p>
      <w:pPr>
        <w:spacing w:after="0" w:line="161" w:lineRule="exact"/>
        <w:rPr>
          <w:rFonts w:ascii="Times New Roman" w:cs="Times New Roman" w:eastAsia="Times New Roman" w:hAnsi="Times New Roman"/>
          <w:sz w:val="18"/>
          <w:szCs w:val="18"/>
          <w:color w:val="auto"/>
        </w:rPr>
      </w:pPr>
    </w:p>
    <w:p>
      <w:pPr>
        <w:ind w:left="4" w:right="40" w:firstLine="436"/>
        <w:spacing w:after="0" w:line="255" w:lineRule="auto"/>
        <w:tabs>
          <w:tab w:leader="none" w:pos="65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xml:space="preserve">. On or prior to the First Placement Notice Date, the Agent shall have received a certificate, signed on behalf of the Company by the Secretary of the Company and attested to by an executive officer of the Company, dated as of such date and in form and substance satisfactory to the Agent and its counsel, certifying as to (i) the amended and restated certificate of incorporation of the Company, (ii) the amended and restated bylaws of the Company, (iii) the resolutions of the board of directors of the Company or duly authorized committee thereof authorizing the execution, delivery and performance of this Agreement and the issuance and sale of the Placement Shares and (iv) the incumbency of the officers of the Company duly authorized to execute this Agreement and the other documents contemplated by this Agreement (including each of the officers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 w:right="360" w:firstLine="436"/>
        <w:spacing w:after="0" w:line="282" w:lineRule="auto"/>
        <w:tabs>
          <w:tab w:leader="none" w:pos="69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The Common Stock shall be duly listed, and admitted and authorized for trading, subject to official notice of issuance, on Nasdaq. Trading in the Common Stock shall not have been suspended on, and the Common Stock shall not have been delisted from, Nasdaq.</w:t>
      </w:r>
    </w:p>
    <w:p>
      <w:pPr>
        <w:spacing w:after="0" w:line="161" w:lineRule="exact"/>
        <w:rPr>
          <w:rFonts w:ascii="Times New Roman" w:cs="Times New Roman" w:eastAsia="Times New Roman" w:hAnsi="Times New Roman"/>
          <w:sz w:val="18"/>
          <w:szCs w:val="18"/>
          <w:color w:val="auto"/>
        </w:rPr>
      </w:pPr>
    </w:p>
    <w:p>
      <w:pPr>
        <w:ind w:left="4" w:right="340" w:firstLine="436"/>
        <w:spacing w:after="0" w:line="258" w:lineRule="auto"/>
        <w:tabs>
          <w:tab w:leader="none" w:pos="65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On each date on which the Company is required to deliver a certificate pursuant to Section 7(m), the Company shall have furnished to the Agent such appropriate further information, opinions, certificates, letters and other documents as the Agent may have reasonably requested. All such information, opinions, certificates, letters and other documents shall have been in compliance with the provisions hereof. The Company shall have furnished the Agent with conformed copies of such opinions, certificates, letters and other documents as the Agent may have reasonably requested.</w:t>
      </w:r>
    </w:p>
    <w:p>
      <w:pPr>
        <w:spacing w:after="0" w:line="183"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74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Commission required by Rule 424(b) or Rule 433 under the Securities Act to have been filed prior to the issuance of any Placement Notice hereunder shall have been made within the applicable time period prescribed for such filing by Rule 424(b) (without reliance on Rule 424(b)(8) of the Securities Act) or Rule 433, as applicable.</w:t>
      </w:r>
    </w:p>
    <w:p>
      <w:pPr>
        <w:spacing w:after="0" w:line="1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Either (i) the Placement Shares shall have been approved for listing on Nasdaq, subject only to notice of issuance, or</w:t>
      </w:r>
    </w:p>
    <w:p>
      <w:pPr>
        <w:spacing w:after="0" w:line="27" w:lineRule="exact"/>
        <w:rPr>
          <w:rFonts w:ascii="Times New Roman" w:cs="Times New Roman" w:eastAsia="Times New Roman" w:hAnsi="Times New Roman"/>
          <w:sz w:val="18"/>
          <w:szCs w:val="18"/>
          <w:color w:val="auto"/>
        </w:rPr>
      </w:pPr>
    </w:p>
    <w:p>
      <w:pPr>
        <w:ind w:left="4" w:right="500" w:hanging="4"/>
        <w:spacing w:after="0" w:line="260" w:lineRule="auto"/>
        <w:tabs>
          <w:tab w:leader="none" w:pos="26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an application for listing of the Placement Shares on Nasdaq at, or prior to, the First Placement Notice Date and Nasdaq shall have reviewed such application and not provided any objections thereto.</w:t>
      </w:r>
    </w:p>
    <w:p>
      <w:pPr>
        <w:spacing w:after="0" w:line="181" w:lineRule="exact"/>
        <w:rPr>
          <w:rFonts w:ascii="Times New Roman" w:cs="Times New Roman" w:eastAsia="Times New Roman" w:hAnsi="Times New Roman"/>
          <w:sz w:val="18"/>
          <w:szCs w:val="18"/>
          <w:color w:val="auto"/>
        </w:rPr>
      </w:pPr>
    </w:p>
    <w:p>
      <w:pPr>
        <w:ind w:left="4" w:right="60" w:firstLine="436"/>
        <w:spacing w:after="0" w:line="282" w:lineRule="auto"/>
        <w:tabs>
          <w:tab w:leader="none" w:pos="69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FINRA shall have raised no objection to the terms of the offering contemplated hereby and the amount of compensation allowable or payable to the Agent as described in the Prospectus.</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There shall not have occurred any event that would permit the Agent to terminate this Agreement pursuant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11(a).</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4"/>
          </w:cols>
          <w:pgMar w:left="436" w:top="270" w:right="499" w:bottom="1440" w:gutter="0" w:footer="0" w:header="0"/>
        </w:sectPr>
      </w:pPr>
    </w:p>
    <w:bookmarkStart w:id="30" w:name="page31"/>
    <w:bookmarkEnd w:id="30"/>
    <w:p>
      <w:pPr>
        <w:ind w:left="624" w:hanging="184"/>
        <w:spacing w:after="0"/>
        <w:tabs>
          <w:tab w:leader="none" w:pos="6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66" w:lineRule="auto"/>
        <w:tabs>
          <w:tab w:leader="none" w:pos="689"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Indemnification</w:t>
      </w:r>
      <w:r>
        <w:rPr>
          <w:rFonts w:ascii="Times New Roman" w:cs="Times New Roman" w:eastAsia="Times New Roman" w:hAnsi="Times New Roman"/>
          <w:sz w:val="17"/>
          <w:szCs w:val="17"/>
          <w:color w:val="auto"/>
        </w:rPr>
        <w:t>. The Company agrees to indemnify and hold harmless the Agent, its affiliates and their respective partners, members, directors, officers, employees and agents, and each person, if any, who (i) controls the Agent within the meaning of Section 15 of the Securities Act or Section 20 of the Exchange Act or (ii) is controlled by or is under common control with the Agent, in each case from and against any and all losses, claims, liabilities, expenses and damages (including any and all investigative, legal and other expenses reasonably incurred in connection with, and any and all amounts paid in settlement (in accordance with this Section 9), any action, suit, investigation or proceeding between any of the indemnified parties and any indemnifying parties or between any indemnified party and any third party (including any governmental or self-regulatory authority, or otherwise, or any claim asserted or threatened), as and when incurred, to which the Agent, or any such other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therein or necessary to make the statements therein (solely with respect to the Prospectus, in light of the circumstances under which they were made) not misleading or</w:t>
      </w:r>
    </w:p>
    <w:p>
      <w:pPr>
        <w:spacing w:after="0" w:line="9" w:lineRule="exact"/>
        <w:rPr>
          <w:rFonts w:ascii="Times New Roman" w:cs="Times New Roman" w:eastAsia="Times New Roman" w:hAnsi="Times New Roman"/>
          <w:sz w:val="17"/>
          <w:szCs w:val="17"/>
          <w:color w:val="auto"/>
        </w:rPr>
      </w:pPr>
    </w:p>
    <w:p>
      <w:pPr>
        <w:ind w:left="4" w:right="60" w:hanging="4"/>
        <w:spacing w:after="0" w:line="253" w:lineRule="auto"/>
        <w:tabs>
          <w:tab w:leader="none" w:pos="24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breach by any of the indemnifying parties of any of their respective representations, warranties or agreements contained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this indemnity agreement shall not apply to the extent that such loss, claim, liability, expense or damage arises from the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Placement Shares pursuant to this Agreement and is caused, directly or indirectly, by an untrue statement or omission, or alleged untrue statement or omission, made in reliance upon and in conformity with the Agent’s Information. This indemnity agreement will be in addition to any liability that the Company might otherwise have.</w:t>
      </w:r>
    </w:p>
    <w:p>
      <w:pPr>
        <w:spacing w:after="0" w:line="186"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69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Indemnification</w:t>
      </w:r>
      <w:r>
        <w:rPr>
          <w:rFonts w:ascii="Times New Roman" w:cs="Times New Roman" w:eastAsia="Times New Roman" w:hAnsi="Times New Roman"/>
          <w:sz w:val="18"/>
          <w:szCs w:val="18"/>
          <w:color w:val="auto"/>
        </w:rPr>
        <w:t>. The Agent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9(a),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187" w:lineRule="exact"/>
        <w:rPr>
          <w:rFonts w:ascii="Times New Roman" w:cs="Times New Roman" w:eastAsia="Times New Roman" w:hAnsi="Times New Roman"/>
          <w:sz w:val="18"/>
          <w:szCs w:val="18"/>
          <w:color w:val="auto"/>
        </w:rPr>
      </w:pPr>
    </w:p>
    <w:p>
      <w:pPr>
        <w:ind w:left="4" w:right="80" w:firstLine="436"/>
        <w:spacing w:after="0" w:line="254" w:lineRule="auto"/>
        <w:tabs>
          <w:tab w:leader="none" w:pos="68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Any party that proposes to assert the right to be indemnified under this Section 9 will, promptly after receipt of notice of commencement of any action against such party in respect of which a claim is to be made against an indemnifying party or parties under this Section 9,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9 and (ii) any liability that it may have to any indemnified party under the foregoing provision of this Section 9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31" w:name="page32"/>
    <w:bookmarkEnd w:id="3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reasonably satisfactory to the indemnified party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after the indemnifying party receives a written invoice relating to such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9 (whether or not any indemnified party is a party thereto), unless such settlement, compromise or consent (1) includes an unconditional release of each indemnified party, in form and substance reasonably satisfactory to such indemnified party, from all liability arising out of such claim, action or proceeding and (2) does not include a statement as to or an admission of fault, culpability or a failure to act by or on behalf of any indemnified party.</w:t>
      </w:r>
    </w:p>
    <w:p>
      <w:pPr>
        <w:spacing w:after="0" w:line="186" w:lineRule="exact"/>
        <w:rPr>
          <w:sz w:val="20"/>
          <w:szCs w:val="20"/>
          <w:color w:val="auto"/>
        </w:rPr>
      </w:pPr>
    </w:p>
    <w:p>
      <w:pPr>
        <w:ind w:right="100" w:firstLine="436"/>
        <w:spacing w:after="0" w:line="257" w:lineRule="auto"/>
        <w:tabs>
          <w:tab w:leader="none" w:pos="6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Without Consent if Failure to Reimburse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 indemnified party shall have requested an indemnifying party to reimburse the indemnified party for reasonable fees and expenses of counsel for which it is entitled to be reimbursed under this Section 9, such indemnifying party agrees that it shall be liable for any settlement of the nature contemplated by Section 9(a)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4" w:lineRule="exact"/>
        <w:rPr>
          <w:rFonts w:ascii="Times New Roman" w:cs="Times New Roman" w:eastAsia="Times New Roman" w:hAnsi="Times New Roman"/>
          <w:sz w:val="18"/>
          <w:szCs w:val="18"/>
          <w:color w:val="auto"/>
        </w:rPr>
      </w:pPr>
    </w:p>
    <w:p>
      <w:pPr>
        <w:ind w:right="40" w:firstLine="436"/>
        <w:spacing w:after="0" w:line="273" w:lineRule="auto"/>
        <w:tabs>
          <w:tab w:leader="none" w:pos="68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Contribution</w:t>
      </w:r>
      <w:r>
        <w:rPr>
          <w:rFonts w:ascii="Times New Roman" w:cs="Times New Roman" w:eastAsia="Times New Roman" w:hAnsi="Times New Roman"/>
          <w:sz w:val="17"/>
          <w:szCs w:val="17"/>
          <w:color w:val="auto"/>
        </w:rPr>
        <w:t>. In order to provide for just and equitable contribution in circumstances in which the indemnification provided for in the foregoing paragraphs of this Section 9 is applicable in accordance with its terms but for any reason is held to be unavailable or insufficient from the Company or the Agent, the Company and the Agent will contribute to the total losses, claims, liabilities, expenses and damages (including any documented investigative, legal and other expenses reasonably incurred in connection with, and any amount paid in settlement of, any action, suit, investigation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2" w:name="page33"/>
    <w:bookmarkEnd w:id="32"/>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suit, investigation or proceeding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Section 9(e) were to be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or by any other method of allocation that does not take into account the equitable considerations referred to herein. The amount paid or payable by an indemnified party as a result of the loss, claim, liability, expense or damage, or action, suit, investigation or proceeding in respect thereof, referred to above in this Section 9(e) shall be deemed to include, for the purpose of this Section 9(e), any legal or other expenses reasonably incurred by such indemnified party in connection with investigating or defending any such action, suit, investigation, proceeding or claim to the extent consistent with this Section 9. Notwithstanding the foregoing provisions of this Section 9(e),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9(e), any person who controls a party to this Agreement within the meaning of Section 15 of the Securities Act or Section 20 of the Exchange Act, any affiliates of the Agent, any partners, members, directors, officers, employees and agents of the Agent and each person that is controlled by or under common control with the Agent will have the same rights to contribution as that party,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9(e), will notify any such party or parties from whom contribution may be sought, but the omission to so notify will not relieve that party or parties from whom contribution may be sought from any other obligation it or they may have under this Section 9(e) except to the extent that the failure to so notify such other party materially prejudiced the substantive rights or defenses of the party from whom contribution is sought. Except for a settlement entered into pursuant to the last sentence of Section 9(c) hereof or pursuant to Section 9(d) hereof, no party will be liable for contribution with respect to any action or claim settled without its written consent if such consent is required pursuant to Section 9(c) hereof.</w:t>
      </w:r>
    </w:p>
    <w:p>
      <w:pPr>
        <w:spacing w:after="0" w:line="203" w:lineRule="exact"/>
        <w:rPr>
          <w:sz w:val="20"/>
          <w:szCs w:val="20"/>
          <w:color w:val="auto"/>
        </w:rPr>
      </w:pPr>
    </w:p>
    <w:p>
      <w:pPr>
        <w:ind w:right="180" w:firstLine="436"/>
        <w:spacing w:after="0" w:line="258" w:lineRule="auto"/>
        <w:tabs>
          <w:tab w:leader="none" w:pos="71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The indemnity and contribution agreements contained in Section 9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33" w:name="page34"/>
    <w:bookmarkEnd w:id="33"/>
    <w:p>
      <w:pPr>
        <w:ind w:left="660" w:hanging="264"/>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40" w:firstLine="436"/>
        <w:spacing w:after="0" w:line="252" w:lineRule="auto"/>
        <w:tabs>
          <w:tab w:leader="none" w:pos="6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have the right, by giving notice as hereinafter specified, at any time to terminate this Agreement if (i) any Material Adverse Effect, or any development that could reasonably be expected to result in a Material Adverse Effect, has occurred that, in the judgment of the Agent, may materially impair the ability of the Agent to sell the Placement Shares hereunder, (ii) the Company shall have failed, refused or been unable to perform any agreement on its part to be performed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in the case of any failure of the Company to deliver (or cause another person to deliver) any certification, opinion or letter required under Section 7(m), Section 7(n), Section 7(o) or Section 7(p), the Agent’s right to terminate shall not arise unless such failure to deliver (or cause to be delivered) continues for more than 30 calendar days from the date such delivery was required, (iii) any other condition of the Agent’s obligations hereunder is not fulfilled, (iv) any suspension or limitation of trading in the Placement Shares or in securities generally on Nasdaq shall have occurred, (v) a general banking moratorium shall have been declared by any of United States federal or New York authorities, or (vi)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that, in the judgment of the Agent, may materially impair the ability of the Agent to sell the Placement Shares hereunder or to enforce contracts for the sale of securities. Any such termination shall be without liability of any party to any other party except that the provisions of Section 7(g), Section 9, Section 10, Section 11(f), Section 16 and Section 17 hereof shall remain in full force and effect notwithstanding such termination. If the Agent elects to terminate this Agreement as provided in this Section 11(a), the Agent shall provide the required notice as specified in Section 12.</w:t>
      </w:r>
    </w:p>
    <w:p>
      <w:pPr>
        <w:spacing w:after="0" w:line="195" w:lineRule="exact"/>
        <w:rPr>
          <w:rFonts w:ascii="Times New Roman" w:cs="Times New Roman" w:eastAsia="Times New Roman" w:hAnsi="Times New Roman"/>
          <w:sz w:val="18"/>
          <w:szCs w:val="18"/>
          <w:color w:val="auto"/>
        </w:rPr>
      </w:pPr>
    </w:p>
    <w:p>
      <w:pPr>
        <w:ind w:left="-40" w:right="40" w:firstLine="436"/>
        <w:spacing w:after="0" w:line="261"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spacing w:after="0" w:line="179" w:lineRule="exact"/>
        <w:rPr>
          <w:rFonts w:ascii="Times New Roman" w:cs="Times New Roman" w:eastAsia="Times New Roman" w:hAnsi="Times New Roman"/>
          <w:sz w:val="18"/>
          <w:szCs w:val="18"/>
          <w:color w:val="auto"/>
        </w:rPr>
      </w:pPr>
    </w:p>
    <w:p>
      <w:pPr>
        <w:ind w:left="-40" w:firstLine="436"/>
        <w:spacing w:after="0" w:line="261" w:lineRule="auto"/>
        <w:tabs>
          <w:tab w:leader="none" w:pos="6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spacing w:after="0" w:line="179" w:lineRule="exact"/>
        <w:rPr>
          <w:rFonts w:ascii="Times New Roman" w:cs="Times New Roman" w:eastAsia="Times New Roman" w:hAnsi="Times New Roman"/>
          <w:sz w:val="18"/>
          <w:szCs w:val="18"/>
          <w:color w:val="auto"/>
        </w:rPr>
      </w:pPr>
    </w:p>
    <w:p>
      <w:pPr>
        <w:ind w:left="-40" w:right="120" w:firstLine="436"/>
        <w:spacing w:after="0" w:line="266"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earlier terminated pursuant to this Section 11, this Agreement shall automatically terminate upon the issuance and sale of all of the Placement Shares through the Agent on the terms and subject to the conditions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Section 7(g), Section 9, Section 10, Section 11(f), Section 16 and Section 17 hereof shall remain in full force and effect notwithstanding such termination.</w:t>
      </w:r>
    </w:p>
    <w:p>
      <w:pPr>
        <w:spacing w:after="0" w:line="175" w:lineRule="exact"/>
        <w:rPr>
          <w:rFonts w:ascii="Times New Roman" w:cs="Times New Roman" w:eastAsia="Times New Roman" w:hAnsi="Times New Roman"/>
          <w:sz w:val="18"/>
          <w:szCs w:val="18"/>
          <w:color w:val="auto"/>
        </w:rPr>
      </w:pPr>
    </w:p>
    <w:p>
      <w:pPr>
        <w:ind w:left="-40" w:right="40" w:firstLine="436"/>
        <w:spacing w:after="0" w:line="266" w:lineRule="auto"/>
        <w:tabs>
          <w:tab w:leader="none" w:pos="6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Sections 11(a), (b), (c), or (d) above or otherwise by mutual agreement of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termination by mutual agreement shall in all cases be deemed to provide that Section 7(g), Section 9, Section 10, Section 11(f), Section 16 and Section 17 shall remain in full force and effect.</w:t>
      </w:r>
    </w:p>
    <w:p>
      <w:pPr>
        <w:spacing w:after="0" w:line="173" w:lineRule="exact"/>
        <w:rPr>
          <w:rFonts w:ascii="Times New Roman" w:cs="Times New Roman" w:eastAsia="Times New Roman" w:hAnsi="Times New Roman"/>
          <w:sz w:val="18"/>
          <w:szCs w:val="18"/>
          <w:color w:val="auto"/>
        </w:rPr>
      </w:pPr>
    </w:p>
    <w:p>
      <w:pPr>
        <w:ind w:left="-40" w:right="100" w:firstLine="436"/>
        <w:spacing w:after="0" w:line="257" w:lineRule="auto"/>
        <w:tabs>
          <w:tab w:leader="none" w:pos="62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shall be effective on the date specified in such notice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 Upon termination of this Agreement, the Company shall not be required to pay to the Agent any discount or commission with respect to any Placement Shares not otherwise sold by the Agent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remain obligated to reimburse the Agent’s expenses pursuant to Section 7(g).</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20"/>
          </w:cols>
          <w:pgMar w:left="480" w:top="270" w:right="499" w:bottom="1440" w:gutter="0" w:footer="0" w:header="0"/>
        </w:sectPr>
      </w:pPr>
    </w:p>
    <w:bookmarkStart w:id="34" w:name="page35"/>
    <w:bookmarkEnd w:id="34"/>
    <w:p>
      <w:pPr>
        <w:ind w:left="4" w:right="260" w:firstLine="436"/>
        <w:spacing w:after="0" w:line="282" w:lineRule="auto"/>
        <w:tabs>
          <w:tab w:leader="none" w:pos="71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Times New Roman" w:cs="Times New Roman" w:eastAsia="Times New Roman" w:hAnsi="Times New Roman"/>
          <w:sz w:val="18"/>
          <w:szCs w:val="18"/>
          <w:color w:val="auto"/>
        </w:rPr>
        <w:t>. All notices or other communications required or permitted to be given by any party to any other party pursuant to the terms of this Agreement shall be in writing, unless otherwise specified in this Agreement, and if sent to the Agent, shall be delivered to:</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SVB Securities LLC</w:t>
      </w:r>
    </w:p>
    <w:p>
      <w:pPr>
        <w:ind w:left="444"/>
        <w:spacing w:after="0" w:line="196" w:lineRule="auto"/>
        <w:rPr>
          <w:sz w:val="20"/>
          <w:szCs w:val="20"/>
          <w:color w:val="auto"/>
        </w:rPr>
      </w:pPr>
      <w:r>
        <w:rPr>
          <w:rFonts w:ascii="Times New Roman" w:cs="Times New Roman" w:eastAsia="Times New Roman" w:hAnsi="Times New Roman"/>
          <w:sz w:val="18"/>
          <w:szCs w:val="18"/>
          <w:color w:val="auto"/>
        </w:rPr>
        <w:t>1301 Avenue of the Americas,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Attention: Peter M. Fry</w:t>
      </w:r>
    </w:p>
    <w:p>
      <w:pPr>
        <w:spacing w:after="0" w:line="9" w:lineRule="exact"/>
        <w:rPr>
          <w:sz w:val="20"/>
          <w:szCs w:val="20"/>
          <w:color w:val="auto"/>
        </w:rPr>
      </w:pPr>
    </w:p>
    <w:p>
      <w:pPr>
        <w:jc w:val="center"/>
        <w:ind w:right="7456"/>
        <w:spacing w:after="0"/>
        <w:rPr>
          <w:sz w:val="20"/>
          <w:szCs w:val="20"/>
          <w:color w:val="auto"/>
        </w:rPr>
      </w:pPr>
      <w:r>
        <w:rPr>
          <w:rFonts w:ascii="Times New Roman" w:cs="Times New Roman" w:eastAsia="Times New Roman" w:hAnsi="Times New Roman"/>
          <w:sz w:val="18"/>
          <w:szCs w:val="18"/>
          <w:color w:val="auto"/>
        </w:rPr>
        <w:t>E-mail: peter.fry@svbsecurities.com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SVB Securities LLC</w:t>
      </w:r>
    </w:p>
    <w:p>
      <w:pPr>
        <w:ind w:left="444"/>
        <w:spacing w:after="0" w:line="196" w:lineRule="auto"/>
        <w:rPr>
          <w:sz w:val="20"/>
          <w:szCs w:val="20"/>
          <w:color w:val="auto"/>
        </w:rPr>
      </w:pPr>
      <w:r>
        <w:rPr>
          <w:rFonts w:ascii="Times New Roman" w:cs="Times New Roman" w:eastAsia="Times New Roman" w:hAnsi="Times New Roman"/>
          <w:sz w:val="18"/>
          <w:szCs w:val="18"/>
          <w:color w:val="auto"/>
        </w:rPr>
        <w:t>1301 Avenue of the Americas,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Attention: Stuart R. Nayman, Esq.</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E-mail: stuart.nayman@svbsecurities.com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if to the Company, shall be delivered to:</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171 Oyster Point Boulevard, 5th Floor,</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7" w:lineRule="exact"/>
        <w:rPr>
          <w:sz w:val="20"/>
          <w:szCs w:val="20"/>
          <w:color w:val="auto"/>
        </w:rPr>
      </w:pPr>
    </w:p>
    <w:p>
      <w:pPr>
        <w:ind w:left="4" w:right="40"/>
        <w:spacing w:after="0" w:line="272" w:lineRule="auto"/>
        <w:rPr>
          <w:sz w:val="20"/>
          <w:szCs w:val="20"/>
          <w:color w:val="auto"/>
        </w:rPr>
      </w:pPr>
      <w:r>
        <w:rPr>
          <w:rFonts w:ascii="Times New Roman" w:cs="Times New Roman" w:eastAsia="Times New Roman" w:hAnsi="Times New Roman"/>
          <w:sz w:val="17"/>
          <w:szCs w:val="17"/>
          <w:color w:val="auto"/>
        </w:rPr>
        <w:t>Each party to this Agreement may change such address for notices by sending to the parties to this Agreement written notice of a new address for such purpose. Each such notice or other communication shall be deemed given (i) when delivered personally on or before 4:30 P.M., New York City time, on a Business Day, or, if such day is not a Business Day, on the next succeeding Business Day, (ii) by Electronic Notice as set forth in the next paragraph,</w:t>
      </w:r>
    </w:p>
    <w:p>
      <w:pPr>
        <w:spacing w:after="0" w:line="2" w:lineRule="exact"/>
        <w:rPr>
          <w:sz w:val="20"/>
          <w:szCs w:val="20"/>
          <w:color w:val="auto"/>
        </w:rPr>
      </w:pPr>
    </w:p>
    <w:p>
      <w:pPr>
        <w:ind w:left="4" w:hanging="4"/>
        <w:spacing w:after="0" w:line="255" w:lineRule="auto"/>
        <w:tabs>
          <w:tab w:leader="none" w:pos="31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next Business Day after timely delivery to a nationally-recognized overnight courier or (iv)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shall mean any day on which the Nasdaq and commercial banks in the City of New York are open for business.</w:t>
      </w:r>
    </w:p>
    <w:p>
      <w:pPr>
        <w:spacing w:after="0" w:line="182" w:lineRule="exact"/>
        <w:rPr>
          <w:sz w:val="20"/>
          <w:szCs w:val="20"/>
          <w:color w:val="auto"/>
        </w:rPr>
      </w:pPr>
    </w:p>
    <w:p>
      <w:pPr>
        <w:ind w:left="4"/>
        <w:spacing w:after="0" w:line="259" w:lineRule="auto"/>
        <w:rPr>
          <w:sz w:val="20"/>
          <w:szCs w:val="20"/>
          <w:color w:val="auto"/>
        </w:rPr>
      </w:pPr>
      <w:r>
        <w:rPr>
          <w:rFonts w:ascii="Times New Roman" w:cs="Times New Roman" w:eastAsia="Times New Roman" w:hAnsi="Times New Roman"/>
          <w:sz w:val="18"/>
          <w:szCs w:val="18"/>
          <w:color w:val="auto"/>
        </w:rPr>
        <w:t>An electronic communication (“</w:t>
      </w:r>
      <w:r>
        <w:rPr>
          <w:rFonts w:ascii="Times New Roman" w:cs="Times New Roman" w:eastAsia="Times New Roman" w:hAnsi="Times New Roman"/>
          <w:sz w:val="18"/>
          <w:szCs w:val="18"/>
          <w:b w:val="1"/>
          <w:bCs w:val="1"/>
          <w:u w:val="single" w:color="auto"/>
          <w:color w:val="auto"/>
        </w:rPr>
        <w:t>Electronic Notice</w:t>
      </w:r>
      <w:r>
        <w:rPr>
          <w:rFonts w:ascii="Times New Roman" w:cs="Times New Roman" w:eastAsia="Times New Roman" w:hAnsi="Times New Roman"/>
          <w:sz w:val="18"/>
          <w:szCs w:val="18"/>
          <w:color w:val="auto"/>
        </w:rPr>
        <w:t>”) shall be deemed written notice for purposes of this Section 12 if sent to the electronic mail address specified by the receiving party in Section 12. Electronic Notice shall be deemed received at the time the party sending Electronic Notice receives actual acknowledgment of receipt from the person whom the notice is sent, other than via auto-reply. Any party receiving Electronic Notice may request and shall be entitled to receive the notice on paper, in a nonelectronic form (“</w:t>
      </w:r>
      <w:r>
        <w:rPr>
          <w:rFonts w:ascii="Times New Roman" w:cs="Times New Roman" w:eastAsia="Times New Roman" w:hAnsi="Times New Roman"/>
          <w:sz w:val="18"/>
          <w:szCs w:val="18"/>
          <w:b w:val="1"/>
          <w:bCs w:val="1"/>
          <w:u w:val="single" w:color="auto"/>
          <w:color w:val="auto"/>
        </w:rPr>
        <w:t>Nonelectronic Notice</w:t>
      </w:r>
      <w:r>
        <w:rPr>
          <w:rFonts w:ascii="Times New Roman" w:cs="Times New Roman" w:eastAsia="Times New Roman" w:hAnsi="Times New Roman"/>
          <w:sz w:val="18"/>
          <w:szCs w:val="18"/>
          <w:color w:val="auto"/>
        </w:rPr>
        <w:t>”), which shall be sent to the requesting party within 10 days of receipt of the written request for Nonelectronic Notice.</w:t>
      </w:r>
    </w:p>
    <w:p>
      <w:pPr>
        <w:spacing w:after="0" w:line="183" w:lineRule="exact"/>
        <w:rPr>
          <w:sz w:val="20"/>
          <w:szCs w:val="20"/>
          <w:color w:val="auto"/>
        </w:rPr>
      </w:pPr>
    </w:p>
    <w:p>
      <w:pPr>
        <w:jc w:val="both"/>
        <w:ind w:left="4" w:right="260" w:firstLine="436"/>
        <w:spacing w:after="0" w:line="266" w:lineRule="auto"/>
        <w:tabs>
          <w:tab w:leader="none" w:pos="71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the Company and the Agent and their respective successors and the affiliates, controlling persons, officers, directors and other persons referred to in Section 9 hereof. References to any of the parties contained in this Agreement shall be deemed to include the successors and permitted assigns of each such</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4"/>
          </w:cols>
          <w:pgMar w:left="436" w:top="270" w:right="479" w:bottom="1440" w:gutter="0" w:footer="0" w:header="0"/>
        </w:sectPr>
      </w:pPr>
    </w:p>
    <w:bookmarkStart w:id="35" w:name="page36"/>
    <w:bookmarkEnd w:id="35"/>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party. Nothing in this Agreement, express or implied, is intended to confer upon any party other than the parties hereto, the persons referred to in the preceding sentence and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Agent may assign its rights and obligations hereunder to an affiliate of the Agent without obtaining the Company’s consent, so long as such affiliate is a registered broker-dealer.</w:t>
      </w:r>
    </w:p>
    <w:p>
      <w:pPr>
        <w:spacing w:after="0" w:line="183" w:lineRule="exact"/>
        <w:rPr>
          <w:sz w:val="20"/>
          <w:szCs w:val="20"/>
          <w:color w:val="auto"/>
        </w:rPr>
      </w:pPr>
    </w:p>
    <w:p>
      <w:pPr>
        <w:ind w:right="60" w:firstLine="436"/>
        <w:spacing w:after="0" w:line="282" w:lineRule="auto"/>
        <w:tabs>
          <w:tab w:leader="none" w:pos="71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Share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161" w:lineRule="exact"/>
        <w:rPr>
          <w:rFonts w:ascii="Times New Roman" w:cs="Times New Roman" w:eastAsia="Times New Roman" w:hAnsi="Times New Roman"/>
          <w:sz w:val="18"/>
          <w:szCs w:val="18"/>
          <w:color w:val="auto"/>
        </w:rPr>
      </w:pPr>
    </w:p>
    <w:p>
      <w:pPr>
        <w:ind w:firstLine="436"/>
        <w:spacing w:after="0" w:line="252" w:lineRule="auto"/>
        <w:tabs>
          <w:tab w:leader="none" w:pos="71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 Severability; Waiver</w:t>
      </w:r>
      <w:r>
        <w:rPr>
          <w:rFonts w:ascii="Times New Roman" w:cs="Times New Roman" w:eastAsia="Times New Roman" w:hAnsi="Times New Roman"/>
          <w:sz w:val="18"/>
          <w:szCs w:val="18"/>
          <w:color w:val="auto"/>
        </w:rPr>
        <w:t xml:space="preserve">. This Agreement (including all schedules (as amended pursuant to this Agreement)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of this Agreement may be amended by either party from time to time by sending a notice containing a revised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to the other party in the manner provided in Section 12 and, upon such amendment, all references herein to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shall automatically be deemed to refer to such amended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93" w:lineRule="exact"/>
        <w:rPr>
          <w:rFonts w:ascii="Times New Roman" w:cs="Times New Roman" w:eastAsia="Times New Roman" w:hAnsi="Times New Roman"/>
          <w:sz w:val="18"/>
          <w:szCs w:val="18"/>
          <w:color w:val="auto"/>
        </w:rPr>
      </w:pPr>
    </w:p>
    <w:p>
      <w:pPr>
        <w:ind w:right="100" w:firstLine="436"/>
        <w:spacing w:after="0" w:line="257" w:lineRule="auto"/>
        <w:tabs>
          <w:tab w:leader="none" w:pos="71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AND TIME; WAIVER OF JURY TRIAL</w:t>
      </w:r>
      <w:r>
        <w:rPr>
          <w:rFonts w:ascii="Times New Roman" w:cs="Times New Roman" w:eastAsia="Times New Roman" w:hAnsi="Times New Roman"/>
          <w:sz w:val="18"/>
          <w:szCs w:val="18"/>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86" w:lineRule="exact"/>
        <w:rPr>
          <w:rFonts w:ascii="Times New Roman" w:cs="Times New Roman" w:eastAsia="Times New Roman" w:hAnsi="Times New Roman"/>
          <w:sz w:val="18"/>
          <w:szCs w:val="18"/>
          <w:color w:val="auto"/>
        </w:rPr>
      </w:pPr>
    </w:p>
    <w:p>
      <w:pPr>
        <w:jc w:val="both"/>
        <w:ind w:right="20" w:firstLine="436"/>
        <w:spacing w:after="0" w:line="270" w:lineRule="auto"/>
        <w:tabs>
          <w:tab w:leader="none" w:pos="71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 to Jurisdiction</w:t>
      </w:r>
      <w:r>
        <w:rPr>
          <w:rFonts w:ascii="Times New Roman" w:cs="Times New Roman" w:eastAsia="Times New Roman" w:hAnsi="Times New Roman"/>
          <w:sz w:val="17"/>
          <w:szCs w:val="17"/>
          <w:color w:val="auto"/>
        </w:rPr>
        <w:t>. Each party hereby irrevocably submits to the exclusive jurisdiction of the state and federal courts sitting in the City of New York, Borough of Manhattan, for the adjudication of any dispute hereunder or in connection with any of the transactions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w:t>
      </w:r>
    </w:p>
    <w:p>
      <w:pPr>
        <w:spacing w:after="0" w:line="2" w:lineRule="exact"/>
        <w:rPr>
          <w:rFonts w:ascii="Times New Roman" w:cs="Times New Roman" w:eastAsia="Times New Roman" w:hAnsi="Times New Roman"/>
          <w:sz w:val="17"/>
          <w:szCs w:val="17"/>
          <w:color w:val="auto"/>
        </w:rPr>
      </w:pPr>
    </w:p>
    <w:p>
      <w:pPr>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Each party hereby irrevocably waives personal service of process and consents to process being served in any such suit, action or proceeding by mailing a copy (certified or registered mail, return receipt requested) to such party at the address in effect for notices under Section 12 of this Agreement and agrees that such service shall constitute good and sufficient notice of process and notice thereof. Nothing contained herein shall be deemed to limit in any way any right to serve process in any manner permitted by law.</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70" w:right="499" w:bottom="1440" w:gutter="0" w:footer="0" w:header="0"/>
        </w:sectPr>
      </w:pPr>
    </w:p>
    <w:bookmarkStart w:id="36" w:name="page37"/>
    <w:bookmarkEnd w:id="36"/>
    <w:p>
      <w:pPr>
        <w:ind w:left="700" w:hanging="264"/>
        <w:spacing w:after="0"/>
        <w:tabs>
          <w:tab w:leader="none" w:pos="7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and exhibit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defined in the singular shall have a comparable meaning when used in the plural, and vice versa.</w:t>
      </w:r>
    </w:p>
    <w:p>
      <w:pPr>
        <w:spacing w:after="0" w:line="225" w:lineRule="exact"/>
        <w:rPr>
          <w:rFonts w:ascii="Times New Roman" w:cs="Times New Roman" w:eastAsia="Times New Roman" w:hAnsi="Times New Roman"/>
          <w:sz w:val="18"/>
          <w:szCs w:val="18"/>
          <w:color w:val="auto"/>
        </w:rPr>
      </w:pPr>
    </w:p>
    <w:p>
      <w:pPr>
        <w:ind w:right="740" w:firstLine="436"/>
        <w:spacing w:after="0" w:line="282" w:lineRule="auto"/>
        <w:tabs>
          <w:tab w:leader="none" w:pos="68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“hereto,” “herein” and “hereunder” and words of similar import, when used in this Agreement, shall refer to this Agreement as a whole and not to any particular provision of this Agreement.</w:t>
      </w:r>
    </w:p>
    <w:p>
      <w:pPr>
        <w:spacing w:after="0" w:line="161" w:lineRule="exact"/>
        <w:rPr>
          <w:rFonts w:ascii="Times New Roman" w:cs="Times New Roman" w:eastAsia="Times New Roman" w:hAnsi="Times New Roman"/>
          <w:sz w:val="18"/>
          <w:szCs w:val="18"/>
          <w:color w:val="auto"/>
        </w:rPr>
      </w:pPr>
    </w:p>
    <w:p>
      <w:pPr>
        <w:ind w:right="280" w:firstLine="436"/>
        <w:spacing w:after="0" w:line="282" w:lineRule="auto"/>
        <w:tabs>
          <w:tab w:leader="none" w:pos="6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the word “include,” “includes” or “including” is used in this Agreement, it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gender shall include each other gender.</w:t>
      </w:r>
    </w:p>
    <w:p>
      <w:pPr>
        <w:spacing w:after="0" w:line="225"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66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76" w:lineRule="exact"/>
        <w:rPr>
          <w:sz w:val="20"/>
          <w:szCs w:val="20"/>
          <w:color w:val="auto"/>
        </w:rPr>
      </w:pPr>
    </w:p>
    <w:p>
      <w:pPr>
        <w:ind w:firstLine="436"/>
        <w:spacing w:after="0" w:line="254" w:lineRule="auto"/>
        <w:tabs>
          <w:tab w:leader="none" w:pos="71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Free Writing Prospectuses</w:t>
      </w:r>
      <w:r>
        <w:rPr>
          <w:rFonts w:ascii="Times New Roman" w:cs="Times New Roman" w:eastAsia="Times New Roman" w:hAnsi="Times New Roman"/>
          <w:sz w:val="18"/>
          <w:szCs w:val="18"/>
          <w:color w:val="auto"/>
        </w:rPr>
        <w:t>. Each of the Company and the Agent represents, warrants and agrees that, unless it obtains the prior written consent of the other party, which consent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w:t>
      </w:r>
      <w:r>
        <w:rPr>
          <w:rFonts w:ascii="Times New Roman" w:cs="Times New Roman" w:eastAsia="Times New Roman" w:hAnsi="Times New Roman"/>
          <w:sz w:val="18"/>
          <w:szCs w:val="18"/>
          <w:b w:val="1"/>
          <w:bCs w:val="1"/>
          <w:u w:val="single" w:color="auto"/>
          <w:color w:val="auto"/>
        </w:rPr>
        <w:t>Permitted Free Writing Prospectus</w:t>
      </w:r>
      <w:r>
        <w:rPr>
          <w:rFonts w:ascii="Times New Roman" w:cs="Times New Roman" w:eastAsia="Times New Roman" w:hAnsi="Times New Roman"/>
          <w:sz w:val="18"/>
          <w:szCs w:val="18"/>
          <w:color w:val="auto"/>
        </w:rPr>
        <w:t>.” The Company represents and warrants that it has treated and agrees that it will treat each Permitted Free Writing Prospectus as an issuer free writing prospectus, and that it has complied and will comply with the requirements of Rule 433 applicable to any Permitted Free Writing Prospectus, including timely filing with the Commission where required, legending and record keeping.</w:t>
      </w:r>
    </w:p>
    <w:p>
      <w:pPr>
        <w:spacing w:after="0" w:line="19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225" w:lineRule="exact"/>
        <w:rPr>
          <w:sz w:val="20"/>
          <w:szCs w:val="20"/>
          <w:color w:val="auto"/>
        </w:rPr>
      </w:pPr>
    </w:p>
    <w:p>
      <w:pPr>
        <w:ind w:right="20" w:firstLine="436"/>
        <w:spacing w:after="0" w:line="258" w:lineRule="auto"/>
        <w:tabs>
          <w:tab w:leader="none" w:pos="6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has been retained to act as sales agent in connection with the sale of the Placement Shares, the Agent has acted at arms’ length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the Agent has advised or is advising the Company on other matters and the Agent has no duties or obligations to the Company with respect to the transactions contemplated by this Agreement except the obligations expressly set forth herein;</w:t>
      </w:r>
    </w:p>
    <w:p>
      <w:pPr>
        <w:spacing w:after="0" w:line="183" w:lineRule="exact"/>
        <w:rPr>
          <w:rFonts w:ascii="Times New Roman" w:cs="Times New Roman" w:eastAsia="Times New Roman" w:hAnsi="Times New Roman"/>
          <w:sz w:val="18"/>
          <w:szCs w:val="18"/>
          <w:color w:val="auto"/>
        </w:rPr>
      </w:pPr>
    </w:p>
    <w:p>
      <w:pPr>
        <w:ind w:right="460" w:firstLine="436"/>
        <w:spacing w:after="0" w:line="282" w:lineRule="auto"/>
        <w:tabs>
          <w:tab w:leader="none" w:pos="6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capable of evaluating, and understanding and understands and accepts, the terms, risks and conditions of the transactions contemplated by this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70" w:right="439" w:bottom="1440" w:gutter="0" w:footer="0" w:header="0"/>
        </w:sectPr>
      </w:pPr>
    </w:p>
    <w:bookmarkStart w:id="37" w:name="page38"/>
    <w:bookmarkEnd w:id="37"/>
    <w:p>
      <w:pPr>
        <w:ind w:left="4" w:right="160" w:firstLine="436"/>
        <w:spacing w:after="0" w:line="282" w:lineRule="auto"/>
        <w:tabs>
          <w:tab w:leader="none" w:pos="68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61" w:lineRule="exact"/>
        <w:rPr>
          <w:rFonts w:ascii="Times New Roman" w:cs="Times New Roman" w:eastAsia="Times New Roman" w:hAnsi="Times New Roman"/>
          <w:sz w:val="18"/>
          <w:szCs w:val="18"/>
          <w:color w:val="auto"/>
        </w:rPr>
      </w:pPr>
    </w:p>
    <w:p>
      <w:pPr>
        <w:jc w:val="both"/>
        <w:ind w:left="4" w:right="200" w:firstLine="436"/>
        <w:spacing w:after="0" w:line="266" w:lineRule="auto"/>
        <w:tabs>
          <w:tab w:leader="none" w:pos="69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advised and is aware that the Agent and its affiliates are engaged in a broad range of transactions which may involve interests that differ from those of the Company and that the Agent and its affiliates have no obligation to disclose such interests and transactions to the Company by virtue of any fiduciary, advisory or agency relationship or otherwise; and</w:t>
      </w:r>
    </w:p>
    <w:p>
      <w:pPr>
        <w:spacing w:after="0" w:line="175" w:lineRule="exact"/>
        <w:rPr>
          <w:rFonts w:ascii="Times New Roman" w:cs="Times New Roman" w:eastAsia="Times New Roman" w:hAnsi="Times New Roman"/>
          <w:sz w:val="18"/>
          <w:szCs w:val="18"/>
          <w:color w:val="auto"/>
        </w:rPr>
      </w:pPr>
    </w:p>
    <w:p>
      <w:pPr>
        <w:ind w:left="4" w:right="140" w:firstLine="436"/>
        <w:spacing w:after="0" w:line="261" w:lineRule="auto"/>
        <w:tabs>
          <w:tab w:leader="none" w:pos="68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waives, to the fullest extent permitted by law, any claims it may have against the Agent or its affiliates for breach of fiduciary duty or alleged breach of fiduciary duty in connection with the transactions contemplated by this Agreement and agrees that the Agent and its affiliates shall have no liability (whether direct or indirect) to the Company in respect of such a fiduciary claim or to any person asserting a fiduciary duty claim on behalf of or in right of the Company, including stockholders (or other equity holders), creditors or employees of the Company.</w:t>
      </w:r>
    </w:p>
    <w:p>
      <w:pPr>
        <w:spacing w:after="0" w:line="180" w:lineRule="exact"/>
        <w:rPr>
          <w:sz w:val="20"/>
          <w:szCs w:val="20"/>
          <w:color w:val="auto"/>
        </w:rPr>
      </w:pPr>
    </w:p>
    <w:p>
      <w:pPr>
        <w:ind w:left="4" w:right="40" w:firstLine="436"/>
        <w:spacing w:after="0" w:line="261" w:lineRule="auto"/>
        <w:tabs>
          <w:tab w:leader="none" w:pos="71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 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In the event that the Agent is a Covered Entity and the Agent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4" w:right="20" w:firstLine="440"/>
        <w:spacing w:after="0" w:line="272" w:lineRule="auto"/>
        <w:rPr>
          <w:sz w:val="20"/>
          <w:szCs w:val="20"/>
          <w:color w:val="auto"/>
        </w:rPr>
      </w:pPr>
      <w:r>
        <w:rPr>
          <w:rFonts w:ascii="Times New Roman" w:cs="Times New Roman" w:eastAsia="Times New Roman" w:hAnsi="Times New Roman"/>
          <w:sz w:val="17"/>
          <w:szCs w:val="17"/>
          <w:color w:val="auto"/>
        </w:rPr>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w:t>
      </w:r>
    </w:p>
    <w:p>
      <w:pPr>
        <w:spacing w:after="0" w:line="2" w:lineRule="exact"/>
        <w:rPr>
          <w:sz w:val="20"/>
          <w:szCs w:val="20"/>
          <w:color w:val="auto"/>
        </w:rPr>
      </w:pPr>
    </w:p>
    <w:p>
      <w:pPr>
        <w:ind w:left="4" w:right="20" w:hanging="4"/>
        <w:spacing w:after="0" w:line="253" w:lineRule="auto"/>
        <w:tabs>
          <w:tab w:leader="none" w:pos="31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88" w:lineRule="exact"/>
        <w:rPr>
          <w:rFonts w:ascii="Times New Roman" w:cs="Times New Roman" w:eastAsia="Times New Roman" w:hAnsi="Times New Roman"/>
          <w:sz w:val="18"/>
          <w:szCs w:val="18"/>
          <w:color w:val="auto"/>
        </w:rPr>
      </w:pPr>
    </w:p>
    <w:p>
      <w:pPr>
        <w:ind w:left="4" w:right="40" w:firstLine="436"/>
        <w:spacing w:after="0" w:line="256" w:lineRule="auto"/>
        <w:tabs>
          <w:tab w:leader="none" w:pos="71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70" w:right="459" w:bottom="1440" w:gutter="0" w:footer="0" w:header="0"/>
        </w:sectPr>
      </w:pPr>
    </w:p>
    <w:bookmarkStart w:id="38" w:name="page39"/>
    <w:bookmarkEnd w:id="38"/>
    <w:p>
      <w:pPr>
        <w:ind w:right="100" w:firstLine="436"/>
        <w:spacing w:after="0" w:line="266" w:lineRule="auto"/>
        <w:tabs>
          <w:tab w:leader="none" w:pos="71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of Information</w:t>
      </w:r>
      <w:r>
        <w:rPr>
          <w:rFonts w:ascii="Times New Roman" w:cs="Times New Roman" w:eastAsia="Times New Roman" w:hAnsi="Times New Roman"/>
          <w:sz w:val="18"/>
          <w:szCs w:val="18"/>
          <w:color w:val="auto"/>
        </w:rPr>
        <w:t>. The Agent may not provide any information gained in connection with this Agreement and the transactions contemplated by this Agreement, including due diligence, to any third party other than its legal counsel advising it on this Agreement and the transactions contemplated by this Agreement unless expressly approved by the Company in writing.</w:t>
      </w:r>
    </w:p>
    <w:p>
      <w:pPr>
        <w:spacing w:after="0" w:line="171" w:lineRule="exact"/>
        <w:rPr>
          <w:rFonts w:ascii="Times New Roman" w:cs="Times New Roman" w:eastAsia="Times New Roman" w:hAnsi="Times New Roman"/>
          <w:sz w:val="18"/>
          <w:szCs w:val="18"/>
          <w:color w:val="auto"/>
        </w:rPr>
      </w:pPr>
    </w:p>
    <w:p>
      <w:pPr>
        <w:ind w:firstLine="436"/>
        <w:spacing w:after="0" w:line="286" w:lineRule="auto"/>
        <w:tabs>
          <w:tab w:leader="none" w:pos="71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Information</w:t>
      </w:r>
      <w:r>
        <w:rPr>
          <w:rFonts w:ascii="Times New Roman" w:cs="Times New Roman" w:eastAsia="Times New Roman" w:hAnsi="Times New Roman"/>
          <w:sz w:val="18"/>
          <w:szCs w:val="18"/>
          <w:color w:val="auto"/>
        </w:rPr>
        <w:t>. As used in this Agreement, “</w:t>
      </w:r>
      <w:r>
        <w:rPr>
          <w:rFonts w:ascii="Times New Roman" w:cs="Times New Roman" w:eastAsia="Times New Roman" w:hAnsi="Times New Roman"/>
          <w:sz w:val="18"/>
          <w:szCs w:val="18"/>
          <w:b w:val="1"/>
          <w:bCs w:val="1"/>
          <w:u w:val="single" w:color="auto"/>
          <w:color w:val="auto"/>
        </w:rPr>
        <w:t>Agent’s Information</w:t>
      </w:r>
      <w:r>
        <w:rPr>
          <w:rFonts w:ascii="Times New Roman" w:cs="Times New Roman" w:eastAsia="Times New Roman" w:hAnsi="Times New Roman"/>
          <w:sz w:val="18"/>
          <w:szCs w:val="18"/>
          <w:color w:val="auto"/>
        </w:rPr>
        <w:t>” means solely the following information in the Registration Statement and the Prospectus: the eighth paragraph under the heading “Plan of Distribution” in the Prospectus Supplement.</w:t>
      </w:r>
    </w:p>
    <w:p>
      <w:pPr>
        <w:spacing w:after="0" w:line="15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83"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All references in this Agreement to “supplements” to the Prospectus shall include any supplements, “wrappers” or similar materials prepared in connection with any offering, sale or private placement of any Placement Shares by the Agent outside of the United States.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Blank]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39" w:name="page40"/>
    <w:bookmarkEnd w:id="3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Leone D. Patterson, M.B.A.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and Business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ACCEPTED as of the date first-above written: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SVB Securities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Peter M. Fry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Peter M. Fry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Head of Alternative Equities</w:t>
      </w:r>
    </w:p>
    <w:p>
      <w:pPr>
        <w:sectPr>
          <w:pgSz w:w="11900" w:h="16838" w:orient="portrait"/>
          <w:cols w:equalWidth="0" w:num="1">
            <w:col w:w="10980"/>
          </w:cols>
          <w:pgMar w:left="440" w:top="270" w:right="47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FORM OF PLACEMENT NOTICE</w:t>
            </w:r>
          </w:p>
        </w:tc>
      </w:tr>
      <w:tr>
        <w:trPr>
          <w:trHeight w:val="46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ind w:right="213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6"/>
              </w:rPr>
              <w:t>[TITLE]</w:t>
            </w:r>
          </w:p>
        </w:tc>
        <w:tc>
          <w:tcPr>
            <w:tcW w:w="24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6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Tenaya Therapeutics, Inc.</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Cc:</w:t>
            </w: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ind w:right="2310"/>
              <w:spacing w:after="0"/>
              <w:rPr>
                <w:sz w:val="20"/>
                <w:szCs w:val="20"/>
                <w:color w:val="auto"/>
              </w:rPr>
            </w:pPr>
            <w:r>
              <w:rPr>
                <w:rFonts w:ascii="Times New Roman" w:cs="Times New Roman" w:eastAsia="Times New Roman" w:hAnsi="Times New Roman"/>
                <w:sz w:val="18"/>
                <w:szCs w:val="18"/>
                <w:color w:val="auto"/>
                <w:w w:val="99"/>
              </w:rPr>
              <w:t>]</w:t>
            </w:r>
          </w:p>
        </w:tc>
        <w:tc>
          <w:tcPr>
            <w:tcW w:w="280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6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SVB Securities LLC</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Subject:</w:t>
            </w:r>
          </w:p>
        </w:tc>
        <w:tc>
          <w:tcPr>
            <w:tcW w:w="6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SVB Securities—At the Market Offering—Placement Notice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Sales Agreement, dated August 10, 2022 (the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by and between Tenaya Therapeutics,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SVB Securities LLC (“</w:t>
      </w:r>
      <w:r>
        <w:rPr>
          <w:rFonts w:ascii="Times New Roman" w:cs="Times New Roman" w:eastAsia="Times New Roman" w:hAnsi="Times New Roman"/>
          <w:sz w:val="18"/>
          <w:szCs w:val="18"/>
          <w:b w:val="1"/>
          <w:bCs w:val="1"/>
          <w:u w:val="single" w:color="auto"/>
          <w:color w:val="auto"/>
        </w:rPr>
        <w:t>SVB Securities</w:t>
      </w:r>
      <w:r>
        <w:rPr>
          <w:rFonts w:ascii="Times New Roman" w:cs="Times New Roman" w:eastAsia="Times New Roman" w:hAnsi="Times New Roman"/>
          <w:sz w:val="18"/>
          <w:szCs w:val="18"/>
          <w:color w:val="auto"/>
        </w:rPr>
        <w:t>”), I hereby request on behalf of the Company that SVB Securities sell up to [ ] shares of common stock, $0.0001 par value per share, of the Company (the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xml:space="preserve">”), at a minimum market price of $ per share[;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more than [ ] Shares shall be sold in any one Trading Day (as such term is defined in Section 3 of the Agreement)]. Sales should begin [on the date of this Placement Notice] and end on [DATE] [until all Shares that are the subject of this Placement Notice are sold].</w:t>
      </w:r>
    </w:p>
    <w:p>
      <w:pPr>
        <w:sectPr>
          <w:pgSz w:w="11900" w:h="16838" w:orient="portrait"/>
          <w:cols w:equalWidth="0" w:num="1">
            <w:col w:w="11020"/>
          </w:cols>
          <w:pgMar w:left="440" w:top="266" w:right="4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Faraz Ali (fali@tenayathera.com)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Leone D. Patterson (lpatterson@tenayathera.com)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SVB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Anurag Jindal (anurag.jindal@svbsecurities.com)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Wang (tim.wang@svbsecurities.com)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atm@svbsecurities.com</w:t>
      </w:r>
    </w:p>
    <w:p>
      <w:pPr>
        <w:sectPr>
          <w:pgSz w:w="11900" w:h="16838" w:orient="portrait"/>
          <w:cols w:equalWidth="0" w:num="1">
            <w:col w:w="11020"/>
          </w:cols>
          <w:pgMar w:left="440" w:top="266" w:right="4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The Company shall pay SVB Securities compensation in cash equal to 3.0% of the gross proceeds from the sales of Placement Shares pursuant to the terms of the Sales Agreement of which this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xml:space="preserve"> forms a part.</w:t>
      </w:r>
    </w:p>
    <w:p>
      <w:pPr>
        <w:sectPr>
          <w:pgSz w:w="11900" w:h="16838" w:orient="portrait"/>
          <w:cols w:equalWidth="0" w:num="1">
            <w:col w:w="11020"/>
          </w:cols>
          <w:pgMar w:left="440" w:top="266" w:right="4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7(m)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 CERTIFICATE</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Each of Leone D. Patterson, the duly qualified and elected Chief Financial and Business Officer of Tenaya Therapeutics,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Jennifer Drimmer, the duly qualified and elected General Counsel and Secretary of the Company, does hereby certify in her respective capacity and on behalf of the Company, pursuant to Section 7(m) of the Sales Agreement, dated August 10, 2022 (the “</w:t>
      </w:r>
      <w:r>
        <w:rPr>
          <w:rFonts w:ascii="Times New Roman" w:cs="Times New Roman" w:eastAsia="Times New Roman" w:hAnsi="Times New Roman"/>
          <w:sz w:val="18"/>
          <w:szCs w:val="18"/>
          <w:b w:val="1"/>
          <w:bCs w:val="1"/>
          <w:u w:val="single" w:color="auto"/>
          <w:color w:val="auto"/>
        </w:rPr>
        <w:t>Sales Agreement</w:t>
      </w:r>
      <w:r>
        <w:rPr>
          <w:rFonts w:ascii="Times New Roman" w:cs="Times New Roman" w:eastAsia="Times New Roman" w:hAnsi="Times New Roman"/>
          <w:sz w:val="18"/>
          <w:szCs w:val="18"/>
          <w:color w:val="auto"/>
        </w:rPr>
        <w:t>”), by and between the Company and SVB Securities LLC, that, after due inquiry, to the best of the knowledge of the undersigned:</w:t>
      </w:r>
    </w:p>
    <w:p>
      <w:pPr>
        <w:spacing w:after="0" w:line="180" w:lineRule="exact"/>
        <w:rPr>
          <w:sz w:val="20"/>
          <w:szCs w:val="20"/>
          <w:color w:val="auto"/>
        </w:rPr>
      </w:pPr>
    </w:p>
    <w:p>
      <w:pPr>
        <w:ind w:right="60" w:firstLine="436"/>
        <w:spacing w:after="0" w:line="258"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Section 6 of the Sales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and (B) to the extent such representations and warranties are not subject to any qualifications or exceptions relating to materiality or Material Adverse Effect, are true and correct in all material respects as of the date hereof as if made on and as of the date hereof with the same force and effect as if expressly made on and as of the date hereof.</w:t>
      </w:r>
    </w:p>
    <w:p>
      <w:pPr>
        <w:spacing w:after="0" w:line="183" w:lineRule="exact"/>
        <w:rPr>
          <w:rFonts w:ascii="Times New Roman" w:cs="Times New Roman" w:eastAsia="Times New Roman" w:hAnsi="Times New Roman"/>
          <w:sz w:val="18"/>
          <w:szCs w:val="18"/>
          <w:color w:val="auto"/>
        </w:rPr>
      </w:pPr>
    </w:p>
    <w:p>
      <w:pPr>
        <w:ind w:right="540" w:firstLine="436"/>
        <w:spacing w:after="0" w:line="282" w:lineRule="auto"/>
        <w:tabs>
          <w:tab w:leader="none" w:pos="70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agreements and satisfied all conditions on its part to be performed or satisfied pursuant to the Sales Agreement at or prior to the date hereof.</w:t>
      </w:r>
    </w:p>
    <w:p>
      <w:pPr>
        <w:spacing w:after="0" w:line="161" w:lineRule="exact"/>
        <w:rPr>
          <w:rFonts w:ascii="Times New Roman" w:cs="Times New Roman" w:eastAsia="Times New Roman" w:hAnsi="Times New Roman"/>
          <w:sz w:val="18"/>
          <w:szCs w:val="18"/>
          <w:color w:val="auto"/>
        </w:rPr>
      </w:pPr>
    </w:p>
    <w:p>
      <w:pPr>
        <w:ind w:right="20" w:firstLine="436"/>
        <w:spacing w:after="0" w:line="255" w:lineRule="auto"/>
        <w:tabs>
          <w:tab w:leader="none" w:pos="7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(A) the Registration Statement complies in all material respects with the requirements of the Securities Act and does not contain any untrue statement of a material fact or omit to state a material fact required to be stated therein or necessary in order to make the statements therein not misleading, (B) the Prospectus complies in all material respects with the requirements of the Securities Act does not contain any untrue statement of a material fact or omit to state a material fact required to be stated therein or necessary in order to make the statements therein, in light of the circumstances under which they were made, not misleading and (C) no event has occurred as a result of which it is necessary to amend or supplement the Registration Statement or the Prospectus in order to make the statements therein not untrue or misleading or for clauses (A) and (B) above, to be true and correct.</w:t>
      </w:r>
    </w:p>
    <w:p>
      <w:pPr>
        <w:spacing w:after="0" w:line="188" w:lineRule="exact"/>
        <w:rPr>
          <w:rFonts w:ascii="Times New Roman" w:cs="Times New Roman" w:eastAsia="Times New Roman" w:hAnsi="Times New Roman"/>
          <w:sz w:val="18"/>
          <w:szCs w:val="18"/>
          <w:color w:val="auto"/>
        </w:rPr>
      </w:pPr>
    </w:p>
    <w:p>
      <w:pPr>
        <w:ind w:right="220" w:firstLine="436"/>
        <w:spacing w:after="0" w:line="261" w:lineRule="auto"/>
        <w:tabs>
          <w:tab w:leader="none" w:pos="74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material adverse change, or any development that could reasonably be expected to result in a material adverse change, in the condition (financial or otherwise), earnings, results of operations, business, properties, operations, assets, liabilities or prospects of the Company, taken as a whole, whether or not arising from transactions in the ordinary course of business, since the date as of which information is given in the Prospectus, as amended or supplemented to the date hereof.</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possess any material non-public information.</w:t>
      </w:r>
    </w:p>
    <w:p>
      <w:pPr>
        <w:spacing w:after="0" w:line="225" w:lineRule="exact"/>
        <w:rPr>
          <w:rFonts w:ascii="Times New Roman" w:cs="Times New Roman" w:eastAsia="Times New Roman" w:hAnsi="Times New Roman"/>
          <w:sz w:val="18"/>
          <w:szCs w:val="18"/>
          <w:color w:val="auto"/>
        </w:rPr>
      </w:pPr>
    </w:p>
    <w:p>
      <w:pPr>
        <w:ind w:right="320" w:firstLine="436"/>
        <w:spacing w:after="0" w:line="266" w:lineRule="auto"/>
        <w:tabs>
          <w:tab w:leader="none" w:pos="74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of Placement Shares that may be sold pursuant to the Sales Agreement has been duly authorized by the Company’s board of directors or a duly authorized committee thereof pursuant to a resolution or unanimous written consent in accordance with the Company’s amended and restated articles of incorporation, amended and restated bylaws and applicable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meanings ascribed to them in the Sales Agreement.</w:t>
      </w:r>
    </w:p>
    <w:p>
      <w:pPr>
        <w:sectPr>
          <w:pgSz w:w="11900" w:h="16838" w:orient="portrait"/>
          <w:cols w:equalWidth="0" w:num="1">
            <w:col w:w="11020"/>
          </w:cols>
          <w:pgMar w:left="440" w:top="266" w:right="439" w:bottom="1440" w:gutter="0" w:footer="0" w:header="0"/>
        </w:sectPr>
      </w:pPr>
    </w:p>
    <w:bookmarkStart w:id="44" w:name="page45"/>
    <w:bookmarkEnd w:id="4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in such individual’s respective capacity as Chief Financial and Business Officer or General Counsel and Secretary of the Company, has executed this Officers’ Certificate on behalf of the Company.</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Leone D. Patterson, M.B.A.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and Business Officer</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Jennifer Drimmer, J.D.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 and Secretary</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Date:</w:t>
      </w: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Signature Page to Officers’ Certificate</w:t>
      </w:r>
      <w:r>
        <w:rPr>
          <w:rFonts w:ascii="Times New Roman" w:cs="Times New Roman" w:eastAsia="Times New Roman" w:hAnsi="Times New Roman"/>
          <w:sz w:val="18"/>
          <w:szCs w:val="18"/>
          <w:color w:val="auto"/>
        </w:rPr>
        <w:t>]</w:t>
      </w:r>
    </w:p>
    <w:sectPr>
      <w:pgSz w:w="11900" w:h="16838" w:orient="portrait"/>
      <w:cols w:equalWidth="0" w:num="1">
        <w:col w:w="10780"/>
      </w:cols>
      <w:pgMar w:left="440" w:top="27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decimal"/>
      <w:start w:val="1"/>
    </w:lvl>
  </w:abstractNum>
  <w:abstractNum w:abstractNumId="2">
    <w:nsid w:val="419AC241"/>
    <w:multiLevelType w:val="hybridMultilevel"/>
    <w:lvl w:ilvl="0">
      <w:lvlJc w:val="left"/>
      <w:lvlText w:val="%1."/>
      <w:numFmt w:val="decimal"/>
      <w:start w:val="2"/>
    </w:lvl>
  </w:abstractNum>
  <w:abstractNum w:abstractNumId="3">
    <w:nsid w:val="5577F8E1"/>
    <w:multiLevelType w:val="hybridMultilevel"/>
    <w:lvl w:ilvl="0">
      <w:lvlJc w:val="left"/>
      <w:lvlText w:val="%1"/>
      <w:numFmt w:val="lowerRoman"/>
      <w:start w:val="1"/>
    </w:lvl>
    <w:lvl w:ilvl="1">
      <w:lvlJc w:val="left"/>
      <w:lvlText w:val="%2."/>
      <w:numFmt w:val="decimal"/>
      <w:start w:val="3"/>
    </w:lvl>
  </w:abstractNum>
  <w:abstractNum w:abstractNumId="4">
    <w:nsid w:val="440BADFC"/>
    <w:multiLevelType w:val="hybridMultilevel"/>
    <w:lvl w:ilvl="0">
      <w:lvlJc w:val="left"/>
      <w:lvlText w:val="(%1)"/>
      <w:numFmt w:val="lowerRoman"/>
      <w:start w:val="3"/>
    </w:lvl>
    <w:lvl w:ilvl="1">
      <w:lvlJc w:val="left"/>
      <w:lvlText w:val="%2."/>
      <w:numFmt w:val="decimal"/>
      <w:start w:val="4"/>
    </w:lvl>
  </w:abstractNum>
  <w:abstractNum w:abstractNumId="5">
    <w:nsid w:val="5072367"/>
    <w:multiLevelType w:val="hybridMultilevel"/>
    <w:lvl w:ilvl="0">
      <w:lvlJc w:val="left"/>
      <w:lvlText w:val="(%1)"/>
      <w:numFmt w:val="lowerLetter"/>
      <w:start w:val="1"/>
    </w:lvl>
  </w:abstractNum>
  <w:abstractNum w:abstractNumId="6">
    <w:nsid w:val="3804823E"/>
    <w:multiLevelType w:val="hybridMultilevel"/>
    <w:lvl w:ilvl="0">
      <w:lvlJc w:val="left"/>
      <w:lvlText w:val="(%1)"/>
      <w:numFmt w:val="lowerLetter"/>
      <w:start w:val="2"/>
    </w:lvl>
  </w:abstractNum>
  <w:abstractNum w:abstractNumId="7">
    <w:nsid w:val="77465F01"/>
    <w:multiLevelType w:val="hybridMultilevel"/>
    <w:lvl w:ilvl="0">
      <w:lvlJc w:val="left"/>
      <w:lvlText w:val="%1."/>
      <w:numFmt w:val="decimal"/>
      <w:start w:val="5"/>
    </w:lvl>
  </w:abstractNum>
  <w:abstractNum w:abstractNumId="8">
    <w:nsid w:val="7724C67E"/>
    <w:multiLevelType w:val="hybridMultilevel"/>
    <w:lvl w:ilvl="0">
      <w:lvlJc w:val="left"/>
      <w:lvlText w:val="%1"/>
      <w:numFmt w:val="lowerLetter"/>
      <w:start w:val="1"/>
    </w:lvl>
    <w:lvl w:ilvl="1">
      <w:lvlJc w:val="left"/>
      <w:lvlText w:val="(%2)"/>
      <w:numFmt w:val="lowerLetter"/>
      <w:start w:val="1"/>
    </w:lvl>
  </w:abstractNum>
  <w:abstractNum w:abstractNumId="9">
    <w:nsid w:val="5C482A97"/>
    <w:multiLevelType w:val="hybridMultilevel"/>
    <w:lvl w:ilvl="0">
      <w:lvlJc w:val="left"/>
      <w:lvlText w:val="(%1)"/>
      <w:numFmt w:val="lowerLetter"/>
      <w:start w:val="35"/>
    </w:lvl>
    <w:lvl w:ilvl="1">
      <w:lvlJc w:val="left"/>
      <w:lvlText w:val="(%2)"/>
      <w:numFmt w:val="lowerLetter"/>
      <w:start w:val="2"/>
    </w:lvl>
  </w:abstractNum>
  <w:abstractNum w:abstractNumId="10">
    <w:nsid w:val="2463B9EA"/>
    <w:multiLevelType w:val="hybridMultilevel"/>
    <w:lvl w:ilvl="0">
      <w:lvlJc w:val="left"/>
      <w:lvlText w:val="(%1)"/>
      <w:numFmt w:val="lowerLetter"/>
      <w:start w:val="3"/>
    </w:lvl>
  </w:abstractNum>
  <w:abstractNum w:abstractNumId="11">
    <w:nsid w:val="5E884ADC"/>
    <w:multiLevelType w:val="hybridMultilevel"/>
    <w:lvl w:ilvl="0">
      <w:lvlJc w:val="left"/>
      <w:lvlText w:val="%1."/>
      <w:numFmt w:val="decimal"/>
      <w:start w:val="6"/>
    </w:lvl>
  </w:abstractNum>
  <w:abstractNum w:abstractNumId="12">
    <w:nsid w:val="51EAD36B"/>
    <w:multiLevelType w:val="hybridMultilevel"/>
    <w:lvl w:ilvl="0">
      <w:lvlJc w:val="left"/>
      <w:lvlText w:val="(%1)"/>
      <w:numFmt w:val="lowerLetter"/>
      <w:start w:val="1"/>
    </w:lvl>
  </w:abstractNum>
  <w:abstractNum w:abstractNumId="13">
    <w:nsid w:val="2D517796"/>
    <w:multiLevelType w:val="hybridMultilevel"/>
    <w:lvl w:ilvl="0">
      <w:lvlJc w:val="left"/>
      <w:lvlText w:val="(%1)"/>
      <w:numFmt w:val="lowerLetter"/>
      <w:start w:val="2"/>
    </w:lvl>
  </w:abstractNum>
  <w:abstractNum w:abstractNumId="14">
    <w:nsid w:val="580BD78F"/>
    <w:multiLevelType w:val="hybridMultilevel"/>
    <w:lvl w:ilvl="0">
      <w:lvlJc w:val="left"/>
      <w:lvlText w:val="(%1)"/>
      <w:numFmt w:val="lowerLetter"/>
      <w:start w:val="6"/>
    </w:lvl>
  </w:abstractNum>
  <w:abstractNum w:abstractNumId="15">
    <w:nsid w:val="153EA438"/>
    <w:multiLevelType w:val="hybridMultilevel"/>
    <w:lvl w:ilvl="0">
      <w:lvlJc w:val="left"/>
      <w:lvlText w:val="(%1)"/>
      <w:numFmt w:val="lowerLetter"/>
      <w:start w:val="13"/>
    </w:lvl>
  </w:abstractNum>
  <w:abstractNum w:abstractNumId="16">
    <w:nsid w:val="3855585C"/>
    <w:multiLevelType w:val="hybridMultilevel"/>
    <w:lvl w:ilvl="0">
      <w:lvlJc w:val="left"/>
      <w:lvlText w:val="%1"/>
      <w:numFmt w:val="lowerLetter"/>
      <w:start w:val="1"/>
    </w:lvl>
    <w:lvl w:ilvl="1">
      <w:lvlJc w:val="left"/>
      <w:lvlText w:val="(%2)"/>
      <w:numFmt w:val="lowerLetter"/>
      <w:start w:val="16"/>
    </w:lvl>
  </w:abstractNum>
  <w:abstractNum w:abstractNumId="17">
    <w:nsid w:val="70A64E2A"/>
    <w:multiLevelType w:val="hybridMultilevel"/>
    <w:lvl w:ilvl="0">
      <w:lvlJc w:val="left"/>
      <w:lvlText w:val="(%1)"/>
      <w:numFmt w:val="lowerLetter"/>
      <w:start w:val="61"/>
    </w:lvl>
    <w:lvl w:ilvl="1">
      <w:lvlJc w:val="left"/>
      <w:lvlText w:val="(%2)"/>
      <w:numFmt w:val="lowerLetter"/>
      <w:start w:val="20"/>
    </w:lvl>
  </w:abstractNum>
  <w:abstractNum w:abstractNumId="18">
    <w:nsid w:val="6A2342EC"/>
    <w:multiLevelType w:val="hybridMultilevel"/>
    <w:lvl w:ilvl="0">
      <w:lvlJc w:val="left"/>
      <w:lvlText w:val="(%1)"/>
      <w:numFmt w:val="lowerLetter"/>
      <w:start w:val="22"/>
    </w:lvl>
  </w:abstractNum>
  <w:abstractNum w:abstractNumId="19">
    <w:nsid w:val="2A487CB0"/>
    <w:multiLevelType w:val="hybridMultilevel"/>
    <w:lvl w:ilvl="0">
      <w:lvlJc w:val="left"/>
      <w:lvlText w:val="(%1)"/>
      <w:numFmt w:val="lowerLetter"/>
      <w:start w:val="27"/>
    </w:lvl>
  </w:abstractNum>
  <w:abstractNum w:abstractNumId="20">
    <w:nsid w:val="1D4ED43B"/>
    <w:multiLevelType w:val="hybridMultilevel"/>
    <w:lvl w:ilvl="0">
      <w:lvlJc w:val="left"/>
      <w:lvlText w:val="(%1)"/>
      <w:numFmt w:val="lowerLetter"/>
      <w:start w:val="32"/>
    </w:lvl>
  </w:abstractNum>
  <w:abstractNum w:abstractNumId="21">
    <w:nsid w:val="725A06FB"/>
    <w:multiLevelType w:val="hybridMultilevel"/>
    <w:lvl w:ilvl="0">
      <w:lvlJc w:val="left"/>
      <w:lvlText w:val="(%1)"/>
      <w:numFmt w:val="lowerLetter"/>
      <w:start w:val="36"/>
    </w:lvl>
    <w:lvl w:ilvl="1">
      <w:lvlJc w:val="left"/>
      <w:lvlText w:val="(%2)"/>
      <w:numFmt w:val="lowerLetter"/>
      <w:start w:val="60"/>
    </w:lvl>
    <w:lvl w:ilvl="2">
      <w:lvlJc w:val="left"/>
      <w:lvlText w:val="(%3)"/>
      <w:numFmt w:val="lowerLetter"/>
      <w:start w:val="34"/>
    </w:lvl>
    <w:lvl w:ilvl="3">
      <w:lvlJc w:val="left"/>
      <w:lvlText w:val="(%4)"/>
      <w:numFmt w:val="lowerLetter"/>
      <w:start w:val="1"/>
    </w:lvl>
    <w:lvl w:ilvl="4">
      <w:lvlJc w:val="left"/>
      <w:lvlText w:val="(%5)"/>
      <w:numFmt w:val="lowerLetter"/>
      <w:start w:val="1"/>
    </w:lvl>
  </w:abstractNum>
  <w:abstractNum w:abstractNumId="22">
    <w:nsid w:val="2CD89A32"/>
    <w:multiLevelType w:val="hybridMultilevel"/>
    <w:lvl w:ilvl="0">
      <w:lvlJc w:val="left"/>
      <w:lvlText w:val="(%1)"/>
      <w:numFmt w:val="upperLetter"/>
      <w:start w:val="1"/>
    </w:lvl>
    <w:lvl w:ilvl="1">
      <w:lvlJc w:val="left"/>
      <w:lvlText w:val="(%2)"/>
      <w:numFmt w:val="lowerLetter"/>
      <w:start w:val="39"/>
    </w:lvl>
  </w:abstractNum>
  <w:abstractNum w:abstractNumId="23">
    <w:nsid w:val="57E4CCAF"/>
    <w:multiLevelType w:val="hybridMultilevel"/>
    <w:lvl w:ilvl="0">
      <w:lvlJc w:val="left"/>
      <w:lvlText w:val="(%1)"/>
      <w:numFmt w:val="lowerLetter"/>
      <w:start w:val="40"/>
    </w:lvl>
    <w:lvl w:ilvl="1">
      <w:lvlJc w:val="left"/>
      <w:lvlText w:val="(%2)"/>
      <w:numFmt w:val="lowerRoman"/>
      <w:start w:val="1"/>
    </w:lvl>
  </w:abstractNum>
  <w:abstractNum w:abstractNumId="24">
    <w:nsid w:val="7A6D8D3C"/>
    <w:multiLevelType w:val="hybridMultilevel"/>
    <w:lvl w:ilvl="0">
      <w:lvlJc w:val="left"/>
      <w:lvlText w:val="(%1)"/>
      <w:numFmt w:val="lowerLetter"/>
      <w:start w:val="42"/>
    </w:lvl>
  </w:abstractNum>
  <w:abstractNum w:abstractNumId="25">
    <w:nsid w:val="4B588F54"/>
    <w:multiLevelType w:val="hybridMultilevel"/>
    <w:lvl w:ilvl="0">
      <w:lvlJc w:val="left"/>
      <w:lvlText w:val="%1"/>
      <w:numFmt w:val="lowerLetter"/>
      <w:start w:val="1"/>
    </w:lvl>
    <w:lvl w:ilvl="1">
      <w:lvlJc w:val="left"/>
      <w:lvlText w:val="(%2)"/>
      <w:numFmt w:val="lowerLetter"/>
      <w:start w:val="46"/>
    </w:lvl>
  </w:abstractNum>
  <w:abstractNum w:abstractNumId="26">
    <w:nsid w:val="542289EC"/>
    <w:multiLevelType w:val="hybridMultilevel"/>
    <w:lvl w:ilvl="0">
      <w:lvlJc w:val="left"/>
      <w:lvlText w:val="(%1)"/>
      <w:numFmt w:val="lowerLetter"/>
      <w:start w:val="9"/>
    </w:lvl>
    <w:lvl w:ilvl="1">
      <w:lvlJc w:val="left"/>
      <w:lvlText w:val="(%2)"/>
      <w:numFmt w:val="lowerLetter"/>
      <w:start w:val="47"/>
    </w:lvl>
  </w:abstractNum>
  <w:abstractNum w:abstractNumId="27">
    <w:nsid w:val="6DE91B18"/>
    <w:multiLevelType w:val="hybridMultilevel"/>
    <w:lvl w:ilvl="0">
      <w:lvlJc w:val="left"/>
      <w:lvlText w:val="(%1)"/>
      <w:numFmt w:val="lowerLetter"/>
      <w:start w:val="52"/>
    </w:lvl>
  </w:abstractNum>
  <w:abstractNum w:abstractNumId="28">
    <w:nsid w:val="38437FDB"/>
    <w:multiLevelType w:val="hybridMultilevel"/>
    <w:lvl w:ilvl="0">
      <w:lvlJc w:val="left"/>
      <w:lvlText w:val="(%1)"/>
      <w:numFmt w:val="lowerLetter"/>
      <w:start w:val="53"/>
    </w:lvl>
  </w:abstractNum>
  <w:abstractNum w:abstractNumId="29">
    <w:nsid w:val="7644A45C"/>
    <w:multiLevelType w:val="hybridMultilevel"/>
    <w:lvl w:ilvl="0">
      <w:lvlJc w:val="left"/>
      <w:lvlText w:val="(%1)"/>
      <w:numFmt w:val="lowerLetter"/>
      <w:start w:val="35"/>
    </w:lvl>
    <w:lvl w:ilvl="1">
      <w:lvlJc w:val="left"/>
      <w:lvlText w:val="(%2)"/>
      <w:numFmt w:val="lowerLetter"/>
      <w:start w:val="55"/>
    </w:lvl>
  </w:abstractNum>
  <w:abstractNum w:abstractNumId="30">
    <w:nsid w:val="32FFF902"/>
    <w:multiLevelType w:val="hybridMultilevel"/>
    <w:lvl w:ilvl="0">
      <w:lvlJc w:val="left"/>
      <w:lvlText w:val="(%1)"/>
      <w:numFmt w:val="lowerLetter"/>
      <w:start w:val="1"/>
    </w:lvl>
  </w:abstractNum>
  <w:abstractNum w:abstractNumId="31">
    <w:nsid w:val="684A481A"/>
    <w:multiLevelType w:val="hybridMultilevel"/>
    <w:lvl w:ilvl="0">
      <w:lvlJc w:val="left"/>
      <w:lvlText w:val="(%1)"/>
      <w:numFmt w:val="lowerLetter"/>
      <w:start w:val="2"/>
    </w:lvl>
  </w:abstractNum>
  <w:abstractNum w:abstractNumId="32">
    <w:nsid w:val="579478FE"/>
    <w:multiLevelType w:val="hybridMultilevel"/>
    <w:lvl w:ilvl="0">
      <w:lvlJc w:val="left"/>
      <w:lvlText w:val="(%1)"/>
      <w:numFmt w:val="lowerLetter"/>
      <w:start w:val="4"/>
    </w:lvl>
  </w:abstractNum>
  <w:abstractNum w:abstractNumId="33">
    <w:nsid w:val="749ABB43"/>
    <w:multiLevelType w:val="hybridMultilevel"/>
    <w:lvl w:ilvl="0">
      <w:lvlJc w:val="left"/>
      <w:lvlText w:val="(%1)"/>
      <w:numFmt w:val="lowerLetter"/>
      <w:start w:val="8"/>
    </w:lvl>
  </w:abstractNum>
  <w:abstractNum w:abstractNumId="34">
    <w:nsid w:val="3DC240FB"/>
    <w:multiLevelType w:val="hybridMultilevel"/>
    <w:lvl w:ilvl="0">
      <w:lvlJc w:val="left"/>
      <w:lvlText w:val="%1"/>
      <w:numFmt w:val="lowerLetter"/>
      <w:start w:val="1"/>
    </w:lvl>
    <w:lvl w:ilvl="1">
      <w:lvlJc w:val="left"/>
      <w:lvlText w:val="(%2)"/>
      <w:numFmt w:val="lowerLetter"/>
      <w:start w:val="12"/>
    </w:lvl>
    <w:lvl w:ilvl="2">
      <w:lvlJc w:val="left"/>
      <w:lvlText w:val="(%3)"/>
      <w:numFmt w:val="lowerRoman"/>
      <w:start w:val="1"/>
    </w:lvl>
  </w:abstractNum>
  <w:abstractNum w:abstractNumId="35">
    <w:nsid w:val="1BA026FA"/>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36">
    <w:nsid w:val="79A1DEAA"/>
    <w:multiLevelType w:val="hybridMultilevel"/>
    <w:lvl w:ilvl="0">
      <w:lvlJc w:val="left"/>
      <w:lvlText w:val="%1"/>
      <w:numFmt w:val="lowerLetter"/>
      <w:start w:val="1"/>
    </w:lvl>
    <w:lvl w:ilvl="1">
      <w:lvlJc w:val="left"/>
      <w:lvlText w:val="(%2)"/>
      <w:numFmt w:val="lowerLetter"/>
      <w:start w:val="14"/>
    </w:lvl>
  </w:abstractNum>
  <w:abstractNum w:abstractNumId="37">
    <w:nsid w:val="75C6C33A"/>
    <w:multiLevelType w:val="hybridMultilevel"/>
    <w:lvl w:ilvl="0">
      <w:lvlJc w:val="left"/>
      <w:lvlText w:val="(%1)"/>
      <w:numFmt w:val="lowerLetter"/>
      <w:start w:val="9"/>
    </w:lvl>
    <w:lvl w:ilvl="1">
      <w:lvlJc w:val="left"/>
      <w:lvlText w:val="(%2)"/>
      <w:numFmt w:val="lowerLetter"/>
      <w:start w:val="16"/>
    </w:lvl>
  </w:abstractNum>
  <w:abstractNum w:abstractNumId="38">
    <w:nsid w:val="12E685FB"/>
    <w:multiLevelType w:val="hybridMultilevel"/>
    <w:lvl w:ilvl="0">
      <w:lvlJc w:val="left"/>
      <w:lvlText w:val="(%1)"/>
      <w:numFmt w:val="lowerLetter"/>
      <w:start w:val="17"/>
    </w:lvl>
  </w:abstractNum>
  <w:abstractNum w:abstractNumId="39">
    <w:nsid w:val="70C6A529"/>
    <w:multiLevelType w:val="hybridMultilevel"/>
    <w:lvl w:ilvl="0">
      <w:lvlJc w:val="left"/>
      <w:lvlText w:val="(%1)"/>
      <w:numFmt w:val="lowerLetter"/>
      <w:start w:val="24"/>
    </w:lvl>
  </w:abstractNum>
  <w:abstractNum w:abstractNumId="40">
    <w:nsid w:val="520EEDD1"/>
    <w:multiLevelType w:val="hybridMultilevel"/>
    <w:lvl w:ilvl="0">
      <w:lvlJc w:val="left"/>
      <w:lvlText w:val="(%1)"/>
      <w:numFmt w:val="lowerLetter"/>
      <w:start w:val="27"/>
    </w:lvl>
  </w:abstractNum>
  <w:abstractNum w:abstractNumId="41">
    <w:nsid w:val="374A3FE6"/>
    <w:multiLevelType w:val="hybridMultilevel"/>
    <w:lvl w:ilvl="0">
      <w:lvlJc w:val="left"/>
      <w:lvlText w:val="%1."/>
      <w:numFmt w:val="decimal"/>
      <w:start w:val="8"/>
    </w:lvl>
  </w:abstractNum>
  <w:abstractNum w:abstractNumId="42">
    <w:nsid w:val="4F4EF005"/>
    <w:multiLevelType w:val="hybridMultilevel"/>
    <w:lvl w:ilvl="0">
      <w:lvlJc w:val="left"/>
      <w:lvlText w:val="(%1)"/>
      <w:numFmt w:val="lowerLetter"/>
      <w:start w:val="1"/>
    </w:lvl>
  </w:abstractNum>
  <w:abstractNum w:abstractNumId="43">
    <w:nsid w:val="23F9C13C"/>
    <w:multiLevelType w:val="hybridMultilevel"/>
    <w:lvl w:ilvl="0">
      <w:lvlJc w:val="left"/>
      <w:lvlText w:val="(%1)"/>
      <w:numFmt w:val="lowerLetter"/>
      <w:start w:val="2"/>
    </w:lvl>
  </w:abstractNum>
  <w:abstractNum w:abstractNumId="44">
    <w:nsid w:val="649BB77C"/>
    <w:multiLevelType w:val="hybridMultilevel"/>
    <w:lvl w:ilvl="0">
      <w:lvlJc w:val="left"/>
      <w:lvlText w:val="%1"/>
      <w:numFmt w:val="lowerLetter"/>
      <w:start w:val="1"/>
    </w:lvl>
    <w:lvl w:ilvl="1">
      <w:lvlJc w:val="left"/>
      <w:lvlText w:val="(%2)"/>
      <w:numFmt w:val="lowerLetter"/>
      <w:start w:val="8"/>
    </w:lvl>
  </w:abstractNum>
  <w:abstractNum w:abstractNumId="45">
    <w:nsid w:val="275AC794"/>
    <w:multiLevelType w:val="hybridMultilevel"/>
    <w:lvl w:ilvl="0">
      <w:lvlJc w:val="left"/>
      <w:lvlText w:val="(%1)"/>
      <w:numFmt w:val="lowerLetter"/>
      <w:start w:val="35"/>
    </w:lvl>
    <w:lvl w:ilvl="1">
      <w:lvlJc w:val="left"/>
      <w:lvlText w:val="(%2)"/>
      <w:numFmt w:val="lowerLetter"/>
      <w:start w:val="15"/>
    </w:lvl>
  </w:abstractNum>
  <w:abstractNum w:abstractNumId="46">
    <w:nsid w:val="39386575"/>
    <w:multiLevelType w:val="hybridMultilevel"/>
    <w:lvl w:ilvl="0">
      <w:lvlJc w:val="left"/>
      <w:lvlText w:val="%1."/>
      <w:numFmt w:val="decimal"/>
      <w:start w:val="9"/>
    </w:lvl>
  </w:abstractNum>
  <w:abstractNum w:abstractNumId="47">
    <w:nsid w:val="1CF10FD8"/>
    <w:multiLevelType w:val="hybridMultilevel"/>
    <w:lvl w:ilvl="0">
      <w:lvlJc w:val="left"/>
      <w:lvlText w:val="%1"/>
      <w:numFmt w:val="lowerLetter"/>
      <w:start w:val="1"/>
    </w:lvl>
    <w:lvl w:ilvl="1">
      <w:lvlJc w:val="left"/>
      <w:lvlText w:val="(%2)"/>
      <w:numFmt w:val="lowerLetter"/>
      <w:start w:val="1"/>
    </w:lvl>
  </w:abstractNum>
  <w:abstractNum w:abstractNumId="48">
    <w:nsid w:val="180115BE"/>
    <w:multiLevelType w:val="hybridMultilevel"/>
    <w:lvl w:ilvl="0">
      <w:lvlJc w:val="left"/>
      <w:lvlText w:val="(%1)"/>
      <w:numFmt w:val="lowerLetter"/>
      <w:start w:val="26"/>
    </w:lvl>
    <w:lvl w:ilvl="1">
      <w:lvlJc w:val="left"/>
      <w:lvlText w:val="(%2)"/>
      <w:numFmt w:val="lowerLetter"/>
      <w:start w:val="2"/>
    </w:lvl>
  </w:abstractNum>
  <w:abstractNum w:abstractNumId="49">
    <w:nsid w:val="235BA861"/>
    <w:multiLevelType w:val="hybridMultilevel"/>
    <w:lvl w:ilvl="0">
      <w:lvlJc w:val="left"/>
      <w:lvlText w:val="(%1)"/>
      <w:numFmt w:val="lowerLetter"/>
      <w:start w:val="4"/>
    </w:lvl>
  </w:abstractNum>
  <w:abstractNum w:abstractNumId="50">
    <w:nsid w:val="47398C89"/>
    <w:multiLevelType w:val="hybridMultilevel"/>
    <w:lvl w:ilvl="0">
      <w:lvlJc w:val="left"/>
      <w:lvlText w:val="%1."/>
      <w:numFmt w:val="decimal"/>
      <w:start w:val="10"/>
    </w:lvl>
  </w:abstractNum>
  <w:abstractNum w:abstractNumId="51">
    <w:nsid w:val="354FE9F9"/>
    <w:multiLevelType w:val="hybridMultilevel"/>
    <w:lvl w:ilvl="0">
      <w:lvlJc w:val="left"/>
      <w:lvlText w:val="%1."/>
      <w:numFmt w:val="decimal"/>
      <w:start w:val="11"/>
    </w:lvl>
  </w:abstractNum>
  <w:abstractNum w:abstractNumId="52">
    <w:nsid w:val="15B5AF5C"/>
    <w:multiLevelType w:val="hybridMultilevel"/>
    <w:lvl w:ilvl="0">
      <w:lvlJc w:val="left"/>
      <w:lvlText w:val="(%1)"/>
      <w:numFmt w:val="lowerLetter"/>
      <w:start w:val="1"/>
    </w:lvl>
  </w:abstractNum>
  <w:abstractNum w:abstractNumId="53">
    <w:nsid w:val="741226BB"/>
    <w:multiLevelType w:val="hybridMultilevel"/>
    <w:lvl w:ilvl="0">
      <w:lvlJc w:val="left"/>
      <w:lvlText w:val="%1."/>
      <w:numFmt w:val="decimal"/>
      <w:start w:val="12"/>
    </w:lvl>
  </w:abstractNum>
  <w:abstractNum w:abstractNumId="54">
    <w:nsid w:val="D34B6A8"/>
    <w:multiLevelType w:val="hybridMultilevel"/>
    <w:lvl w:ilvl="0">
      <w:lvlJc w:val="left"/>
      <w:lvlText w:val="(%1)"/>
      <w:numFmt w:val="lowerRoman"/>
      <w:start w:val="3"/>
    </w:lvl>
  </w:abstractNum>
  <w:abstractNum w:abstractNumId="55">
    <w:nsid w:val="10233C99"/>
    <w:multiLevelType w:val="hybridMultilevel"/>
    <w:lvl w:ilvl="0">
      <w:lvlJc w:val="left"/>
      <w:lvlText w:val="%1."/>
      <w:numFmt w:val="decimal"/>
      <w:start w:val="13"/>
    </w:lvl>
  </w:abstractNum>
  <w:abstractNum w:abstractNumId="56">
    <w:nsid w:val="3F6AB60F"/>
    <w:multiLevelType w:val="hybridMultilevel"/>
    <w:lvl w:ilvl="0">
      <w:lvlJc w:val="left"/>
      <w:lvlText w:val="%1."/>
      <w:numFmt w:val="decimal"/>
      <w:start w:val="14"/>
    </w:lvl>
  </w:abstractNum>
  <w:abstractNum w:abstractNumId="57">
    <w:nsid w:val="61574095"/>
    <w:multiLevelType w:val="hybridMultilevel"/>
    <w:lvl w:ilvl="0">
      <w:lvlJc w:val="left"/>
      <w:lvlText w:val="%1."/>
      <w:numFmt w:val="decimal"/>
      <w:start w:val="18"/>
    </w:lvl>
  </w:abstractNum>
  <w:abstractNum w:abstractNumId="58">
    <w:nsid w:val="7E0C57B1"/>
    <w:multiLevelType w:val="hybridMultilevel"/>
    <w:lvl w:ilvl="0">
      <w:lvlJc w:val="left"/>
      <w:lvlText w:val="(%1)"/>
      <w:numFmt w:val="lowerLetter"/>
      <w:start w:val="1"/>
    </w:lvl>
  </w:abstractNum>
  <w:abstractNum w:abstractNumId="59">
    <w:nsid w:val="77AE35EB"/>
    <w:multiLevelType w:val="hybridMultilevel"/>
    <w:lvl w:ilvl="0">
      <w:lvlJc w:val="left"/>
      <w:lvlText w:val="%1."/>
      <w:numFmt w:val="decimal"/>
      <w:start w:val="19"/>
    </w:lvl>
  </w:abstractNum>
  <w:abstractNum w:abstractNumId="60">
    <w:nsid w:val="579BE4F1"/>
    <w:multiLevelType w:val="hybridMultilevel"/>
    <w:lvl w:ilvl="0">
      <w:lvlJc w:val="left"/>
      <w:lvlText w:val="(%1)"/>
      <w:numFmt w:val="lowerLetter"/>
      <w:start w:val="1"/>
    </w:lvl>
  </w:abstractNum>
  <w:abstractNum w:abstractNumId="61">
    <w:nsid w:val="310C50B3"/>
    <w:multiLevelType w:val="hybridMultilevel"/>
    <w:lvl w:ilvl="0">
      <w:lvlJc w:val="left"/>
      <w:lvlText w:val="(%1)"/>
      <w:numFmt w:val="lowerLetter"/>
      <w:start w:val="3"/>
    </w:lvl>
  </w:abstractNum>
  <w:abstractNum w:abstractNumId="62">
    <w:nsid w:val="5FF87E05"/>
    <w:multiLevelType w:val="hybridMultilevel"/>
    <w:lvl w:ilvl="0">
      <w:lvlJc w:val="left"/>
      <w:lvlText w:val="%1."/>
      <w:numFmt w:val="decimal"/>
      <w:start w:val="21"/>
    </w:lvl>
  </w:abstractNum>
  <w:abstractNum w:abstractNumId="63">
    <w:nsid w:val="2F305DEF"/>
    <w:multiLevelType w:val="hybridMultilevel"/>
    <w:lvl w:ilvl="0">
      <w:lvlJc w:val="left"/>
      <w:lvlText w:val="(%1)"/>
      <w:numFmt w:val="lowerRoman"/>
      <w:start w:val="3"/>
    </w:lvl>
    <w:lvl w:ilvl="1">
      <w:lvlJc w:val="left"/>
      <w:lvlText w:val="%2."/>
      <w:numFmt w:val="decimal"/>
      <w:start w:val="22"/>
    </w:lvl>
  </w:abstractNum>
  <w:abstractNum w:abstractNumId="64">
    <w:nsid w:val="25A70BF7"/>
    <w:multiLevelType w:val="hybridMultilevel"/>
    <w:lvl w:ilvl="0">
      <w:lvlJc w:val="left"/>
      <w:lvlText w:val="%1."/>
      <w:numFmt w:val="decimal"/>
      <w:start w:val="23"/>
    </w:lvl>
  </w:abstractNum>
  <w:abstractNum w:abstractNumId="65">
    <w:nsid w:val="1DBABF0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2022-08-10T16:36:44Z</dcterms:created>
  <dcterms:modified xsi:type="dcterms:W3CDTF">2022-08-10T16:36:44Z</dcterms:modified>
</cp:coreProperties>
</file>