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May 11, 2022</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524" w:right="499" w:bottom="1440" w:gutter="0" w:footer="0" w:header="0"/>
        </w:sectPr>
      </w:pPr>
    </w:p>
    <w:p>
      <w:pPr>
        <w:spacing w:after="0" w:line="16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81-3789973</w:t>
      </w:r>
    </w:p>
    <w:p>
      <w:pPr>
        <w:spacing w:after="0" w:line="1" w:lineRule="exact"/>
        <w:rPr>
          <w:sz w:val="24"/>
          <w:szCs w:val="24"/>
          <w:color w:val="auto"/>
        </w:rPr>
      </w:pPr>
    </w:p>
    <w:p>
      <w:pPr>
        <w:sectPr>
          <w:pgSz w:w="11900" w:h="16838" w:orient="portrait"/>
          <w:cols w:equalWidth="0" w:num="3">
            <w:col w:w="4760" w:space="720"/>
            <w:col w:w="2580" w:space="720"/>
            <w:col w:w="2300"/>
          </w:cols>
          <w:pgMar w:left="320" w:top="524" w:right="499" w:bottom="1440" w:gutter="0" w:footer="0" w:header="0"/>
          <w:type w:val="continuous"/>
        </w:sectPr>
      </w:pPr>
    </w:p>
    <w:p>
      <w:pPr>
        <w:jc w:val="center"/>
        <w:ind w:right="200"/>
        <w:spacing w:after="0" w:line="237" w:lineRule="auto"/>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line="237" w:lineRule="auto"/>
        <w:rPr>
          <w:sz w:val="20"/>
          <w:szCs w:val="20"/>
          <w:color w:val="auto"/>
        </w:rPr>
      </w:pPr>
      <w:r>
        <w:rPr>
          <w:rFonts w:ascii="Times New Roman" w:cs="Times New Roman" w:eastAsia="Times New Roman" w:hAnsi="Times New Roman"/>
          <w:sz w:val="14"/>
          <w:szCs w:val="14"/>
          <w:b w:val="1"/>
          <w:bCs w:val="1"/>
          <w:color w:val="auto"/>
        </w:rPr>
        <w:t>(Commission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line="237" w:lineRule="auto"/>
        <w:rPr>
          <w:sz w:val="20"/>
          <w:szCs w:val="20"/>
          <w:color w:val="auto"/>
        </w:rPr>
      </w:pPr>
      <w:r>
        <w:rPr>
          <w:rFonts w:ascii="Times New Roman" w:cs="Times New Roman" w:eastAsia="Times New Roman" w:hAnsi="Times New Roman"/>
          <w:sz w:val="14"/>
          <w:szCs w:val="14"/>
          <w:b w:val="1"/>
          <w:bCs w:val="1"/>
          <w:color w:val="auto"/>
        </w:rPr>
        <w:t>(IRS Employer</w:t>
      </w:r>
    </w:p>
    <w:p>
      <w:pPr>
        <w:spacing w:after="0" w:line="1"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20" w:space="720"/>
            <w:col w:w="2500" w:space="720"/>
            <w:col w:w="2420"/>
          </w:cols>
          <w:pgMar w:left="320" w:top="524" w:right="499" w:bottom="1440" w:gutter="0" w:footer="0" w:header="0"/>
          <w:type w:val="continuous"/>
        </w:sectPr>
      </w:pPr>
    </w:p>
    <w:p>
      <w:pPr>
        <w:spacing w:after="0" w:line="1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171 Oyster Point Boulevard, 5th Floor</w:t>
      </w:r>
    </w:p>
    <w:p>
      <w:pPr>
        <w:spacing w:after="0" w:line="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9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(650) 825-6900</w:t>
      </w:r>
    </w:p>
    <w:p>
      <w:pPr>
        <w:spacing w:after="0" w:line="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080"/>
          </w:cols>
          <w:pgMar w:left="320" w:top="524" w:right="499" w:bottom="1440" w:gutter="0" w:footer="0" w:header="0"/>
          <w:type w:val="continuous"/>
        </w:sectPr>
      </w:pPr>
    </w:p>
    <w:p>
      <w:pPr>
        <w:spacing w:after="0" w:line="97" w:lineRule="exact"/>
        <w:rPr>
          <w:sz w:val="24"/>
          <w:szCs w:val="24"/>
          <w:color w:val="auto"/>
        </w:rPr>
      </w:pPr>
    </w:p>
    <w:p>
      <w:pPr>
        <w:ind w:right="520"/>
        <w:spacing w:after="0" w:line="24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580" w:firstLine="16"/>
        <w:spacing w:after="0" w:line="364" w:lineRule="auto"/>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600" w:type="dxa"/>
        <w:tblCellMar>
          <w:top w:w="0" w:type="dxa"/>
          <w:left w:w="0" w:type="dxa"/>
          <w:bottom w:w="0" w:type="dxa"/>
          <w:right w:w="0" w:type="dxa"/>
        </w:tblCellMar>
      </w:tblPr>
      <w:tr>
        <w:trPr>
          <w:trHeight w:val="149"/>
        </w:trPr>
        <w:tc>
          <w:tcPr>
            <w:tcW w:w="4160" w:type="dxa"/>
            <w:vAlign w:val="bottom"/>
            <w:vMerge w:val="restart"/>
          </w:tcPr>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480" w:type="dxa"/>
            <w:vAlign w:val="bottom"/>
          </w:tcPr>
          <w:p>
            <w:pPr>
              <w:jc w:val="center"/>
              <w:ind w:left="762"/>
              <w:spacing w:after="0" w:line="149" w:lineRule="exact"/>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46"/>
        </w:trPr>
        <w:tc>
          <w:tcPr>
            <w:tcW w:w="4160" w:type="dxa"/>
            <w:vAlign w:val="bottom"/>
            <w:vMerge w:val="continue"/>
          </w:tcPr>
          <w:p>
            <w:pPr>
              <w:spacing w:after="0"/>
              <w:rPr>
                <w:sz w:val="12"/>
                <w:szCs w:val="12"/>
                <w:color w:val="auto"/>
              </w:rPr>
            </w:pPr>
          </w:p>
        </w:tc>
        <w:tc>
          <w:tcPr>
            <w:tcW w:w="2240" w:type="dxa"/>
            <w:vAlign w:val="bottom"/>
          </w:tcPr>
          <w:p>
            <w:pPr>
              <w:jc w:val="center"/>
              <w:ind w:right="2"/>
              <w:spacing w:after="0" w:line="146" w:lineRule="exact"/>
              <w:rPr>
                <w:sz w:val="20"/>
                <w:szCs w:val="20"/>
                <w:color w:val="auto"/>
              </w:rPr>
            </w:pPr>
            <w:r>
              <w:rPr>
                <w:rFonts w:ascii="Times New Roman" w:cs="Times New Roman" w:eastAsia="Times New Roman" w:hAnsi="Times New Roman"/>
                <w:sz w:val="14"/>
                <w:szCs w:val="14"/>
                <w:b w:val="1"/>
                <w:bCs w:val="1"/>
                <w:color w:val="auto"/>
              </w:rPr>
              <w:t>Symbol(s)</w:t>
            </w:r>
          </w:p>
        </w:tc>
        <w:tc>
          <w:tcPr>
            <w:tcW w:w="3480" w:type="dxa"/>
            <w:vAlign w:val="bottom"/>
          </w:tcPr>
          <w:p>
            <w:pPr>
              <w:jc w:val="center"/>
              <w:ind w:left="762"/>
              <w:spacing w:after="0" w:line="146"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4160" w:type="dxa"/>
            <w:vAlign w:val="bottom"/>
          </w:tcPr>
          <w:p>
            <w:pPr>
              <w:jc w:val="center"/>
              <w:ind w:right="679"/>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40" w:type="dxa"/>
            <w:vAlign w:val="bottom"/>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4"/>
              </w:rPr>
              <w:t>TNYA</w:t>
            </w:r>
          </w:p>
        </w:tc>
        <w:tc>
          <w:tcPr>
            <w:tcW w:w="3480" w:type="dxa"/>
            <w:vAlign w:val="bottom"/>
          </w:tcPr>
          <w:p>
            <w:pPr>
              <w:jc w:val="center"/>
              <w:ind w:left="782"/>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24"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11, 2022, Tenaya Therapeutics, Inc. (the “Company”) issued a press release announcing its financial results for the quarter ended March 31, 2022.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attached hereto as Exhibit 99.1 and is incorporated herein by reference.</w:t>
      </w:r>
    </w:p>
    <w:p>
      <w:pPr>
        <w:spacing w:after="0" w:line="19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rPr>
              <w:t>Exhibit</w:t>
            </w:r>
          </w:p>
        </w:tc>
        <w:tc>
          <w:tcPr>
            <w:tcW w:w="10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8"/>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w w:val="96"/>
              </w:rPr>
              <w:t>No.</w:t>
            </w:r>
          </w:p>
        </w:tc>
        <w:tc>
          <w:tcPr>
            <w:tcW w:w="10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Tenaya Therapeutics, Inc., dated May 11, 2022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620" w:type="dxa"/>
            <w:vAlign w:val="bottom"/>
            <w:tcBorders>
              <w:right w:val="single" w:sz="8" w:color="0000EE"/>
            </w:tcBorders>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40" w:type="dxa"/>
            <w:vAlign w:val="bottom"/>
            <w:vMerge w:val="continue"/>
          </w:tcPr>
          <w:p>
            <w:pPr>
              <w:spacing w:after="0"/>
              <w:rPr>
                <w:sz w:val="19"/>
                <w:szCs w:val="19"/>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42"/>
        </w:trPr>
        <w:tc>
          <w:tcPr>
            <w:tcW w:w="11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31" w:lineRule="exact"/>
        <w:rPr>
          <w:sz w:val="20"/>
          <w:szCs w:val="20"/>
          <w:color w:val="auto"/>
        </w:rPr>
      </w:pPr>
    </w:p>
    <w:p>
      <w:pPr>
        <w:ind w:left="560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Leone D. Patterson, M.B.A.</w:t>
      </w:r>
    </w:p>
    <w:p>
      <w:pPr>
        <w:spacing w:after="0" w:line="1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-127635</wp:posOffset>
            </wp:positionV>
            <wp:extent cx="3257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19685</wp:posOffset>
            </wp:positionV>
            <wp:extent cx="2357120" cy="1234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Tenaya Therapeutics Reports First Quarter 2022 Financial Results and Provides Business Update</w:t>
      </w: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TN-201 Received Orphan Medicinal Product Designation from the European Commission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Preclinical TN-401 Data Presented at Heart Rhythm 2022</w:t>
      </w:r>
    </w:p>
    <w:p>
      <w:pPr>
        <w:spacing w:after="0" w:line="210"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b w:val="1"/>
          <w:bCs w:val="1"/>
          <w:color w:val="auto"/>
        </w:rPr>
        <w:t>South San Francisco, Calif. – May 11, 2022</w:t>
      </w:r>
      <w:r>
        <w:rPr>
          <w:rFonts w:ascii="Times New Roman" w:cs="Times New Roman" w:eastAsia="Times New Roman" w:hAnsi="Times New Roman"/>
          <w:sz w:val="18"/>
          <w:szCs w:val="18"/>
          <w:color w:val="auto"/>
        </w:rPr>
        <w:t>—Tenaya Therapeutics, Inc. (NASDAQ: TNYA), a biotechnology company with a mission to discover,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 and deliver potentially curative therapies that address the underlying causes of heart disease, today provided business and program updates, and reported financial results for the first quarter ended March 31, 2022.</w:t>
      </w:r>
    </w:p>
    <w:p>
      <w:pPr>
        <w:spacing w:after="0" w:line="17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“Tenaya continues to advance a broad pipeline of potentially first-in-class programs for both rare and prevalent forms of heart disease,” said Faraz Ali, Chief Executive Officer of Tenaya. “Our progress is measurable across all aspects of our business. We recently presented encouraging preclinical data for our emerging gene therapy program, TN-401, being developed for the treatment of arrhythmogenic right ventricular cardiomyopathy. Our IND-enabling efforts for TN-201 and TN-301 are on track, as are efforts for our cGMP manufacturing facility to become operational. We are also pleased to announce that TN-201 has been granted orphan drug designation in Europe.”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and Program Updates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TN-201 – MYBPC3 Gene Therapy Program for Genetic Hypertrophic Cardiomyopathy (HCM)</w:t>
      </w:r>
    </w:p>
    <w:p>
      <w:pPr>
        <w:spacing w:after="0" w:line="106" w:lineRule="exact"/>
        <w:rPr>
          <w:sz w:val="20"/>
          <w:szCs w:val="20"/>
          <w:color w:val="auto"/>
        </w:rPr>
      </w:pPr>
    </w:p>
    <w:p>
      <w:pPr>
        <w:ind w:left="1020" w:right="18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TN-201 received Orphan Medicinal Product designation from the European Commission </w:t>
      </w:r>
      <w:r>
        <w:rPr>
          <w:rFonts w:ascii="Times New Roman" w:cs="Times New Roman" w:eastAsia="Times New Roman" w:hAnsi="Times New Roman"/>
          <w:sz w:val="18"/>
          <w:szCs w:val="18"/>
          <w:color w:val="auto"/>
          <w:highlight w:val="white"/>
        </w:rPr>
        <w:t>for the treatment of HCM due to mutations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highlight w:val="white"/>
        </w:rPr>
        <w:t xml:space="preserve">MYBPC3 </w:t>
      </w:r>
      <w:r>
        <w:rPr>
          <w:rFonts w:ascii="Times New Roman" w:cs="Times New Roman" w:eastAsia="Times New Roman" w:hAnsi="Times New Roman"/>
          <w:sz w:val="18"/>
          <w:szCs w:val="18"/>
          <w:color w:val="auto"/>
          <w:highlight w:val="white"/>
        </w:rPr>
        <w:t>gene.</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color w:val="auto"/>
        </w:rPr>
        <w:t>TN-201 has also received Orphan Drug Designation by the U.S. Food and Drug Administration (FDA).</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Tenaya expects to submit an Investigational New Drug (IND) application for TN-201 to the FDA in the second half of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TN-401 – PKP2 Gene Therapy Program for Genetic Arrhythmogenic Right Ventricular Cardiomyopathy (ARVC)</w:t>
      </w:r>
    </w:p>
    <w:p>
      <w:pPr>
        <w:spacing w:after="0" w:line="104" w:lineRule="exact"/>
        <w:rPr>
          <w:sz w:val="20"/>
          <w:szCs w:val="20"/>
          <w:color w:val="auto"/>
        </w:rPr>
      </w:pPr>
    </w:p>
    <w:p>
      <w:pPr>
        <w:ind w:left="1020" w:right="140" w:hanging="503"/>
        <w:spacing w:after="0" w:line="25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Tenaya presented preclinical data at the Heart Rhythm Society’s annual Heart Rhythm 2022 meeting for its investigational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therapy, TN-401. In a preclinical study using a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knockout mouse model to assess prevention of disease onset and progression, a single dose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therapy restored heart function, reduced the occurrence of severe arrythmia, prevented adverse remodeling and fibrosis, and significantly increased survival.</w:t>
      </w:r>
    </w:p>
    <w:p>
      <w:pPr>
        <w:spacing w:after="0" w:line="8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Tenaya expects to submit an IND application for TN-401 to the FDA in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TN-301 – HDAC6 Small Molecule Inhibitor for Heart Failure with Preserved Ejection Fraction (HFpEF)</w:t>
      </w:r>
    </w:p>
    <w:p>
      <w:pPr>
        <w:spacing w:after="0" w:line="11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Tenaya expects to submit an IND application for TN-301 to the FDA in the second half of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cGMP Manufacturing Facility</w:t>
      </w:r>
    </w:p>
    <w:p>
      <w:pPr>
        <w:spacing w:after="0" w:line="119" w:lineRule="exact"/>
        <w:rPr>
          <w:sz w:val="20"/>
          <w:szCs w:val="20"/>
          <w:color w:val="auto"/>
        </w:rPr>
      </w:pPr>
    </w:p>
    <w:p>
      <w:pPr>
        <w:ind w:left="1020" w:right="1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Tenaya expects its state-of-the-art, modular cGMP manufacturing facility in Union City, California, will become operational in the first half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2022 Financial Highlights</w:t>
      </w:r>
    </w:p>
    <w:p>
      <w:pPr>
        <w:spacing w:after="0" w:line="117" w:lineRule="exact"/>
        <w:rPr>
          <w:sz w:val="20"/>
          <w:szCs w:val="20"/>
          <w:color w:val="auto"/>
        </w:rPr>
      </w:pPr>
    </w:p>
    <w:p>
      <w:pPr>
        <w:jc w:val="both"/>
        <w:ind w:left="1020" w:right="80" w:hanging="503"/>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March 31, 2022, cash, cash equivalents and investments in marketable securities (current and noncurrent) were $213.5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Tenaya expects current cash, cash equivalents and investments in marketable securities (current and noncurrent) will be sufficient to fund its current operating plan at least into the second half of 2023.</w:t>
      </w:r>
    </w:p>
    <w:p>
      <w:pPr>
        <w:spacing w:after="0" w:line="77" w:lineRule="exact"/>
        <w:rPr>
          <w:rFonts w:ascii="Times New Roman" w:cs="Times New Roman" w:eastAsia="Times New Roman" w:hAnsi="Times New Roman"/>
          <w:sz w:val="18"/>
          <w:szCs w:val="18"/>
          <w:color w:val="auto"/>
        </w:rPr>
      </w:pPr>
    </w:p>
    <w:p>
      <w:pPr>
        <w:ind w:left="1020" w:right="440" w:hanging="503"/>
        <w:spacing w:after="0" w:line="27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&amp; Development (R&amp;D) Expenses: </w:t>
      </w:r>
      <w:r>
        <w:rPr>
          <w:rFonts w:ascii="Times New Roman" w:cs="Times New Roman" w:eastAsia="Times New Roman" w:hAnsi="Times New Roman"/>
          <w:sz w:val="18"/>
          <w:szCs w:val="18"/>
          <w:color w:val="auto"/>
        </w:rPr>
        <w:t>R&amp;D expenses for the first quarter ended March 31, 2022, were $24.2 million. Non-cash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stock-based compensation included in R&amp;D expense was $1.0 million for the first quarter ended March 31, 2022.</w:t>
      </w:r>
    </w:p>
    <w:p>
      <w:pPr>
        <w:spacing w:after="0" w:line="45" w:lineRule="exact"/>
        <w:rPr>
          <w:rFonts w:ascii="Times New Roman" w:cs="Times New Roman" w:eastAsia="Times New Roman" w:hAnsi="Times New Roman"/>
          <w:sz w:val="18"/>
          <w:szCs w:val="18"/>
          <w:color w:val="auto"/>
        </w:rPr>
      </w:pPr>
    </w:p>
    <w:p>
      <w:pPr>
        <w:ind w:left="1020" w:right="44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&amp; Administrative (G&amp;A) Expenses: </w:t>
      </w:r>
      <w:r>
        <w:rPr>
          <w:rFonts w:ascii="Times New Roman" w:cs="Times New Roman" w:eastAsia="Times New Roman" w:hAnsi="Times New Roman"/>
          <w:sz w:val="18"/>
          <w:szCs w:val="18"/>
          <w:color w:val="auto"/>
        </w:rPr>
        <w:t>G&amp;A expenses for the first quarter ended March 31, 2022, were $7.0 million. Non-cash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stock-based compensation included in G&amp;A expense was $1.1 million for the first quarter ended March 31, 2022.</w:t>
      </w:r>
    </w:p>
    <w:p>
      <w:pPr>
        <w:spacing w:after="0" w:line="3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for the first quarter ended March 31, 2022, was $31.1 million, or $0.75 per share.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Tenaya Therapeutics</w:t>
      </w:r>
    </w:p>
    <w:p>
      <w:pPr>
        <w:spacing w:after="0" w:line="31" w:lineRule="exact"/>
        <w:rPr>
          <w:sz w:val="20"/>
          <w:szCs w:val="20"/>
          <w:color w:val="auto"/>
        </w:rPr>
      </w:pPr>
    </w:p>
    <w:p>
      <w:pPr>
        <w:ind w:right="440"/>
        <w:spacing w:after="0" w:line="241" w:lineRule="auto"/>
        <w:rPr>
          <w:sz w:val="20"/>
          <w:szCs w:val="20"/>
          <w:color w:val="auto"/>
        </w:rPr>
      </w:pPr>
      <w:r>
        <w:rPr>
          <w:rFonts w:ascii="Times New Roman" w:cs="Times New Roman" w:eastAsia="Times New Roman" w:hAnsi="Times New Roman"/>
          <w:sz w:val="18"/>
          <w:szCs w:val="18"/>
          <w:color w:val="auto"/>
        </w:rPr>
        <w:t>Tenaya Therapeutics is a biotechnology company committed to a bold mission: to discover, develop and deliver curative therapies that address the underlying drivers of heart disease. Founded by leading cardiovascular scientists from Gladstone Institutes and the University of Texas Southwestern Medical Center, Tenaya is developing therapies for rare genetic cardiovascular disorders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as well as for more prevalent heart conditions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through three distinct but interrelated product platforms: Gene Therapy, Cellular Regeneration and Precision Medicine. For more information, visit www.tenayatherapeutics.com.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“potentially,” “on track”, “expects”, “will,” and similar expressions are intended to identify forward-looking statements. Such forward-looking statements include, among other things, statements regarding the breadth, timing and therapeutic potential of Tenaya’s pipeline; statements regarding IND enabling activities for TN-201 and TN301 and the cGMP manufacturing facility; the expected timing for submission of IND applications for TN-201, TN-401 and TN-301; the sufficiency of projected cash flows; and statements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the timing, progress and results of preclinical studies for TN-201, TN-301, TN-401 and Tenaya’s other programs; Tenaya’s ability to raise any additional funding it will need to continue to pursue its business and product development plans; negative impacts of the COVID-19 pandemic on Tenaya’s manufacturing and operations, including preclinical studies and planned clinical trials; the timing, scope and likelihood of regulatory filings and approvals; the potential for any clinical trial results to differ from preclinical, interim, preliminary, topline or expected results; Tenaya’s manufacturing, commercialization and marketing capabilities and strategy; the loss of key scientific or management personnel; competition in the industry in which Tenaya operates; Tenaya’s reliance on third parties;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6360" w:type="dxa"/>
            <w:vAlign w:val="bottom"/>
          </w:tcPr>
          <w:p>
            <w:pPr>
              <w:spacing w:after="0"/>
              <w:rPr>
                <w:sz w:val="17"/>
                <w:szCs w:val="17"/>
                <w:color w:val="auto"/>
              </w:rPr>
            </w:pPr>
          </w:p>
        </w:tc>
      </w:tr>
      <w:tr>
        <w:trPr>
          <w:trHeight w:val="20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63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Media</w:t>
            </w:r>
          </w:p>
        </w:tc>
      </w:tr>
      <w:tr>
        <w:trPr>
          <w:trHeight w:val="189"/>
        </w:trPr>
        <w:tc>
          <w:tcPr>
            <w:tcW w:w="4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Michelle Corral</w:t>
            </w:r>
          </w:p>
        </w:tc>
        <w:tc>
          <w:tcPr>
            <w:tcW w:w="6360" w:type="dxa"/>
            <w:vAlign w:val="bottom"/>
          </w:tcPr>
          <w:p>
            <w:pPr>
              <w:ind w:left="1900"/>
              <w:spacing w:after="0" w:line="189" w:lineRule="exact"/>
              <w:rPr>
                <w:sz w:val="20"/>
                <w:szCs w:val="20"/>
                <w:color w:val="auto"/>
              </w:rPr>
            </w:pPr>
            <w:r>
              <w:rPr>
                <w:rFonts w:ascii="Times New Roman" w:cs="Times New Roman" w:eastAsia="Times New Roman" w:hAnsi="Times New Roman"/>
                <w:sz w:val="18"/>
                <w:szCs w:val="18"/>
                <w:color w:val="auto"/>
              </w:rPr>
              <w:t>Wendy Ryan</w:t>
            </w:r>
          </w:p>
        </w:tc>
      </w:tr>
      <w:tr>
        <w:trPr>
          <w:trHeight w:val="189"/>
        </w:trPr>
        <w:tc>
          <w:tcPr>
            <w:tcW w:w="4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Vice President, Investor Relationship and</w:t>
            </w:r>
          </w:p>
        </w:tc>
        <w:tc>
          <w:tcPr>
            <w:tcW w:w="6360" w:type="dxa"/>
            <w:vAlign w:val="bottom"/>
          </w:tcPr>
          <w:p>
            <w:pPr>
              <w:ind w:left="1900"/>
              <w:spacing w:after="0" w:line="189" w:lineRule="exact"/>
              <w:rPr>
                <w:sz w:val="20"/>
                <w:szCs w:val="20"/>
                <w:color w:val="auto"/>
              </w:rPr>
            </w:pPr>
            <w:r>
              <w:rPr>
                <w:rFonts w:ascii="Times New Roman" w:cs="Times New Roman" w:eastAsia="Times New Roman" w:hAnsi="Times New Roman"/>
                <w:sz w:val="18"/>
                <w:szCs w:val="18"/>
                <w:color w:val="auto"/>
              </w:rPr>
              <w:t>Ten Bridge Communications</w:t>
            </w:r>
          </w:p>
        </w:tc>
      </w:tr>
      <w:tr>
        <w:trPr>
          <w:trHeight w:val="189"/>
        </w:trPr>
        <w:tc>
          <w:tcPr>
            <w:tcW w:w="4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Communications</w:t>
            </w:r>
          </w:p>
        </w:tc>
        <w:tc>
          <w:tcPr>
            <w:tcW w:w="6360" w:type="dxa"/>
            <w:vAlign w:val="bottom"/>
          </w:tcPr>
          <w:p>
            <w:pPr>
              <w:ind w:left="1900"/>
              <w:spacing w:after="0" w:line="189" w:lineRule="exact"/>
              <w:rPr>
                <w:sz w:val="20"/>
                <w:szCs w:val="20"/>
                <w:color w:val="auto"/>
              </w:rPr>
            </w:pPr>
            <w:r>
              <w:rPr>
                <w:rFonts w:ascii="Times New Roman" w:cs="Times New Roman" w:eastAsia="Times New Roman" w:hAnsi="Times New Roman"/>
                <w:sz w:val="18"/>
                <w:szCs w:val="18"/>
                <w:color w:val="auto"/>
              </w:rPr>
              <w:t>Wendy@tenbridgecommunications.com</w:t>
            </w:r>
          </w:p>
        </w:tc>
      </w:tr>
      <w:tr>
        <w:trPr>
          <w:trHeight w:val="189"/>
        </w:trPr>
        <w:tc>
          <w:tcPr>
            <w:tcW w:w="4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Tenaya Therapeutics</w:t>
            </w:r>
          </w:p>
        </w:tc>
        <w:tc>
          <w:tcPr>
            <w:tcW w:w="6360" w:type="dxa"/>
            <w:vAlign w:val="bottom"/>
          </w:tcPr>
          <w:p>
            <w:pPr>
              <w:spacing w:after="0"/>
              <w:rPr>
                <w:sz w:val="16"/>
                <w:szCs w:val="16"/>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IR@tenayathera.com</w:t>
            </w:r>
          </w:p>
        </w:tc>
        <w:tc>
          <w:tcPr>
            <w:tcW w:w="6360" w:type="dxa"/>
            <w:vAlign w:val="bottom"/>
          </w:tcPr>
          <w:p>
            <w:pPr>
              <w:spacing w:after="0"/>
              <w:rPr>
                <w:sz w:val="20"/>
                <w:szCs w:val="20"/>
                <w:color w:val="auto"/>
              </w:rPr>
            </w:pPr>
          </w:p>
        </w:tc>
      </w:tr>
      <w:tr>
        <w:trPr>
          <w:trHeight w:val="938"/>
        </w:trPr>
        <w:tc>
          <w:tcPr>
            <w:tcW w:w="488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9"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2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24,155</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00" w:type="dxa"/>
            <w:vAlign w:val="bottom"/>
          </w:tcPr>
          <w:p>
            <w:pPr>
              <w:spacing w:after="0"/>
              <w:rPr>
                <w:sz w:val="18"/>
                <w:szCs w:val="18"/>
                <w:color w:val="auto"/>
              </w:rPr>
            </w:pPr>
          </w:p>
        </w:tc>
      </w:tr>
      <w:tr>
        <w:trPr>
          <w:trHeight w:val="209"/>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(1 )</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9"/>
        </w:trPr>
        <w:tc>
          <w:tcPr>
            <w:tcW w:w="7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40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(31,056 )</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(13,098 )</w:t>
            </w:r>
          </w:p>
        </w:tc>
      </w:tr>
      <w:tr>
        <w:trPr>
          <w:trHeight w:val="216"/>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(31,056 )</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(13,098 )</w:t>
            </w:r>
          </w:p>
        </w:tc>
      </w:tr>
      <w:tr>
        <w:trPr>
          <w:trHeight w:val="249"/>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197"/>
        </w:trPr>
        <w:tc>
          <w:tcPr>
            <w:tcW w:w="76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 and diluted</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41,267,990</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1,097,805</w:t>
            </w:r>
          </w:p>
        </w:tc>
        <w:tc>
          <w:tcPr>
            <w:tcW w:w="100" w:type="dxa"/>
            <w:vAlign w:val="bottom"/>
          </w:tcPr>
          <w:p>
            <w:pPr>
              <w:spacing w:after="0"/>
              <w:rPr>
                <w:sz w:val="17"/>
                <w:szCs w:val="17"/>
                <w:color w:val="auto"/>
              </w:rPr>
            </w:pPr>
          </w:p>
        </w:tc>
      </w:tr>
      <w:tr>
        <w:trPr>
          <w:trHeight w:val="20"/>
        </w:trPr>
        <w:tc>
          <w:tcPr>
            <w:tcW w:w="7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19"/>
        </w:trPr>
        <w:tc>
          <w:tcPr>
            <w:tcW w:w="7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-2219960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-2219960</wp:posOffset>
            </wp:positionV>
            <wp:extent cx="59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-1370965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-1370965</wp:posOffset>
            </wp:positionV>
            <wp:extent cx="59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-1088390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-1088390</wp:posOffset>
            </wp:positionV>
            <wp:extent cx="59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-796925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-779145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-796925</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-779145</wp:posOffset>
            </wp:positionV>
            <wp:extent cx="59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1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ind w:left="516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r>
      <w:tr>
        <w:trPr>
          <w:trHeight w:val="187"/>
        </w:trPr>
        <w:tc>
          <w:tcPr>
            <w:tcW w:w="7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25,970</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38,129</w:t>
            </w:r>
          </w:p>
        </w:tc>
        <w:tc>
          <w:tcPr>
            <w:tcW w:w="60" w:type="dxa"/>
            <w:vAlign w:val="bottom"/>
            <w:shd w:val="clear" w:color="auto" w:fill="CFF0FC"/>
          </w:tcPr>
          <w:p>
            <w:pPr>
              <w:spacing w:after="0"/>
              <w:rPr>
                <w:sz w:val="18"/>
                <w:szCs w:val="18"/>
                <w:color w:val="auto"/>
              </w:rPr>
            </w:pP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213,171</w:t>
            </w:r>
          </w:p>
        </w:tc>
        <w:tc>
          <w:tcPr>
            <w:tcW w:w="6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213,782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255,358</w:t>
            </w:r>
          </w:p>
        </w:tc>
        <w:tc>
          <w:tcPr>
            <w:tcW w:w="6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43,020</w:t>
            </w:r>
          </w:p>
        </w:tc>
        <w:tc>
          <w:tcPr>
            <w:tcW w:w="6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6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6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60" w:type="dxa"/>
            <w:vAlign w:val="bottom"/>
          </w:tcPr>
          <w:p>
            <w:pPr>
              <w:spacing w:after="0"/>
              <w:rPr>
                <w:sz w:val="18"/>
                <w:szCs w:val="18"/>
                <w:color w:val="auto"/>
              </w:rPr>
            </w:pPr>
          </w:p>
        </w:tc>
      </w:tr>
      <w:tr>
        <w:trPr>
          <w:trHeight w:val="250"/>
        </w:trPr>
        <w:tc>
          <w:tcPr>
            <w:tcW w:w="7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281,497</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314,189</w:t>
            </w:r>
          </w:p>
        </w:tc>
        <w:tc>
          <w:tcPr>
            <w:tcW w:w="60" w:type="dxa"/>
            <w:vAlign w:val="bottom"/>
            <w:tcBorders>
              <w:bottom w:val="single" w:sz="8" w:color="CFF0FC"/>
            </w:tcBorders>
            <w:shd w:val="clear" w:color="auto" w:fill="CFF0FC"/>
          </w:tcPr>
          <w:p>
            <w:pPr>
              <w:spacing w:after="0"/>
              <w:rPr>
                <w:sz w:val="21"/>
                <w:szCs w:val="21"/>
                <w:color w:val="auto"/>
              </w:rPr>
            </w:pPr>
          </w:p>
        </w:tc>
      </w:tr>
      <w:tr>
        <w:trPr>
          <w:trHeight w:val="197"/>
        </w:trPr>
        <w:tc>
          <w:tcPr>
            <w:tcW w:w="7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6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6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249,097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278,526</w:t>
            </w:r>
          </w:p>
        </w:tc>
        <w:tc>
          <w:tcPr>
            <w:tcW w:w="60" w:type="dxa"/>
            <w:vAlign w:val="bottom"/>
          </w:tcPr>
          <w:p>
            <w:pPr>
              <w:spacing w:after="0"/>
              <w:rPr>
                <w:sz w:val="18"/>
                <w:szCs w:val="18"/>
                <w:color w:val="auto"/>
              </w:rPr>
            </w:pP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281,497</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314,189</w:t>
            </w:r>
          </w:p>
        </w:tc>
        <w:tc>
          <w:tcPr>
            <w:tcW w:w="60" w:type="dxa"/>
            <w:vAlign w:val="bottom"/>
            <w:tcBorders>
              <w:bottom w:val="single" w:sz="8" w:color="CFF0FC"/>
            </w:tcBorders>
            <w:shd w:val="clear" w:color="auto" w:fill="CFF0FC"/>
          </w:tcPr>
          <w:p>
            <w:pPr>
              <w:spacing w:after="0"/>
              <w:rPr>
                <w:sz w:val="21"/>
                <w:szCs w:val="21"/>
                <w:color w:val="auto"/>
              </w:rPr>
            </w:pPr>
          </w:p>
        </w:tc>
      </w:tr>
      <w:tr>
        <w:trPr>
          <w:trHeight w:val="1121"/>
        </w:trPr>
        <w:tc>
          <w:tcPr>
            <w:tcW w:w="7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-2459990</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-2459990</wp:posOffset>
            </wp:positionV>
            <wp:extent cx="4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-1619250</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-1602740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-1619250</wp:posOffset>
            </wp:positionV>
            <wp:extent cx="431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-1602740</wp:posOffset>
            </wp:positionV>
            <wp:extent cx="431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-762000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-745490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-762000</wp:posOffset>
            </wp:positionV>
            <wp:extent cx="431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-745490</wp:posOffset>
            </wp:positionV>
            <wp:extent cx="431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2022-05-11T15:30:12Z</dcterms:created>
  <dcterms:modified xsi:type="dcterms:W3CDTF">2022-05-11T15:30:12Z</dcterms:modified>
</cp:coreProperties>
</file>