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5" w:lineRule="exact"/>
        <w:rPr>
          <w:sz w:val="24"/>
          <w:szCs w:val="24"/>
          <w:color w:val="auto"/>
        </w:rPr>
      </w:pPr>
    </w:p>
    <w:p>
      <w:pPr>
        <w:jc w:val="center"/>
        <w:ind w:left="3460" w:right="700" w:hanging="3439"/>
        <w:spacing w:after="0" w:line="310" w:lineRule="auto"/>
        <w:tabs>
          <w:tab w:leader="none" w:pos="481"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94" w:lineRule="exact"/>
        <w:rPr>
          <w:sz w:val="24"/>
          <w:szCs w:val="24"/>
          <w:color w:val="auto"/>
        </w:rPr>
      </w:pPr>
    </w:p>
    <w:p>
      <w:pPr>
        <w:jc w:val="center"/>
        <w:ind w:left="3340" w:right="680" w:hanging="3319"/>
        <w:spacing w:after="0" w:line="324" w:lineRule="auto"/>
        <w:tabs>
          <w:tab w:leader="none" w:pos="472"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 For the transition period from ________ to _________</w:t>
      </w:r>
    </w:p>
    <w:p>
      <w:pPr>
        <w:ind w:left="406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Commission File Number: 001-40656</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-266065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7"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20"/>
          <w:szCs w:val="20"/>
          <w:b w:val="1"/>
          <w:bCs w:val="1"/>
          <w:color w:val="auto"/>
        </w:rPr>
        <w:t>Delaware</w:t>
      </w:r>
    </w:p>
    <w:p>
      <w:pPr>
        <w:spacing w:after="0" w:line="3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3"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9"/>
          <w:szCs w:val="19"/>
          <w:b w:val="1"/>
          <w:bCs w:val="1"/>
          <w:color w:val="auto"/>
        </w:rPr>
        <w:t>171 Oyster Point Boulevard, Suite 500</w:t>
      </w:r>
    </w:p>
    <w:p>
      <w:pPr>
        <w:spacing w:after="0" w:line="44"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20"/>
          <w:szCs w:val="20"/>
          <w:b w:val="1"/>
          <w:bCs w:val="1"/>
          <w:color w:val="auto"/>
        </w:rPr>
        <w:t>South San Francisco,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81-3789973</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58"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94080</w:t>
      </w:r>
    </w:p>
    <w:p>
      <w:pPr>
        <w:spacing w:after="0" w:line="32" w:lineRule="exact"/>
        <w:rPr>
          <w:sz w:val="24"/>
          <w:szCs w:val="24"/>
          <w:color w:val="auto"/>
        </w:rPr>
      </w:pPr>
    </w:p>
    <w:p>
      <w:pPr>
        <w:sectPr>
          <w:pgSz w:w="11900" w:h="16838" w:orient="portrait"/>
          <w:cols w:equalWidth="0" w:num="2">
            <w:col w:w="7620" w:space="320"/>
            <w:col w:w="3300"/>
          </w:cols>
          <w:pgMar w:left="320" w:top="1186"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(650) 825-6990</w:t>
      </w:r>
    </w:p>
    <w:p>
      <w:pPr>
        <w:spacing w:after="0" w:line="2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8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TNYA</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30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8" w:lineRule="exact"/>
        <w:rPr>
          <w:sz w:val="24"/>
          <w:szCs w:val="24"/>
          <w:color w:val="auto"/>
        </w:rPr>
      </w:pPr>
    </w:p>
    <w:p>
      <w:pPr>
        <w:jc w:val="both"/>
        <w:ind w:right="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520" w:right="210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31, 2024, the registrant had 79,220,516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type w:val="continuous"/>
        </w:sectPr>
      </w:pPr>
    </w:p>
    <w:bookmarkStart w:id="1" w:name="page2"/>
    <w:bookmarkEnd w:id="1"/>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0" w:type="dxa"/>
            <w:vAlign w:val="bottom"/>
            <w:gridSpan w:val="10"/>
          </w:tcPr>
          <w:p>
            <w:pPr>
              <w:ind w:left="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5"/>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360" w:type="dxa"/>
            <w:vAlign w:val="bottom"/>
            <w:gridSpan w:val="11"/>
          </w:tcPr>
          <w:p>
            <w:pPr>
              <w:jc w:val="center"/>
              <w:ind w:right="3200"/>
              <w:spacing w:after="0" w:line="176" w:lineRule="exact"/>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660" w:type="dxa"/>
            <w:vAlign w:val="bottom"/>
          </w:tcPr>
          <w:p>
            <w:pPr>
              <w:spacing w:after="0"/>
              <w:rPr>
                <w:sz w:val="15"/>
                <w:szCs w:val="15"/>
                <w:color w:val="auto"/>
              </w:rPr>
            </w:pPr>
          </w:p>
        </w:tc>
      </w:tr>
      <w:tr>
        <w:trPr>
          <w:trHeight w:val="43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1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160" w:type="dxa"/>
            <w:vAlign w:val="bottom"/>
            <w:tcBorders>
              <w:top w:val="single" w:sz="8" w:color="0000FF"/>
            </w:tcBorders>
            <w:gridSpan w:val="6"/>
          </w:tcPr>
          <w:p>
            <w:pPr>
              <w:spacing w:after="0"/>
              <w:rPr>
                <w:sz w:val="24"/>
                <w:szCs w:val="24"/>
                <w:color w:val="auto"/>
              </w:rPr>
            </w:pPr>
          </w:p>
        </w:tc>
        <w:tc>
          <w:tcPr>
            <w:tcW w:w="320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Balance Sheets as of September 30, 2024 and December 31,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Condensed Statements of Operations and Comprehensive Loss for the three and nine months ended September 30, 2024 and</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36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94"/>
              </w:rPr>
              <w:t>2023</w:t>
            </w:r>
          </w:p>
        </w:tc>
        <w:tc>
          <w:tcPr>
            <w:tcW w:w="100" w:type="dxa"/>
            <w:vAlign w:val="bottom"/>
            <w:tcBorders>
              <w:bottom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Statements of Stockholders’ Equity for the three and nine months ended September 30, 2024 and 2023</w:t>
            </w:r>
          </w:p>
        </w:tc>
        <w:tc>
          <w:tcPr>
            <w:tcW w:w="108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FF"/>
              </w:rPr>
              <w:t>Condensed Statements of Cash Flows for the nine months ended September 30, 2024 and 2023</w:t>
            </w:r>
          </w:p>
        </w:tc>
        <w:tc>
          <w:tcPr>
            <w:tcW w:w="242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Unaudited Condensed Financial Statements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8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840" w:type="dxa"/>
            <w:vAlign w:val="bottom"/>
            <w:tcBorders>
              <w:left w:val="single" w:sz="8" w:color="0000FF"/>
            </w:tcBorders>
            <w:gridSpan w:val="2"/>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360" w:type="dxa"/>
            <w:vAlign w:val="bottom"/>
            <w:gridSpan w:val="11"/>
          </w:tcPr>
          <w:p>
            <w:pPr>
              <w:jc w:val="center"/>
              <w:ind w:right="3180"/>
              <w:spacing w:after="0"/>
              <w:rPr>
                <w:sz w:val="20"/>
                <w:szCs w:val="20"/>
                <w:color w:val="auto"/>
              </w:rPr>
            </w:pPr>
            <w:r>
              <w:rPr>
                <w:rFonts w:ascii="Times New Roman" w:cs="Times New Roman" w:eastAsia="Times New Roman" w:hAnsi="Times New Roman"/>
                <w:sz w:val="18"/>
                <w:szCs w:val="18"/>
                <w:b w:val="1"/>
                <w:bCs w:val="1"/>
                <w:color w:val="0000FF"/>
                <w:w w:val="98"/>
              </w:rPr>
              <w:t>PART II—OTHER INFORMATION</w:t>
            </w:r>
          </w:p>
        </w:tc>
        <w:tc>
          <w:tcPr>
            <w:tcW w:w="660" w:type="dxa"/>
            <w:vAlign w:val="bottom"/>
          </w:tcPr>
          <w:p>
            <w:pPr>
              <w:spacing w:after="0"/>
              <w:rPr>
                <w:sz w:val="24"/>
                <w:szCs w:val="24"/>
                <w:color w:val="auto"/>
              </w:rPr>
            </w:pPr>
          </w:p>
        </w:tc>
      </w:tr>
      <w:tr>
        <w:trPr>
          <w:trHeight w:val="20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2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860" w:type="dxa"/>
            <w:vAlign w:val="bottom"/>
            <w:tcBorders>
              <w:top w:val="single" w:sz="8" w:color="0000FF"/>
            </w:tcBorders>
            <w:gridSpan w:val="4"/>
          </w:tcPr>
          <w:p>
            <w:pPr>
              <w:spacing w:after="0"/>
              <w:rPr>
                <w:sz w:val="18"/>
                <w:szCs w:val="18"/>
                <w:color w:val="auto"/>
              </w:rPr>
            </w:pPr>
          </w:p>
        </w:tc>
        <w:tc>
          <w:tcPr>
            <w:tcW w:w="3340" w:type="dxa"/>
            <w:vAlign w:val="bottom"/>
            <w:gridSpan w:val="6"/>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EE"/>
            </w:tcBorders>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720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760" w:type="dxa"/>
            <w:vAlign w:val="bottom"/>
            <w:gridSpan w:val="1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8220" w:type="dxa"/>
            <w:vAlign w:val="bottom"/>
            <w:gridSpan w:val="1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940" w:type="dxa"/>
            <w:vAlign w:val="bottom"/>
            <w:gridSpan w:val="1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1058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1877"/>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This Quarterly Report on Form 10-Q, or Quarterly Report, contains forward-looking statements within the meaning of Section 27A of the Securities Act of 1933 and Section 21E of the Securities Act of 1934. All statements other than statements of historical facts contained in this Quarterly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These forward-looking statements include, but are not limited to, statements about:</w:t>
      </w:r>
    </w:p>
    <w:p>
      <w:pPr>
        <w:spacing w:after="0" w:line="84"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vision to change the treatment paradigm for heart disease;</w:t>
      </w:r>
    </w:p>
    <w:p>
      <w:pPr>
        <w:spacing w:after="0" w:line="117" w:lineRule="exact"/>
        <w:rPr>
          <w:rFonts w:ascii="Times New Roman" w:cs="Times New Roman" w:eastAsia="Times New Roman" w:hAnsi="Times New Roman"/>
          <w:sz w:val="18"/>
          <w:szCs w:val="18"/>
          <w:color w:val="231F20"/>
        </w:rPr>
      </w:pPr>
    </w:p>
    <w:p>
      <w:pPr>
        <w:ind w:left="900" w:right="82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our ongoing preclinical studies and ongoing or planned clinical trials to demonstrate safety and efficacy of our product candidates, and other positive results;</w:t>
      </w:r>
    </w:p>
    <w:p>
      <w:pPr>
        <w:spacing w:after="0" w:line="53" w:lineRule="exact"/>
        <w:rPr>
          <w:rFonts w:ascii="Times New Roman" w:cs="Times New Roman" w:eastAsia="Times New Roman" w:hAnsi="Times New Roman"/>
          <w:sz w:val="18"/>
          <w:szCs w:val="18"/>
          <w:color w:val="231F20"/>
        </w:rPr>
      </w:pPr>
    </w:p>
    <w:p>
      <w:pPr>
        <w:ind w:left="900" w:right="6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dosing, patient enrollment and populations, progress, and results of preclinical studies and ongoing or planned clinical trials for our current product candidates and other product candidates we may develop;</w:t>
      </w:r>
    </w:p>
    <w:p>
      <w:pPr>
        <w:spacing w:after="0" w:line="53" w:lineRule="exact"/>
        <w:rPr>
          <w:rFonts w:ascii="Times New Roman" w:cs="Times New Roman" w:eastAsia="Times New Roman" w:hAnsi="Times New Roman"/>
          <w:sz w:val="18"/>
          <w:szCs w:val="18"/>
          <w:color w:val="231F20"/>
        </w:rPr>
      </w:pPr>
    </w:p>
    <w:p>
      <w:pPr>
        <w:ind w:left="900" w:hanging="383"/>
        <w:spacing w:after="0" w:line="266"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scope and likelihood of regulatory filings and approvals, including timing of investigational new drugs (INDs), clinical trial applications (CTAs), U.S. Food and Drug Administration (FDA) approvals, and final regulatory approval of our current product candidates and any other future product candidates;</w:t>
      </w:r>
    </w:p>
    <w:p>
      <w:pPr>
        <w:spacing w:after="0" w:line="6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develop and advance our current product candidates and programs into, and successfully complete, clinical trials;</w:t>
      </w:r>
    </w:p>
    <w:p>
      <w:pPr>
        <w:spacing w:after="0" w:line="117" w:lineRule="exact"/>
        <w:rPr>
          <w:rFonts w:ascii="Times New Roman" w:cs="Times New Roman" w:eastAsia="Times New Roman" w:hAnsi="Times New Roman"/>
          <w:sz w:val="18"/>
          <w:szCs w:val="18"/>
          <w:color w:val="231F20"/>
        </w:rPr>
      </w:pPr>
    </w:p>
    <w:p>
      <w:pPr>
        <w:ind w:left="900" w:right="22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size of the market opportunity for our product candidates, including our estimates of the number of patients who suffer from the diseases we are targeting;</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manufacturing, commercialization, and marketing capabilities and strategy;</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competitive position and the success of competing therapies that are or may become available;</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plans relating to the further development of our product candidates, including additional indications and targets we may pursue;</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existing laws and regulations and regulatory developments in the United States (U.S.), Europe and other jurisdictions;</w:t>
      </w:r>
    </w:p>
    <w:p>
      <w:pPr>
        <w:spacing w:after="0" w:line="117" w:lineRule="exact"/>
        <w:rPr>
          <w:rFonts w:ascii="Times New Roman" w:cs="Times New Roman" w:eastAsia="Times New Roman" w:hAnsi="Times New Roman"/>
          <w:sz w:val="18"/>
          <w:szCs w:val="18"/>
          <w:color w:val="231F20"/>
        </w:rPr>
      </w:pPr>
    </w:p>
    <w:p>
      <w:pPr>
        <w:ind w:left="900" w:right="80" w:hanging="383"/>
        <w:spacing w:after="0" w:line="261"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intellectual property position, including the scope and length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71" w:lineRule="exact"/>
        <w:rPr>
          <w:rFonts w:ascii="Times New Roman" w:cs="Times New Roman" w:eastAsia="Times New Roman" w:hAnsi="Times New Roman"/>
          <w:sz w:val="18"/>
          <w:szCs w:val="18"/>
          <w:color w:val="231F20"/>
        </w:rPr>
      </w:pPr>
    </w:p>
    <w:p>
      <w:pPr>
        <w:ind w:left="900" w:right="64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continued reliance on third parties to conduct additional preclinical studies and clinical trials of our product candidates, and for the development and manufacture of our product candidates for preclinical studies and clinical trials;</w:t>
      </w:r>
    </w:p>
    <w:p>
      <w:pPr>
        <w:spacing w:after="0" w:line="53" w:lineRule="exact"/>
        <w:rPr>
          <w:rFonts w:ascii="Times New Roman" w:cs="Times New Roman" w:eastAsia="Times New Roman" w:hAnsi="Times New Roman"/>
          <w:sz w:val="18"/>
          <w:szCs w:val="18"/>
          <w:color w:val="231F20"/>
        </w:rPr>
      </w:pPr>
    </w:p>
    <w:p>
      <w:pPr>
        <w:ind w:left="900" w:right="6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obtain, and negotiate favorable terms of, any collaboration, partnership, licensing or other arrangements that may be necessary or desirable to develop, manufacture or commercialize our product candidates;</w:t>
      </w:r>
    </w:p>
    <w:p>
      <w:pPr>
        <w:spacing w:after="0" w:line="53" w:lineRule="exact"/>
        <w:rPr>
          <w:rFonts w:ascii="Times New Roman" w:cs="Times New Roman" w:eastAsia="Times New Roman" w:hAnsi="Times New Roman"/>
          <w:sz w:val="18"/>
          <w:szCs w:val="18"/>
          <w:color w:val="231F20"/>
        </w:rPr>
      </w:pPr>
    </w:p>
    <w:p>
      <w:pPr>
        <w:ind w:left="900" w:right="36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pricing and reimbursement of our current product candidates and other product candidates we may develop, if approved, including any increase in demand as a result of the availability of reimbursement from the government and third-party payors;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spacing w:after="0" w:line="86" w:lineRule="exact"/>
        <w:rPr>
          <w:sz w:val="20"/>
          <w:szCs w:val="20"/>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rate and degree of market acceptance and clinical utility of our current product candidates and other product candidates we may develop;</w:t>
      </w:r>
    </w:p>
    <w:p>
      <w:pPr>
        <w:spacing w:after="0" w:line="117" w:lineRule="exact"/>
        <w:rPr>
          <w:rFonts w:ascii="Times New Roman" w:cs="Times New Roman" w:eastAsia="Times New Roman" w:hAnsi="Times New Roman"/>
          <w:sz w:val="18"/>
          <w:szCs w:val="18"/>
          <w:color w:val="231F20"/>
        </w:rPr>
      </w:pPr>
    </w:p>
    <w:p>
      <w:pPr>
        <w:ind w:left="900" w:right="500" w:hanging="383"/>
        <w:spacing w:after="0" w:line="282" w:lineRule="auto"/>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estimates regarding expenses, operating losses, future revenue, cash outlays, capital requirements and needs for additional financing, including expenses arising as a result of being a public company;</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financial performance;</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facilities;</w:t>
      </w:r>
    </w:p>
    <w:p>
      <w:pPr>
        <w:spacing w:after="0" w:line="117" w:lineRule="exact"/>
        <w:rPr>
          <w:rFonts w:ascii="Times New Roman" w:cs="Times New Roman" w:eastAsia="Times New Roman" w:hAnsi="Times New Roman"/>
          <w:sz w:val="18"/>
          <w:szCs w:val="18"/>
          <w:color w:val="231F20"/>
        </w:rPr>
      </w:pPr>
    </w:p>
    <w:p>
      <w:pPr>
        <w:ind w:left="900" w:right="240" w:hanging="383"/>
        <w:spacing w:after="0" w:line="282" w:lineRule="auto"/>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period over which we estimate our existing cash, cash equivalents and investments in marketable securities will be sufficient to fund our future operating expenses and capital expenditure requirements;</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critical accounting policies on investor’s ability to understand our financial performance; and</w:t>
      </w:r>
    </w:p>
    <w:p>
      <w:pPr>
        <w:spacing w:after="0" w:line="117" w:lineRule="exact"/>
        <w:rPr>
          <w:rFonts w:ascii="Times New Roman" w:cs="Times New Roman" w:eastAsia="Times New Roman" w:hAnsi="Times New Roman"/>
          <w:sz w:val="18"/>
          <w:szCs w:val="18"/>
          <w:color w:val="231F20"/>
        </w:rPr>
      </w:pPr>
    </w:p>
    <w:p>
      <w:pPr>
        <w:ind w:left="900" w:right="220" w:hanging="383"/>
        <w:spacing w:after="0" w:line="282" w:lineRule="auto"/>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our expectations regarding the period during which we will remain an emerging growth company under the </w:t>
      </w:r>
      <w:r>
        <w:rPr>
          <w:rFonts w:ascii="Times New Roman" w:cs="Times New Roman" w:eastAsia="Times New Roman" w:hAnsi="Times New Roman"/>
          <w:sz w:val="18"/>
          <w:szCs w:val="18"/>
          <w:color w:val="000000"/>
        </w:rPr>
        <w:t>Jumpstart Our Business Startups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Act of 2012 (</w:t>
      </w:r>
      <w:r>
        <w:rPr>
          <w:rFonts w:ascii="Times New Roman" w:cs="Times New Roman" w:eastAsia="Times New Roman" w:hAnsi="Times New Roman"/>
          <w:sz w:val="18"/>
          <w:szCs w:val="18"/>
          <w:color w:val="231F20"/>
        </w:rPr>
        <w:t>JOBS Act).</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In addition, statements such as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45,681</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 in marketable securities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58,961</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85,330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111,582</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37,753</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43,277</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140,582</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170,515</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22,733</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11,527</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0"/>
                <w:szCs w:val="20"/>
                <w:color w:val="auto"/>
              </w:rPr>
            </w:pPr>
          </w:p>
        </w:tc>
      </w:tr>
      <w:tr>
        <w:trPr>
          <w:trHeight w:val="241"/>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27,980</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31,091</w:t>
            </w: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603,093</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542,805</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r>
      <w:tr>
        <w:trPr>
          <w:trHeight w:val="243"/>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(490,575 )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(403,282 )</w:t>
            </w:r>
          </w:p>
        </w:tc>
      </w:tr>
      <w:tr>
        <w:trPr>
          <w:trHeight w:val="237"/>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112,602</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139,424</w:t>
            </w:r>
          </w:p>
        </w:tc>
        <w:tc>
          <w:tcPr>
            <w:tcW w:w="100" w:type="dxa"/>
            <w:vAlign w:val="bottom"/>
            <w:tcBorders>
              <w:top w:val="single" w:sz="8" w:color="CFF0FC"/>
            </w:tcBorders>
          </w:tcPr>
          <w:p>
            <w:pPr>
              <w:spacing w:after="0"/>
              <w:rPr>
                <w:sz w:val="20"/>
                <w:szCs w:val="20"/>
                <w:color w:val="auto"/>
              </w:rPr>
            </w:pP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140,582</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-3496945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-3496945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-2870835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-2870835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-1910715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-350520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6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20,350</w:t>
            </w:r>
          </w:p>
        </w:tc>
        <w:tc>
          <w:tcPr>
            <w:tcW w:w="2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23,091</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68,054</w:t>
            </w:r>
          </w:p>
        </w:tc>
        <w:tc>
          <w:tcPr>
            <w:tcW w:w="2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23,242</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91,296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(26,711 )</w:t>
            </w: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(30,920 )</w:t>
            </w:r>
          </w:p>
        </w:tc>
        <w:tc>
          <w:tcPr>
            <w:tcW w:w="2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(91,296 )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(99,747 )</w:t>
            </w:r>
          </w:p>
        </w:tc>
        <w:tc>
          <w:tcPr>
            <w:tcW w:w="0" w:type="dxa"/>
            <w:vAlign w:val="bottom"/>
          </w:tcPr>
          <w:p>
            <w:pPr>
              <w:spacing w:after="0"/>
              <w:rPr>
                <w:sz w:val="1"/>
                <w:szCs w:val="1"/>
                <w:color w:val="auto"/>
              </w:rPr>
            </w:pPr>
          </w:p>
        </w:tc>
      </w:tr>
      <w:tr>
        <w:trPr>
          <w:trHeight w:val="23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(loss), net</w:t>
            </w:r>
          </w:p>
        </w:tc>
        <w:tc>
          <w:tcPr>
            <w:tcW w:w="22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income tax expense</w:t>
            </w:r>
          </w:p>
        </w:tc>
        <w:tc>
          <w:tcPr>
            <w:tcW w:w="22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(25,634 )</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(29,143 )</w:t>
            </w: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(87,293 )</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(94,149 )</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(25,634 )</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(29,143 )</w:t>
            </w: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(87,293 )</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(94,149 )</w:t>
            </w:r>
          </w:p>
        </w:tc>
        <w:tc>
          <w:tcPr>
            <w:tcW w:w="0" w:type="dxa"/>
            <w:vAlign w:val="bottom"/>
          </w:tcPr>
          <w:p>
            <w:pPr>
              <w:spacing w:after="0"/>
              <w:rPr>
                <w:sz w:val="1"/>
                <w:szCs w:val="1"/>
                <w:color w:val="auto"/>
              </w:rPr>
            </w:pPr>
          </w:p>
        </w:tc>
      </w:tr>
      <w:tr>
        <w:trPr>
          <w:trHeight w:val="241"/>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unrealized gain on marketable securities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(25,491 )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(29,071 )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(87,111 )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(94,032 )</w:t>
            </w: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(0.39 )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basic</w:t>
            </w:r>
          </w:p>
        </w:tc>
        <w:tc>
          <w:tcPr>
            <w:tcW w:w="220" w:type="dxa"/>
            <w:vAlign w:val="bottom"/>
            <w:shd w:val="clear" w:color="auto" w:fill="CFF0FC"/>
          </w:tcPr>
          <w:p>
            <w:pPr>
              <w:spacing w:after="0"/>
              <w:rPr>
                <w:sz w:val="17"/>
                <w:szCs w:val="17"/>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86,162,841</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73,924,937</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84,290,747</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73,579,200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and diluted</w:t>
            </w:r>
          </w:p>
        </w:tc>
        <w:tc>
          <w:tcPr>
            <w:tcW w:w="2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-2407920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-2407920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-2407920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-1456690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-1456690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-1456690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-1139825</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-1139825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-1139825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-1139825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-496570</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-479425</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-496570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-479425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-496570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-479425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-25400</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-8255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3"/>
                <w:szCs w:val="13"/>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2160" w:type="dxa"/>
            <w:vAlign w:val="bottom"/>
            <w:gridSpan w:val="3"/>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1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216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0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January 1, 2024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68,330,342</w:t>
            </w:r>
          </w:p>
        </w:tc>
        <w:tc>
          <w:tcPr>
            <w:tcW w:w="1080" w:type="dxa"/>
            <w:vAlign w:val="bottom"/>
            <w:gridSpan w:val="2"/>
            <w:shd w:val="clear" w:color="auto" w:fill="CFF0FC"/>
          </w:tcPr>
          <w:p>
            <w:pPr>
              <w:jc w:val="right"/>
              <w:ind w:right="6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542,805</w:t>
            </w:r>
          </w:p>
        </w:tc>
        <w:tc>
          <w:tcPr>
            <w:tcW w:w="4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(403,282 )</w:t>
            </w:r>
          </w:p>
        </w:tc>
        <w:tc>
          <w:tcPr>
            <w:tcW w:w="2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139,424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and pre-funded</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warrants, net of issuance costs of $3,236</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8,888,890</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46,761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246,708</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upon exercise of pre-</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funded warrants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1,051,594</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(32,228 )</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(32,228 )</w:t>
            </w:r>
          </w:p>
        </w:tc>
        <w:tc>
          <w:tcPr>
            <w:tcW w:w="0" w:type="dxa"/>
            <w:vAlign w:val="bottom"/>
          </w:tcPr>
          <w:p>
            <w:pPr>
              <w:spacing w:after="0"/>
              <w:rPr>
                <w:sz w:val="1"/>
                <w:szCs w:val="1"/>
                <w:color w:val="auto"/>
              </w:rPr>
            </w:pPr>
          </w:p>
        </w:tc>
      </w:tr>
      <w:tr>
        <w:trPr>
          <w:trHeight w:val="23"/>
        </w:trPr>
        <w:tc>
          <w:tcPr>
            <w:tcW w:w="3740" w:type="dxa"/>
            <w:vAlign w:val="bottom"/>
            <w:shd w:val="clear" w:color="auto" w:fill="CFF0F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March 31,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78,517,534</w:t>
            </w:r>
          </w:p>
        </w:tc>
        <w:tc>
          <w:tcPr>
            <w:tcW w:w="260" w:type="dxa"/>
            <w:vAlign w:val="bottom"/>
          </w:tcPr>
          <w:p>
            <w:pPr>
              <w:spacing w:after="0"/>
              <w:rPr>
                <w:sz w:val="19"/>
                <w:szCs w:val="19"/>
                <w:color w:val="auto"/>
              </w:rPr>
            </w:pPr>
          </w:p>
        </w:tc>
        <w:tc>
          <w:tcPr>
            <w:tcW w:w="82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593,802</w:t>
            </w:r>
          </w:p>
        </w:tc>
        <w:tc>
          <w:tcPr>
            <w:tcW w:w="2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(435,510 )</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 pursuant to employee</w:t>
            </w: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 purchase plan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320,951</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28,952</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(29,431 )</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(29,431 )</w:t>
            </w:r>
          </w:p>
        </w:tc>
        <w:tc>
          <w:tcPr>
            <w:tcW w:w="0" w:type="dxa"/>
            <w:vAlign w:val="bottom"/>
          </w:tcPr>
          <w:p>
            <w:pPr>
              <w:spacing w:after="0"/>
              <w:rPr>
                <w:sz w:val="1"/>
                <w:szCs w:val="1"/>
                <w:color w:val="auto"/>
              </w:rPr>
            </w:pPr>
          </w:p>
        </w:tc>
      </w:tr>
      <w:tr>
        <w:trPr>
          <w:trHeight w:val="23"/>
        </w:trPr>
        <w:tc>
          <w:tcPr>
            <w:tcW w:w="3740" w:type="dxa"/>
            <w:vAlign w:val="bottom"/>
            <w:shd w:val="clear" w:color="auto" w:fill="CFF0F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78,867,437</w:t>
            </w:r>
          </w:p>
        </w:tc>
        <w:tc>
          <w:tcPr>
            <w:tcW w:w="260" w:type="dxa"/>
            <w:vAlign w:val="bottom"/>
          </w:tcPr>
          <w:p>
            <w:pPr>
              <w:spacing w:after="0"/>
              <w:rPr>
                <w:sz w:val="19"/>
                <w:szCs w:val="19"/>
                <w:color w:val="auto"/>
              </w:rPr>
            </w:pPr>
          </w:p>
        </w:tc>
        <w:tc>
          <w:tcPr>
            <w:tcW w:w="82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598,997</w:t>
            </w:r>
          </w:p>
        </w:tc>
        <w:tc>
          <w:tcPr>
            <w:tcW w:w="2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(464,941 )</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353,079</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warrant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(25,634 )</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(25,634 )</w:t>
            </w:r>
          </w:p>
        </w:tc>
        <w:tc>
          <w:tcPr>
            <w:tcW w:w="0" w:type="dxa"/>
            <w:vAlign w:val="bottom"/>
          </w:tcPr>
          <w:p>
            <w:pPr>
              <w:spacing w:after="0"/>
              <w:rPr>
                <w:sz w:val="1"/>
                <w:szCs w:val="1"/>
                <w:color w:val="auto"/>
              </w:rPr>
            </w:pPr>
          </w:p>
        </w:tc>
      </w:tr>
      <w:tr>
        <w:trPr>
          <w:trHeight w:val="23"/>
        </w:trPr>
        <w:tc>
          <w:tcPr>
            <w:tcW w:w="3740" w:type="dxa"/>
            <w:vAlign w:val="bottom"/>
            <w:shd w:val="clear" w:color="auto" w:fill="CFF0F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79,220,516</w:t>
            </w:r>
          </w:p>
        </w:tc>
        <w:tc>
          <w:tcPr>
            <w:tcW w:w="260" w:type="dxa"/>
            <w:vAlign w:val="bottom"/>
          </w:tcPr>
          <w:p>
            <w:pPr>
              <w:spacing w:after="0"/>
              <w:rPr>
                <w:sz w:val="19"/>
                <w:szCs w:val="19"/>
                <w:color w:val="auto"/>
              </w:rPr>
            </w:pPr>
          </w:p>
        </w:tc>
        <w:tc>
          <w:tcPr>
            <w:tcW w:w="82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603,093</w:t>
            </w:r>
          </w:p>
        </w:tc>
        <w:tc>
          <w:tcPr>
            <w:tcW w:w="2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(490,575 )</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-2382520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-2382520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-2382520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-2382520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-2382520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-1216660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-1216660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-1216660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-1216660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-1216660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-179070</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-179070</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-179070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-179070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-179070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3"/>
                <w:szCs w:val="13"/>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2160" w:type="dxa"/>
            <w:vAlign w:val="bottom"/>
            <w:gridSpan w:val="3"/>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1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216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0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January 1, 2023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66,857,113</w:t>
            </w:r>
          </w:p>
        </w:tc>
        <w:tc>
          <w:tcPr>
            <w:tcW w:w="1080" w:type="dxa"/>
            <w:vAlign w:val="bottom"/>
            <w:gridSpan w:val="2"/>
            <w:shd w:val="clear" w:color="auto" w:fill="CFF0FC"/>
          </w:tcPr>
          <w:p>
            <w:pPr>
              <w:jc w:val="right"/>
              <w:ind w:right="64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522,945</w:t>
            </w:r>
          </w:p>
        </w:tc>
        <w:tc>
          <w:tcPr>
            <w:tcW w:w="4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(378 )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(279,198 )</w:t>
            </w:r>
          </w:p>
        </w:tc>
        <w:tc>
          <w:tcPr>
            <w:tcW w:w="2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243,376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of stock options and vesting of restricted</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8,311</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(31,737 )</w:t>
            </w: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(31,737 )</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March 31, 2023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66,865,424</w:t>
            </w: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526,460</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(310,935 )</w:t>
            </w:r>
          </w:p>
        </w:tc>
        <w:tc>
          <w:tcPr>
            <w:tcW w:w="2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215,412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7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08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at-the-market sales, net of issuance costs of</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$120</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535,767</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of pre-funded warrants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302,517</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pursuant to</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150,575</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of stock options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10,875</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(213 )</w:t>
            </w: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(213 )</w:t>
            </w:r>
          </w:p>
        </w:tc>
        <w:tc>
          <w:tcPr>
            <w:tcW w:w="0" w:type="dxa"/>
            <w:vAlign w:val="bottom"/>
          </w:tcPr>
          <w:p>
            <w:pPr>
              <w:spacing w:after="0"/>
              <w:rPr>
                <w:sz w:val="1"/>
                <w:szCs w:val="1"/>
                <w:color w:val="auto"/>
              </w:rPr>
            </w:pPr>
          </w:p>
        </w:tc>
      </w:tr>
      <w:tr>
        <w:trPr>
          <w:trHeight w:val="220"/>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(33,269 )</w:t>
            </w: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(33,269 )</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June 30, 2023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67,865,158</w:t>
            </w: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534,470</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(333 )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(344,204 )</w:t>
            </w:r>
          </w:p>
        </w:tc>
        <w:tc>
          <w:tcPr>
            <w:tcW w:w="2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189,940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7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Issuance of common stock upon vesting of</w:t>
            </w:r>
          </w:p>
        </w:tc>
        <w:tc>
          <w:tcPr>
            <w:tcW w:w="108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245,861</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4,015</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(29,143 )</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(29,143 )</w:t>
            </w:r>
          </w:p>
        </w:tc>
        <w:tc>
          <w:tcPr>
            <w:tcW w:w="0" w:type="dxa"/>
            <w:vAlign w:val="bottom"/>
          </w:tcPr>
          <w:p>
            <w:pPr>
              <w:spacing w:after="0"/>
              <w:rPr>
                <w:sz w:val="1"/>
                <w:szCs w:val="1"/>
                <w:color w:val="auto"/>
              </w:rPr>
            </w:pPr>
          </w:p>
        </w:tc>
      </w:tr>
      <w:tr>
        <w:trPr>
          <w:trHeight w:val="23"/>
        </w:trPr>
        <w:tc>
          <w:tcPr>
            <w:tcW w:w="3740" w:type="dxa"/>
            <w:vAlign w:val="bottom"/>
            <w:shd w:val="clear" w:color="auto" w:fill="CFF0F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68,111,019</w:t>
            </w:r>
          </w:p>
        </w:tc>
        <w:tc>
          <w:tcPr>
            <w:tcW w:w="260" w:type="dxa"/>
            <w:vAlign w:val="bottom"/>
          </w:tcPr>
          <w:p>
            <w:pPr>
              <w:spacing w:after="0"/>
              <w:rPr>
                <w:sz w:val="19"/>
                <w:szCs w:val="19"/>
                <w:color w:val="auto"/>
              </w:rPr>
            </w:pPr>
          </w:p>
        </w:tc>
        <w:tc>
          <w:tcPr>
            <w:tcW w:w="82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538,485</w:t>
            </w:r>
          </w:p>
        </w:tc>
        <w:tc>
          <w:tcPr>
            <w:tcW w:w="2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(261 )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(373,347 )</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-2887980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-2870835</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-2887980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-2870835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-2887980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-2870835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-2887980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-2870835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-2887980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-2870835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-2870835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-1045210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-1028065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-1045210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-1028065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-1045210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-1028065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-1045210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-1028065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-1045210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-1028065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-179070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-179070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-179070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-179070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-179070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290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(87,293 )</w:t>
            </w:r>
          </w:p>
        </w:tc>
        <w:tc>
          <w:tcPr>
            <w:tcW w:w="102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(94,149 )</w:t>
            </w:r>
          </w:p>
        </w:tc>
      </w:tr>
      <w:tr>
        <w:trPr>
          <w:trHeight w:val="17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6,379</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6,506</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Amortization (accretion) of premium (discount) on marketable securities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(1,371 )</w:t>
            </w:r>
          </w:p>
        </w:tc>
      </w:tr>
      <w:tr>
        <w:trPr>
          <w:trHeight w:val="176"/>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12,742</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11,360</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2,326</w:t>
            </w:r>
          </w:p>
        </w:tc>
        <w:tc>
          <w:tcPr>
            <w:tcW w:w="100" w:type="dxa"/>
            <w:vAlign w:val="bottom"/>
            <w:shd w:val="clear" w:color="auto" w:fill="CFF0FC"/>
          </w:tcPr>
          <w:p>
            <w:pPr>
              <w:spacing w:after="0"/>
              <w:rPr>
                <w:sz w:val="15"/>
                <w:szCs w:val="15"/>
                <w:color w:val="auto"/>
              </w:rPr>
            </w:pPr>
          </w:p>
        </w:tc>
      </w:tr>
      <w:tr>
        <w:trPr>
          <w:trHeight w:val="176"/>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5"/>
                <w:szCs w:val="15"/>
                <w:color w:val="auto"/>
              </w:rPr>
            </w:pPr>
          </w:p>
        </w:tc>
      </w:tr>
      <w:tr>
        <w:trPr>
          <w:trHeight w:val="17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Pr>
          <w:p>
            <w:pPr>
              <w:spacing w:after="0"/>
              <w:rPr>
                <w:sz w:val="15"/>
                <w:szCs w:val="15"/>
                <w:color w:val="auto"/>
              </w:rPr>
            </w:pPr>
          </w:p>
        </w:tc>
      </w:tr>
      <w:tr>
        <w:trPr>
          <w:trHeight w:val="17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Other noncurrent assets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(658 )</w:t>
            </w: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payable</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(2,977 )</w:t>
            </w:r>
          </w:p>
        </w:tc>
      </w:tr>
      <w:tr>
        <w:trPr>
          <w:trHeight w:val="17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10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(5,453 )</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(300 )</w:t>
            </w:r>
          </w:p>
        </w:tc>
      </w:tr>
      <w:tr>
        <w:trPr>
          <w:trHeight w:val="175"/>
        </w:trPr>
        <w:tc>
          <w:tcPr>
            <w:tcW w:w="7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4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(3,188 )</w:t>
            </w:r>
          </w:p>
        </w:tc>
        <w:tc>
          <w:tcPr>
            <w:tcW w:w="10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(3,055 )</w:t>
            </w:r>
          </w:p>
        </w:tc>
      </w:tr>
      <w:tr>
        <w:trPr>
          <w:trHeight w:val="169"/>
        </w:trPr>
        <w:tc>
          <w:tcPr>
            <w:tcW w:w="768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04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(72,113</w:t>
            </w:r>
          </w:p>
        </w:tc>
        <w:tc>
          <w:tcPr>
            <w:tcW w:w="280" w:type="dxa"/>
            <w:vAlign w:val="bottom"/>
            <w:tcBorders>
              <w:top w:val="single" w:sz="8" w:color="CFF0FC"/>
              <w:bottom w:val="single" w:sz="8" w:color="CFF0FC"/>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4"/>
              </w:rPr>
              <w:t>)</w:t>
            </w:r>
          </w:p>
        </w:tc>
        <w:tc>
          <w:tcPr>
            <w:tcW w:w="102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(80,148</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(821 )</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(845 )</w:t>
            </w: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104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(85,058 )</w:t>
            </w:r>
          </w:p>
        </w:tc>
        <w:tc>
          <w:tcPr>
            <w:tcW w:w="10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(40,998 )</w:t>
            </w:r>
          </w:p>
        </w:tc>
      </w:tr>
      <w:tr>
        <w:trPr>
          <w:trHeight w:val="17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72,890</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105,484</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20"/>
        </w:trPr>
        <w:tc>
          <w:tcPr>
            <w:tcW w:w="7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0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(12,972 )</w:t>
            </w: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63,634</w:t>
            </w:r>
          </w:p>
        </w:tc>
        <w:tc>
          <w:tcPr>
            <w:tcW w:w="100" w:type="dxa"/>
            <w:vAlign w:val="bottom"/>
            <w:shd w:val="clear" w:color="auto" w:fill="CFF0FC"/>
          </w:tcPr>
          <w:p>
            <w:pPr>
              <w:spacing w:after="0"/>
              <w:rPr>
                <w:sz w:val="14"/>
                <w:szCs w:val="14"/>
                <w:color w:val="auto"/>
              </w:rPr>
            </w:pPr>
          </w:p>
        </w:tc>
      </w:tr>
      <w:tr>
        <w:trPr>
          <w:trHeight w:val="169"/>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issuance of common stock and pre-funded warrants in follow-on offering, net of issuance costs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46,762</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exercise of stock options and employee stock purchase plan</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exercises of pre-funded warrants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at-the-market sales, net of issuance costs</w:t>
            </w:r>
          </w:p>
        </w:tc>
        <w:tc>
          <w:tcPr>
            <w:tcW w:w="1040" w:type="dxa"/>
            <w:vAlign w:val="bottom"/>
          </w:tcPr>
          <w:p>
            <w:pPr>
              <w:spacing w:after="0"/>
              <w:rPr>
                <w:sz w:val="15"/>
                <w:szCs w:val="15"/>
                <w:color w:val="auto"/>
              </w:rPr>
            </w:pPr>
          </w:p>
        </w:tc>
        <w:tc>
          <w:tcPr>
            <w:tcW w:w="8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100" w:type="dxa"/>
            <w:vAlign w:val="bottom"/>
          </w:tcPr>
          <w:p>
            <w:pPr>
              <w:spacing w:after="0"/>
              <w:rPr>
                <w:sz w:val="15"/>
                <w:szCs w:val="15"/>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Payment of accrued offering costs</w:t>
            </w:r>
          </w:p>
        </w:tc>
        <w:tc>
          <w:tcPr>
            <w:tcW w:w="10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(501 )</w:t>
            </w:r>
          </w:p>
        </w:tc>
      </w:tr>
      <w:tr>
        <w:trPr>
          <w:trHeight w:val="169"/>
        </w:trPr>
        <w:tc>
          <w:tcPr>
            <w:tcW w:w="7680" w:type="dxa"/>
            <w:vAlign w:val="bottom"/>
            <w:tcBorders>
              <w:top w:val="single" w:sz="8" w:color="CFF0FC"/>
            </w:tcBorders>
          </w:tcPr>
          <w:p>
            <w:pPr>
              <w:ind w:left="4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47,372</w:t>
            </w:r>
          </w:p>
        </w:tc>
        <w:tc>
          <w:tcPr>
            <w:tcW w:w="280" w:type="dxa"/>
            <w:vAlign w:val="bottom"/>
            <w:tcBorders>
              <w:top w:val="single" w:sz="8" w:color="CFF0FC"/>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3,678</w:t>
            </w:r>
          </w:p>
        </w:tc>
        <w:tc>
          <w:tcPr>
            <w:tcW w:w="100" w:type="dxa"/>
            <w:vAlign w:val="bottom"/>
            <w:tcBorders>
              <w:top w:val="single" w:sz="8" w:color="CFF0FC"/>
            </w:tcBorders>
          </w:tcPr>
          <w:p>
            <w:pPr>
              <w:spacing w:after="0"/>
              <w:rPr>
                <w:sz w:val="14"/>
                <w:szCs w:val="14"/>
                <w:color w:val="auto"/>
              </w:rPr>
            </w:pPr>
          </w:p>
        </w:tc>
      </w:tr>
      <w:tr>
        <w:trPr>
          <w:trHeight w:val="16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10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(37,713 )</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(12,836 )</w:t>
            </w:r>
          </w:p>
        </w:tc>
      </w:tr>
      <w:tr>
        <w:trPr>
          <w:trHeight w:val="17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46,363</w:t>
            </w:r>
          </w:p>
        </w:tc>
        <w:tc>
          <w:tcPr>
            <w:tcW w:w="2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95,671</w:t>
            </w:r>
          </w:p>
        </w:tc>
        <w:tc>
          <w:tcPr>
            <w:tcW w:w="100" w:type="dxa"/>
            <w:vAlign w:val="bottom"/>
          </w:tcPr>
          <w:p>
            <w:pPr>
              <w:spacing w:after="0"/>
              <w:rPr>
                <w:sz w:val="15"/>
                <w:szCs w:val="15"/>
                <w:color w:val="auto"/>
              </w:rPr>
            </w:pPr>
          </w:p>
        </w:tc>
      </w:tr>
      <w:tr>
        <w:trPr>
          <w:trHeight w:val="20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1040" w:type="dxa"/>
            <w:vAlign w:val="bottom"/>
            <w:tcBorders>
              <w:bottom w:val="single" w:sz="8" w:color="auto"/>
            </w:tcBorders>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8,650</w:t>
            </w: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82,835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6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Components of cash, cash equivalents and restricted cash:</w:t>
            </w: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40" w:type="dxa"/>
            <w:vAlign w:val="bottom"/>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8,231</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82,153</w:t>
            </w:r>
          </w:p>
        </w:tc>
        <w:tc>
          <w:tcPr>
            <w:tcW w:w="100" w:type="dxa"/>
            <w:vAlign w:val="bottom"/>
            <w:shd w:val="clear" w:color="auto" w:fill="CFF0FC"/>
          </w:tcPr>
          <w:p>
            <w:pPr>
              <w:spacing w:after="0"/>
              <w:rPr>
                <w:sz w:val="15"/>
                <w:szCs w:val="15"/>
                <w:color w:val="auto"/>
              </w:rPr>
            </w:pPr>
          </w:p>
        </w:tc>
      </w:tr>
      <w:tr>
        <w:trPr>
          <w:trHeight w:val="17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included in other noncurrent assets</w:t>
            </w: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2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Pr>
          <w:p>
            <w:pPr>
              <w:spacing w:after="0"/>
              <w:rPr>
                <w:sz w:val="15"/>
                <w:szCs w:val="15"/>
                <w:color w:val="auto"/>
              </w:rPr>
            </w:pPr>
          </w:p>
        </w:tc>
      </w:tr>
      <w:tr>
        <w:trPr>
          <w:trHeight w:val="209"/>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1040" w:type="dxa"/>
            <w:vAlign w:val="bottom"/>
            <w:tcBorders>
              <w:bottom w:val="single" w:sz="8" w:color="auto"/>
            </w:tcBorders>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8,650</w:t>
            </w: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82,835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6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Property and equipment included in accounts payable and accrued and other current liabilities</w:t>
            </w:r>
          </w:p>
        </w:tc>
        <w:tc>
          <w:tcPr>
            <w:tcW w:w="1040" w:type="dxa"/>
            <w:vAlign w:val="bottom"/>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shd w:val="clear" w:color="auto" w:fill="CFF0FC"/>
          </w:tcPr>
          <w:p>
            <w:pPr>
              <w:spacing w:after="0"/>
              <w:rPr>
                <w:sz w:val="15"/>
                <w:szCs w:val="15"/>
                <w:color w:val="auto"/>
              </w:rPr>
            </w:pPr>
          </w:p>
        </w:tc>
      </w:tr>
      <w:tr>
        <w:trPr>
          <w:trHeight w:val="188"/>
        </w:trPr>
        <w:tc>
          <w:tcPr>
            <w:tcW w:w="7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warrant in connection with Loan Agreement</w:t>
            </w: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80" w:type="dxa"/>
            <w:vAlign w:val="bottom"/>
          </w:tcPr>
          <w:p>
            <w:pPr>
              <w:spacing w:after="0"/>
              <w:rPr>
                <w:sz w:val="16"/>
                <w:szCs w:val="16"/>
                <w:color w:val="auto"/>
              </w:rPr>
            </w:pPr>
          </w:p>
        </w:tc>
        <w:tc>
          <w:tcPr>
            <w:tcW w:w="102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5881370</wp:posOffset>
            </wp:positionH>
            <wp:positionV relativeFrom="paragraph">
              <wp:posOffset>-2814955</wp:posOffset>
            </wp:positionV>
            <wp:extent cx="9398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-2814955</wp:posOffset>
            </wp:positionV>
            <wp:extent cx="9398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-1996440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-1318895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-1318895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-847725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-830580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-367665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-350520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the Business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Tenaya Therapeutics, Inc. (the Company) was incorporated in the state of Delaware in August 2016 and is headquartered in South San Francisco, California. The Company is a clinical-stage biotechnology company focused on discovering, developing and delivering curative therapies that address the underlying drivers of heart disease. The Company’s lead product candidates include TN-201, a gene therapy for myosin binding protein C3-associated hypertrophic cardiomyopathy, TN-401, a gene therapy for plakophilin 2-associated arrhythmogenic right ventricular cardiomyopathy, and TN-301, a small molecule for heart failure with preserved ejection fraction.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has incurred net losses since inception and expects such losses to continue in the future as it conducts research and development activities. As of September 30, 2024, the Company had an accumulated deficit of $490.6 million. The Company incurred a net loss of $87.3 million and $94.1 million during the nine months ended September 30, 2024 and 2023, respectively. The Company had $79.5 million of cash, cash equivalents and investments in marketable securities as of September 30, 2024.</w:t>
      </w:r>
    </w:p>
    <w:p>
      <w:pPr>
        <w:spacing w:after="0" w:line="7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On August 6, 2024, the Company entered into a Loan Agreement with Silicon Valley Bank (SVB), a division of First-Citizens Bank &amp; Trust Company (the Loan Agreement). As of the filing date of this periodic report, under the Loan Agreement, the Company has the right to draw down $20.0 million at its discretion, up to an additional $5.0 million upon the satisfaction of certain milestones and up to an additional $20.0 million that may be available at SVB's discretion, subject to specified conditions. See Note 6, </w:t>
      </w:r>
      <w:r>
        <w:rPr>
          <w:rFonts w:ascii="Times New Roman" w:cs="Times New Roman" w:eastAsia="Times New Roman" w:hAnsi="Times New Roman"/>
          <w:sz w:val="18"/>
          <w:szCs w:val="18"/>
          <w:i w:val="1"/>
          <w:iCs w:val="1"/>
          <w:color w:val="auto"/>
        </w:rPr>
        <w:t>Term Loan</w:t>
      </w:r>
      <w:r>
        <w:rPr>
          <w:rFonts w:ascii="Times New Roman" w:cs="Times New Roman" w:eastAsia="Times New Roman" w:hAnsi="Times New Roman"/>
          <w:sz w:val="18"/>
          <w:szCs w:val="18"/>
          <w:color w:val="auto"/>
        </w:rPr>
        <w:t>, for further details.</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Management recognizes the need to raise additional capital to fully implement its business plan. The Company may seek to raise capital through equity financings, debt financings, license agreements, collaborative agreements or other sources of financing. Management believes that its existing cash, cash equivalents and investments in marketable securities as of September 30, 2024, along with the $20.0 million of funds available under its Loan Agreement with SVB, will be sufficient to fund the Company’s operations for at least the next twelve months following the date these condensed financial statements are filed with the Securities and Exchange Commission (SEC).</w:t>
      </w:r>
    </w:p>
    <w:p>
      <w:pPr>
        <w:spacing w:after="0" w:line="179" w:lineRule="exact"/>
        <w:rPr>
          <w:sz w:val="20"/>
          <w:szCs w:val="20"/>
          <w:color w:val="auto"/>
        </w:rPr>
      </w:pPr>
    </w:p>
    <w:p>
      <w:pPr>
        <w:ind w:left="520" w:right="7380" w:hanging="512"/>
        <w:spacing w:after="0" w:line="378" w:lineRule="auto"/>
        <w:tabs>
          <w:tab w:leader="none" w:pos="38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in accordance with accounting principles generally accepted in the United States of America (GAAP) and follow the requirements of the SEC for interim reporting. As permitted under those rules, certain footnotes or other financial information that are normally required by GAAP can be condensed or omitted.</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interim condensed balance sheet as of September 30, 2024, the interim condensed statements of operations and comprehensive loss, stockholders’ equity and cash flows for the nine months ended September 30, 2024 and 2023 are unaudited. These unaudited interim condensed financial statements have been prepared on the same basis as the Company’s annual financial statements and reflect all adjustments that are necessary for the fair statement of the Company’s financial position, results of operations and cash flows for the interim periods presented. The condensed results of operations for the nine months ended September 30, 2024, are not necessarily indicative of the results to be expected for the full year or for any other future annual or interim period. The condensed balance sheet as of December 31, 2023, included herein was derived from the audited financial statements as of that date. These condensed financial statements should be read in conjunction with the Company’s audited financial statements and the related notes thereto for the year ended December 31, 2023, included in Company’s Annual Report on Form 10-K, filed with the SEC on March 18, 2024.</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10" w:name="page11"/>
    <w:bookmarkEnd w:id="10"/>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condensed financial statements in conformity with GAAP requires management to make estimates and assumptions that affect the reported amounts of assets, liabilities, and the disclosure of contingent assets and liabilities at the date of the condensed financial statements and the reported amounts of expenses during the reporting period. Significant estimates and assumptions made in the accompanying financial statements include, but are not limited to, accrued expenses related to research and development activities. The Company bases its estimates on historical experience, the current economic environment, and on various other assumptions that are believed to be reasonable under the circumstances. Actual results may differ from those estimates or assumptions.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revisions to the Company’s significant accounting policies described in Note 2 to the financial statements included in the Company’s Annual Report on Form 10-K for the year ended December 31, 2023.</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 Update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280): Improvements to Reportable Segment Disclosures </w:t>
      </w:r>
      <w:r>
        <w:rPr>
          <w:rFonts w:ascii="Times New Roman" w:cs="Times New Roman" w:eastAsia="Times New Roman" w:hAnsi="Times New Roman"/>
          <w:sz w:val="18"/>
          <w:szCs w:val="18"/>
          <w:color w:val="auto"/>
        </w:rPr>
        <w:t>(ASU 2023-07), which improves reportable segment disclosure requirements,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enhanced disclosures about significant segment expenses. In addition, ASU 2023-07 enhances interim disclosure requirements, clarifies circumstances in which an entity can disclose multiple segment measures of profit or loss, provides new segment disclosure requirements for entities with a single reportable segment, and contains other disclosure requirements. ASU 2023-07 is effective for annual periods beginning after December 15, 2023, and interim periods beginning after December 15, 2024. The Company is evaluating the impact of this standard on its financial statements and related disclosures.</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requires disaggregated information about a reporting entity’s effective tax rate reconciliation as well as information on income taxes paid. ASU 2023-09 is effective for the Company beginning January 1, 2025. The Company is evaluating the impact of this standard on its financial statements and related disclosures.</w:t>
      </w:r>
    </w:p>
    <w:p>
      <w:pPr>
        <w:spacing w:after="0" w:line="17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3.</w:t>
        <w:tab/>
        <w:t>Balance Sheet Components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1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169"/>
        </w:trPr>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(In</w:t>
            </w:r>
          </w:p>
        </w:tc>
        <w:tc>
          <w:tcPr>
            <w:tcW w:w="1480" w:type="dxa"/>
            <w:vAlign w:val="bottom"/>
            <w:gridSpan w:val="3"/>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80" w:type="dxa"/>
            <w:vAlign w:val="bottom"/>
          </w:tcPr>
          <w:p>
            <w:pPr>
              <w:spacing w:after="0"/>
              <w:rPr>
                <w:sz w:val="14"/>
                <w:szCs w:val="14"/>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25,608</w:t>
            </w:r>
          </w:p>
        </w:tc>
        <w:tc>
          <w:tcPr>
            <w:tcW w:w="80" w:type="dxa"/>
            <w:vAlign w:val="bottom"/>
            <w:shd w:val="clear" w:color="auto" w:fill="CFF0FC"/>
          </w:tcPr>
          <w:p>
            <w:pPr>
              <w:spacing w:after="0"/>
              <w:rPr>
                <w:sz w:val="21"/>
                <w:szCs w:val="2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19,973</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17,716</w:t>
            </w:r>
          </w:p>
        </w:tc>
        <w:tc>
          <w:tcPr>
            <w:tcW w:w="80" w:type="dxa"/>
            <w:vAlign w:val="bottom"/>
            <w:shd w:val="clear" w:color="auto" w:fill="CFF0FC"/>
          </w:tcPr>
          <w:p>
            <w:pPr>
              <w:spacing w:after="0"/>
              <w:rPr>
                <w:sz w:val="21"/>
                <w:szCs w:val="2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80" w:type="dxa"/>
            <w:vAlign w:val="bottom"/>
            <w:shd w:val="clear" w:color="auto" w:fill="CFF0FC"/>
          </w:tcPr>
          <w:p>
            <w:pPr>
              <w:spacing w:after="0"/>
              <w:rPr>
                <w:sz w:val="21"/>
                <w:szCs w:val="2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tcPr>
          <w:p>
            <w:pPr>
              <w:spacing w:after="0"/>
              <w:rPr>
                <w:sz w:val="20"/>
                <w:szCs w:val="20"/>
                <w:color w:val="auto"/>
              </w:rPr>
            </w:pPr>
          </w:p>
        </w:tc>
      </w:tr>
      <w:tr>
        <w:trPr>
          <w:trHeight w:val="241"/>
        </w:trPr>
        <w:tc>
          <w:tcPr>
            <w:tcW w:w="6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68,440</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67,617</w:t>
            </w:r>
          </w:p>
        </w:tc>
        <w:tc>
          <w:tcPr>
            <w:tcW w:w="80" w:type="dxa"/>
            <w:vAlign w:val="bottom"/>
            <w:shd w:val="clear" w:color="auto" w:fill="CFF0FC"/>
          </w:tcPr>
          <w:p>
            <w:pPr>
              <w:spacing w:after="0"/>
              <w:rPr>
                <w:sz w:val="20"/>
                <w:szCs w:val="20"/>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0" w:type="dxa"/>
            <w:vAlign w:val="bottom"/>
          </w:tcPr>
          <w:p>
            <w:pPr>
              <w:spacing w:after="0"/>
              <w:rPr>
                <w:sz w:val="20"/>
                <w:szCs w:val="20"/>
                <w:color w:val="auto"/>
              </w:rPr>
            </w:pP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(30,687 )</w:t>
            </w:r>
          </w:p>
        </w:tc>
        <w:tc>
          <w:tcPr>
            <w:tcW w:w="16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(24,340 )</w:t>
            </w:r>
          </w:p>
        </w:tc>
      </w:tr>
      <w:tr>
        <w:trPr>
          <w:trHeight w:val="277"/>
        </w:trPr>
        <w:tc>
          <w:tcPr>
            <w:tcW w:w="6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37,753</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and amortization expense for the three months ended September 30, 2024 and 2023 was $2.1 million and $2.2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for each of the nine months ended September 30, 2024 and 2023 was $6.4 million and $6.5 million, respectively.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consist of the following:</w:t>
      </w:r>
    </w:p>
    <w:p>
      <w:pPr>
        <w:spacing w:after="0" w:line="112"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(In</w:t>
            </w:r>
          </w:p>
        </w:tc>
        <w:tc>
          <w:tcPr>
            <w:tcW w:w="1480" w:type="dxa"/>
            <w:vAlign w:val="bottom"/>
            <w:gridSpan w:val="5"/>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facility management services</w:t>
            </w:r>
          </w:p>
        </w:tc>
        <w:tc>
          <w:tcPr>
            <w:tcW w:w="14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7"/>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80" w:type="dxa"/>
            <w:vAlign w:val="bottom"/>
            <w:tcBorders>
              <w:bottom w:val="single" w:sz="8" w:color="CFF0FC"/>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7"/>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(In</w:t>
            </w:r>
          </w:p>
        </w:tc>
        <w:tc>
          <w:tcPr>
            <w:tcW w:w="1520" w:type="dxa"/>
            <w:vAlign w:val="bottom"/>
            <w:gridSpan w:val="6"/>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80" w:type="dxa"/>
            <w:vAlign w:val="bottom"/>
          </w:tcPr>
          <w:p>
            <w:pPr>
              <w:spacing w:after="0"/>
              <w:rPr>
                <w:sz w:val="14"/>
                <w:szCs w:val="14"/>
                <w:color w:val="auto"/>
              </w:rPr>
            </w:pPr>
          </w:p>
        </w:tc>
      </w:tr>
      <w:tr>
        <w:trPr>
          <w:trHeight w:val="243"/>
        </w:trPr>
        <w:tc>
          <w:tcPr>
            <w:tcW w:w="500" w:type="dxa"/>
            <w:vAlign w:val="bottom"/>
          </w:tcPr>
          <w:p>
            <w:pPr>
              <w:spacing w:after="0"/>
              <w:rPr>
                <w:sz w:val="21"/>
                <w:szCs w:val="21"/>
                <w:color w:val="auto"/>
              </w:rPr>
            </w:pPr>
          </w:p>
        </w:tc>
        <w:tc>
          <w:tcPr>
            <w:tcW w:w="6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8"/>
              </w:rPr>
              <w:t>4,458</w:t>
            </w:r>
          </w:p>
        </w:tc>
        <w:tc>
          <w:tcPr>
            <w:tcW w:w="180" w:type="dxa"/>
            <w:vAlign w:val="bottom"/>
            <w:shd w:val="clear" w:color="auto" w:fill="CFF0FC"/>
          </w:tcPr>
          <w:p>
            <w:pPr>
              <w:spacing w:after="0"/>
              <w:rPr>
                <w:sz w:val="21"/>
                <w:szCs w:val="21"/>
                <w:color w:val="auto"/>
              </w:rPr>
            </w:pPr>
          </w:p>
        </w:tc>
        <w:tc>
          <w:tcPr>
            <w:tcW w:w="1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80" w:type="dxa"/>
            <w:vAlign w:val="bottom"/>
            <w:shd w:val="clear" w:color="auto" w:fill="CFF0FC"/>
          </w:tcPr>
          <w:p>
            <w:pPr>
              <w:spacing w:after="0"/>
              <w:rPr>
                <w:sz w:val="21"/>
                <w:szCs w:val="21"/>
                <w:color w:val="auto"/>
              </w:rPr>
            </w:pPr>
          </w:p>
        </w:tc>
      </w:tr>
      <w:tr>
        <w:trPr>
          <w:trHeight w:val="239"/>
        </w:trPr>
        <w:tc>
          <w:tcPr>
            <w:tcW w:w="500" w:type="dxa"/>
            <w:vAlign w:val="bottom"/>
          </w:tcPr>
          <w:p>
            <w:pPr>
              <w:spacing w:after="0"/>
              <w:rPr>
                <w:sz w:val="20"/>
                <w:szCs w:val="20"/>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color w:val="auto"/>
                <w:w w:val="98"/>
              </w:rPr>
              <w:t>1,403</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tcPr>
          <w:p>
            <w:pPr>
              <w:spacing w:after="0"/>
              <w:rPr>
                <w:sz w:val="20"/>
                <w:szCs w:val="20"/>
                <w:color w:val="auto"/>
              </w:rPr>
            </w:pPr>
          </w:p>
        </w:tc>
      </w:tr>
      <w:tr>
        <w:trPr>
          <w:trHeight w:val="277"/>
        </w:trPr>
        <w:tc>
          <w:tcPr>
            <w:tcW w:w="500" w:type="dxa"/>
            <w:vAlign w:val="bottom"/>
          </w:tcPr>
          <w:p>
            <w:pPr>
              <w:spacing w:after="0"/>
              <w:rPr>
                <w:sz w:val="24"/>
                <w:szCs w:val="24"/>
                <w:color w:val="auto"/>
              </w:rPr>
            </w:pPr>
          </w:p>
        </w:tc>
        <w:tc>
          <w:tcPr>
            <w:tcW w:w="63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8"/>
              </w:rPr>
              <w:t>5,861</w:t>
            </w:r>
          </w:p>
        </w:tc>
        <w:tc>
          <w:tcPr>
            <w:tcW w:w="18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-1396365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-1379855</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-1396365</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-1379855</wp:posOffset>
            </wp:positionV>
            <wp:extent cx="51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-8255</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-24765</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-8255</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4.</w:t>
        <w:tab/>
        <w:t>Commitments and Contingencies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Facility Leases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December 2016, the Company entered into a lease agreement for office and laboratory space in South San Francisco, California. The lease was initially set to expire in May 2025 with two five-year renewal options. In June 2024, the Company amended the lease to extend the term to November 2027. Pursuant to the terms of the amended lease, the Company has one remaining five-year renewal option.</w:t>
      </w:r>
    </w:p>
    <w:p>
      <w:pPr>
        <w:spacing w:after="0" w:line="6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February 2021, the Company entered into a lease agreement for office and manufacturing space in Union City, California. The lease commenced in May 2021 and has a ten-year term with one five-year renewal option.</w:t>
      </w:r>
    </w:p>
    <w:p>
      <w:pPr>
        <w:spacing w:after="0" w:line="54"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In November 2021, the Company entered into a sublease agreement for office and laboratory space in South San Francisco, California. The lease was initially set to expire on June 30, 2022. In May 2022, the Company amended the lease to extend the term for the existing sublease premises through December 31, 2022. Pursuant to the terms of the amendment, the Company also subleased additional office and laboratory space at the same subleased premises through November 30, 2023. In October 2023, the Company entered into a second amendment for additional laboratory space and to extend the term of the subleased premises through November 30, 2024.</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related to operating lease activity during the three and nine months ended September 30, 2024 was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560" w:type="dxa"/>
            <w:vAlign w:val="bottom"/>
            <w:gridSpan w:val="5"/>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(In</w:t>
            </w:r>
          </w:p>
        </w:tc>
        <w:tc>
          <w:tcPr>
            <w:tcW w:w="1340" w:type="dxa"/>
            <w:vAlign w:val="bottom"/>
            <w:gridSpan w:val="3"/>
          </w:tcPr>
          <w:p>
            <w:pPr>
              <w:jc w:val="center"/>
              <w:ind w:right="735"/>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43"/>
        </w:trPr>
        <w:tc>
          <w:tcPr>
            <w:tcW w:w="580" w:type="dxa"/>
            <w:vAlign w:val="bottom"/>
          </w:tcPr>
          <w:p>
            <w:pPr>
              <w:spacing w:after="0"/>
              <w:rPr>
                <w:sz w:val="21"/>
                <w:szCs w:val="21"/>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740" w:type="dxa"/>
            <w:vAlign w:val="bottom"/>
            <w:shd w:val="clear" w:color="auto" w:fill="CFF0FC"/>
          </w:tcPr>
          <w:p>
            <w:pPr>
              <w:jc w:val="right"/>
              <w:ind w:right="53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1,356</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360" w:type="dxa"/>
            <w:vAlign w:val="bottom"/>
            <w:gridSpan w:val="2"/>
            <w:shd w:val="clear" w:color="auto" w:fill="CFF0FC"/>
          </w:tcPr>
          <w:p>
            <w:pPr>
              <w:jc w:val="center"/>
              <w:ind w:left="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74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lease cost</w:t>
            </w:r>
          </w:p>
        </w:tc>
        <w:tc>
          <w:tcPr>
            <w:tcW w:w="740" w:type="dxa"/>
            <w:vAlign w:val="bottom"/>
          </w:tcPr>
          <w:p>
            <w:pPr>
              <w:jc w:val="right"/>
              <w:ind w:right="53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1,733</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36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8"/>
        </w:trPr>
        <w:tc>
          <w:tcPr>
            <w:tcW w:w="580" w:type="dxa"/>
            <w:vAlign w:val="bottom"/>
          </w:tcPr>
          <w:p>
            <w:pPr>
              <w:spacing w:after="0"/>
              <w:rPr>
                <w:sz w:val="19"/>
                <w:szCs w:val="19"/>
                <w:color w:val="auto"/>
              </w:rPr>
            </w:pPr>
          </w:p>
        </w:tc>
        <w:tc>
          <w:tcPr>
            <w:tcW w:w="47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11"/>
        </w:trPr>
        <w:tc>
          <w:tcPr>
            <w:tcW w:w="5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r>
      <w:tr>
        <w:trPr>
          <w:trHeight w:val="218"/>
        </w:trPr>
        <w:tc>
          <w:tcPr>
            <w:tcW w:w="58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7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48"/>
        </w:trPr>
        <w:tc>
          <w:tcPr>
            <w:tcW w:w="580" w:type="dxa"/>
            <w:vAlign w:val="bottom"/>
          </w:tcPr>
          <w:p>
            <w:pPr>
              <w:spacing w:after="0"/>
              <w:rPr>
                <w:sz w:val="21"/>
                <w:szCs w:val="21"/>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7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center"/>
              <w:ind w:left="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864"/>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7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-1971040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-1971040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-1971040</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-1971040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6"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7"/>
          <w:szCs w:val="17"/>
          <w:color w:val="auto"/>
        </w:rPr>
        <w:t>As of September 30, 2024, the Company’s operating leases had a weighted average remaining lease term of 4.9 years and a weighted average discount rate of 8.9%. As of December 31, 2023, the Company’s operating leases had a weighted average remaining lease term of 5.1 years and a weighted average discount rate of 9.3%. Future minimum lease payments under the Company’s operating leases as of September 30, 2024 were as follows:</w:t>
      </w:r>
    </w:p>
    <w:p>
      <w:pPr>
        <w:spacing w:after="0" w:line="57"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69"/>
        </w:trPr>
        <w:tc>
          <w:tcPr>
            <w:tcW w:w="54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4"/>
                <w:szCs w:val="14"/>
                <w:color w:val="auto"/>
              </w:rPr>
            </w:pPr>
          </w:p>
        </w:tc>
      </w:tr>
      <w:tr>
        <w:trPr>
          <w:trHeight w:val="24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(remaining 3 months)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0" w:type="dxa"/>
            <w:vAlign w:val="bottom"/>
          </w:tcPr>
          <w:p>
            <w:pPr>
              <w:spacing w:after="0"/>
              <w:rPr>
                <w:sz w:val="21"/>
                <w:szCs w:val="21"/>
                <w:color w:val="auto"/>
              </w:rPr>
            </w:pPr>
          </w:p>
        </w:tc>
      </w:tr>
      <w:tr>
        <w:trPr>
          <w:trHeight w:val="23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20" w:type="dxa"/>
            <w:vAlign w:val="bottom"/>
          </w:tcPr>
          <w:p>
            <w:pPr>
              <w:spacing w:after="0"/>
              <w:rPr>
                <w:sz w:val="20"/>
                <w:szCs w:val="20"/>
                <w:color w:val="auto"/>
              </w:rPr>
            </w:pPr>
          </w:p>
        </w:tc>
      </w:tr>
      <w:tr>
        <w:trPr>
          <w:trHeight w:val="247"/>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FF0FC"/>
          </w:tcPr>
          <w:p>
            <w:pPr>
              <w:spacing w:after="0"/>
              <w:rPr>
                <w:sz w:val="21"/>
                <w:szCs w:val="21"/>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20" w:type="dxa"/>
            <w:vAlign w:val="bottom"/>
          </w:tcPr>
          <w:p>
            <w:pPr>
              <w:spacing w:after="0"/>
              <w:rPr>
                <w:sz w:val="21"/>
                <w:szCs w:val="21"/>
                <w:color w:val="auto"/>
              </w:rPr>
            </w:pPr>
          </w:p>
        </w:tc>
      </w:tr>
      <w:tr>
        <w:trPr>
          <w:trHeight w:val="23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20" w:type="dxa"/>
            <w:vAlign w:val="bottom"/>
          </w:tcPr>
          <w:p>
            <w:pPr>
              <w:spacing w:after="0"/>
              <w:rPr>
                <w:sz w:val="20"/>
                <w:szCs w:val="20"/>
                <w:color w:val="auto"/>
              </w:rPr>
            </w:pPr>
          </w:p>
        </w:tc>
      </w:tr>
      <w:tr>
        <w:trPr>
          <w:trHeight w:val="247"/>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21"/>
                <w:szCs w:val="21"/>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0" w:type="dxa"/>
            <w:vAlign w:val="bottom"/>
          </w:tcPr>
          <w:p>
            <w:pPr>
              <w:spacing w:after="0"/>
              <w:rPr>
                <w:sz w:val="21"/>
                <w:szCs w:val="21"/>
                <w:color w:val="auto"/>
              </w:rPr>
            </w:pPr>
          </w:p>
        </w:tc>
      </w:tr>
      <w:tr>
        <w:trPr>
          <w:trHeight w:val="23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20" w:type="dxa"/>
            <w:vAlign w:val="bottom"/>
          </w:tcPr>
          <w:p>
            <w:pPr>
              <w:spacing w:after="0"/>
              <w:rPr>
                <w:sz w:val="20"/>
                <w:szCs w:val="20"/>
                <w:color w:val="auto"/>
              </w:rPr>
            </w:pPr>
          </w:p>
        </w:tc>
      </w:tr>
      <w:tr>
        <w:trPr>
          <w:trHeight w:val="241"/>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18,215</w:t>
            </w:r>
          </w:p>
        </w:tc>
        <w:tc>
          <w:tcPr>
            <w:tcW w:w="20" w:type="dxa"/>
            <w:vAlign w:val="bottom"/>
          </w:tcPr>
          <w:p>
            <w:pPr>
              <w:spacing w:after="0"/>
              <w:rPr>
                <w:sz w:val="20"/>
                <w:szCs w:val="20"/>
                <w:color w:val="auto"/>
              </w:rPr>
            </w:pPr>
          </w:p>
        </w:tc>
      </w:tr>
      <w:tr>
        <w:trPr>
          <w:trHeight w:val="239"/>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Imputed interest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(3,677 )</w:t>
            </w:r>
          </w:p>
        </w:tc>
        <w:tc>
          <w:tcPr>
            <w:tcW w:w="20" w:type="dxa"/>
            <w:vAlign w:val="bottom"/>
          </w:tcPr>
          <w:p>
            <w:pPr>
              <w:spacing w:after="0"/>
              <w:rPr>
                <w:sz w:val="20"/>
                <w:szCs w:val="20"/>
                <w:color w:val="auto"/>
              </w:rPr>
            </w:pPr>
          </w:p>
        </w:tc>
      </w:tr>
      <w:tr>
        <w:trPr>
          <w:trHeight w:val="277"/>
        </w:trPr>
        <w:tc>
          <w:tcPr>
            <w:tcW w:w="5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14,538</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enters into contractual agreements with various suppliers in the normal course of its business, including vendors that provide machinery and equipment. All contracts are terminable, with varying provisions regarding termination. In general, if a contract with a specific vendor were to be terminated, the Company would only be obligated for the products or services that the Company had received through the time of termination.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become involved in litigation and other legal actions. The Company estimates the range of liability related to any pending litigation where the amount and range of loss can be estimated. The Company records its best estimate of a loss when the loss is considered probable. Where a liability is probable and there is a range of estimated loss with no best estimate in the range, the Company records a charge equal to at least the minimum estimated liability for a loss contingency when both of the following conditions are met: (i) information available prior to issuance of the financial statements indicates that it is probable that a liability had been incurred at the date of the financial statements and (ii) the range of loss can be reasonably estimated. The Company was not involved in any material litigation as of September 30, 2024.</w:t>
      </w:r>
    </w:p>
    <w:p>
      <w:pPr>
        <w:spacing w:after="0" w:line="7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may include indemnification provisions. Pursuant to such agreements, the Company may be obligated to indemnify, hold harmless and defend an indemnified party for losses suffered or incurred by the indemnified party. In some cases, the indemnification will continue after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September 30, 2024, the Company did not have any material indemnification claims that were probable and consequently has not recorded any related liabilities.</w:t>
      </w:r>
    </w:p>
    <w:p>
      <w:pPr>
        <w:spacing w:after="0" w:line="185"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2024 Inducement Equity Incentive Plan</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September 2024, the Board of Directors (the Board) adopted the Company's 2024 Inducement Equity Incentive Plan (the Inducement Plan), and subject to the adjustment provisions of the Inducement Plan, reserved 1,200,000 shares of the Company’s common stock for issuance pursuant to equity awards granted under the Inducement Plan. The Inducement Plan allows the Company to make equity awards to prospective employees of the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 w:name="page14"/>
    <w:bookmarkEnd w:id="13"/>
    <w:p>
      <w:pPr>
        <w:spacing w:after="0" w:line="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Company as an inducement to such individual's commencement of employment with the Company. As of September 30, 2024, no shares have been issued under the Inducement Plan.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Under the Company's 2021 Equity Incentive Plan (the 2021 Plan), 4,000,000 shares of the Company’s common stock were initially reserved for issuance of equity awards to employees, directors, and consultants, under terms and provisions established by the Board. The number of shares of common stock available for issuance under the 2021 Plan automatically increases on the first day of January for a period of ten years, commencing on January 1, 2022, in an amount equal to the lesser of: 4,000,000 shares; 4% of the outstanding shares of the Company’s common stock as of the last day of the immediately preceding year; or such other amount as the board of directors may determine.</w:t>
      </w:r>
    </w:p>
    <w:p>
      <w:pPr>
        <w:spacing w:after="0" w:line="7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Total shares reserved and available for grant under the Inducement Plan and 2021 Plan as of September 30, 2024 are 1,200,000 and 1,355,277, respectively.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192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87"/>
        </w:trPr>
        <w:tc>
          <w:tcPr>
            <w:tcW w:w="648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69"/>
        </w:trPr>
        <w:tc>
          <w:tcPr>
            <w:tcW w:w="648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 dollars)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8,343,434</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2,470,100</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(32,195 )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(1,180,558 )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9,600,781</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Stock option awards granted to employees generally vest over a four-year period. The contractual term of stock option awards is generally 10 years from the grant date.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Company’s stock option awards is estimated on the date of grant using the Black-Scholes option pricing model using the following assumptions:</w:t>
      </w:r>
    </w:p>
    <w:p>
      <w:pPr>
        <w:spacing w:after="0" w:line="4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80" w:type="dxa"/>
            <w:vAlign w:val="bottom"/>
            <w:gridSpan w:val="3"/>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60" w:type="dxa"/>
            <w:vAlign w:val="bottom"/>
          </w:tcPr>
          <w:p>
            <w:pPr>
              <w:spacing w:after="0"/>
              <w:rPr>
                <w:sz w:val="13"/>
                <w:szCs w:val="13"/>
                <w:color w:val="auto"/>
              </w:rPr>
            </w:pPr>
          </w:p>
        </w:tc>
      </w:tr>
      <w:tr>
        <w:trPr>
          <w:trHeight w:val="187"/>
        </w:trPr>
        <w:tc>
          <w:tcPr>
            <w:tcW w:w="47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6"/>
                <w:szCs w:val="16"/>
                <w:color w:val="auto"/>
              </w:rPr>
            </w:pPr>
          </w:p>
        </w:tc>
      </w:tr>
      <w:tr>
        <w:trPr>
          <w:trHeight w:val="169"/>
        </w:trPr>
        <w:tc>
          <w:tcPr>
            <w:tcW w:w="4760" w:type="dxa"/>
            <w:vAlign w:val="bottom"/>
          </w:tcPr>
          <w:p>
            <w:pPr>
              <w:spacing w:after="0"/>
              <w:rPr>
                <w:sz w:val="14"/>
                <w:szCs w:val="14"/>
                <w:color w:val="auto"/>
              </w:rPr>
            </w:pPr>
          </w:p>
        </w:tc>
        <w:tc>
          <w:tcPr>
            <w:tcW w:w="8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4"/>
                <w:szCs w:val="14"/>
                <w:color w:val="auto"/>
              </w:rPr>
            </w:pPr>
          </w:p>
        </w:tc>
        <w:tc>
          <w:tcPr>
            <w:tcW w:w="1220" w:type="dxa"/>
            <w:vAlign w:val="bottom"/>
            <w:tcBorders>
              <w:bottom w:val="single" w:sz="8" w:color="auto"/>
            </w:tcBorders>
            <w:gridSpan w:val="2"/>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122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8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1820" w:type="dxa"/>
            <w:vAlign w:val="bottom"/>
            <w:gridSpan w:val="3"/>
            <w:shd w:val="clear" w:color="auto" w:fill="CFF0FC"/>
          </w:tcPr>
          <w:p>
            <w:pPr>
              <w:jc w:val="center"/>
              <w:ind w:left="476"/>
              <w:spacing w:after="0"/>
              <w:rPr>
                <w:sz w:val="20"/>
                <w:szCs w:val="20"/>
                <w:color w:val="auto"/>
              </w:rPr>
            </w:pPr>
            <w:r>
              <w:rPr>
                <w:rFonts w:ascii="Times New Roman" w:cs="Times New Roman" w:eastAsia="Times New Roman" w:hAnsi="Times New Roman"/>
                <w:sz w:val="18"/>
                <w:szCs w:val="18"/>
                <w:color w:val="auto"/>
                <w:w w:val="97"/>
              </w:rPr>
              <w:t>6.1</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6.1</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6.1</w:t>
            </w:r>
          </w:p>
        </w:tc>
      </w:tr>
      <w:tr>
        <w:trPr>
          <w:trHeight w:val="23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1820" w:type="dxa"/>
            <w:vAlign w:val="bottom"/>
            <w:gridSpan w:val="3"/>
          </w:tcPr>
          <w:p>
            <w:pPr>
              <w:jc w:val="center"/>
              <w:ind w:left="476"/>
              <w:spacing w:after="0"/>
              <w:rPr>
                <w:sz w:val="20"/>
                <w:szCs w:val="20"/>
                <w:color w:val="auto"/>
              </w:rPr>
            </w:pPr>
            <w:r>
              <w:rPr>
                <w:rFonts w:ascii="Times New Roman" w:cs="Times New Roman" w:eastAsia="Times New Roman" w:hAnsi="Times New Roman"/>
                <w:sz w:val="18"/>
                <w:szCs w:val="18"/>
                <w:color w:val="auto"/>
              </w:rPr>
              <w:t>94%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93%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 95%</w:t>
            </w:r>
          </w:p>
        </w:tc>
      </w:tr>
      <w:tr>
        <w:trPr>
          <w:trHeight w:val="247"/>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4.0% – 4.4%</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4.5%</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4.4%</w:t>
            </w: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N/A - not applicable as no stock option awards were granted in the period presented.</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540" w:firstLine="509"/>
        <w:spacing w:after="0" w:line="261" w:lineRule="auto"/>
        <w:rPr>
          <w:sz w:val="20"/>
          <w:szCs w:val="20"/>
          <w:color w:val="auto"/>
        </w:rPr>
      </w:pPr>
      <w:r>
        <w:rPr>
          <w:rFonts w:ascii="Times New Roman" w:cs="Times New Roman" w:eastAsia="Times New Roman" w:hAnsi="Times New Roman"/>
          <w:sz w:val="18"/>
          <w:szCs w:val="18"/>
          <w:color w:val="auto"/>
        </w:rPr>
        <w:t>Restricted stock units (RSUs) are awards that entitle the holder to receive freely tradable shares of the Company’s common stock upon the completion of a specific period of continued service. RSUs generally vest over a two to four year period and are subject to forfeiture if employment terminates prior to the release of vesting restrictions. RSUs are valued at the market price of the underlying common stock on the date of grant. The Company recognizes noncash compensation expense for the fair value of RSUs on a straight-line basis over the</w:t>
      </w: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4" w:name="page15"/>
    <w:bookmarkEnd w:id="14"/>
    <w:p>
      <w:pPr>
        <w:spacing w:after="0" w:line="8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requisite service period of the awards. The following table summarizes activity of RSUs granted to employees with service-based vesting under the 2021 Plan.</w:t>
      </w:r>
    </w:p>
    <w:p>
      <w:pPr>
        <w:spacing w:after="0" w:line="4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1920" w:type="dxa"/>
            <w:vAlign w:val="bottom"/>
            <w:gridSpan w:val="2"/>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654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69"/>
        </w:trPr>
        <w:tc>
          <w:tcPr>
            <w:tcW w:w="654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dollars)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1,088,276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1,314,865</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(596,544 )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(260,806 )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September 30, 2024</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1,545,791</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-25400</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Under the Company's 2021 Employee Stock Purchase Plan (the ESPP), the Company initially reserved 800,000 shares for future issuance. The number of shares of common stock available for issuance under the ESPP automatically increases on the first day of each fiscal year for a period of ten years beginning with 2022 in an amount equal to the lesser of: 800,000 shares; 1% of the outstanding shares of the Company’s common stock as of the last day of the immediately preceding year; or such other amount as the Board may determine. As of September 30, 2024, 1,767,746 shares were reserved for future issuance under the ESPP. Under the Company’s ESPP, employees are generally eligible to participate and can purchase shares on each purchase date established semi-annually through payroll deductions at the lower of 85% of the fair market value of the Company’s stock at the commencement of the offering period or each purchase date of the offering period. Each offering period spans 6 months. The ESPP permits eligible employees to purchase common stock through payroll deductions for up to 15% of qualified compensation, up to an annual limit of $25,000 per the Internal Revenue Service. For the nine months ended September 30, 2024 and 2023, the stock-based compensation expense for ESPP was not material.</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recognized in the Company’s condensed statements of operations and comprehensive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w:t>
      </w:r>
    </w:p>
    <w:p>
      <w:pPr>
        <w:spacing w:after="0" w:line="9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180" w:type="dxa"/>
            <w:vAlign w:val="bottom"/>
            <w:gridSpan w:val="4"/>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46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6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2,048</w:t>
            </w:r>
          </w:p>
        </w:tc>
        <w:tc>
          <w:tcPr>
            <w:tcW w:w="1020" w:type="dxa"/>
            <w:vAlign w:val="bottom"/>
            <w:gridSpan w:val="2"/>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5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shd w:val="clear" w:color="auto" w:fill="CFF0FC"/>
          </w:tcPr>
          <w:p>
            <w:pPr>
              <w:spacing w:after="0"/>
              <w:rPr>
                <w:sz w:val="20"/>
                <w:szCs w:val="20"/>
                <w:color w:val="auto"/>
              </w:rPr>
            </w:pPr>
          </w:p>
        </w:tc>
      </w:tr>
      <w:tr>
        <w:trPr>
          <w:trHeight w:val="23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1,859</w:t>
            </w:r>
          </w:p>
        </w:tc>
        <w:tc>
          <w:tcPr>
            <w:tcW w:w="2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100" w:type="dxa"/>
            <w:vAlign w:val="bottom"/>
          </w:tcPr>
          <w:p>
            <w:pPr>
              <w:spacing w:after="0"/>
              <w:rPr>
                <w:sz w:val="20"/>
                <w:szCs w:val="20"/>
                <w:color w:val="auto"/>
              </w:rPr>
            </w:pPr>
          </w:p>
        </w:tc>
      </w:tr>
      <w:tr>
        <w:trPr>
          <w:trHeight w:val="277"/>
        </w:trPr>
        <w:tc>
          <w:tcPr>
            <w:tcW w:w="4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3,907</w:t>
            </w:r>
          </w:p>
        </w:tc>
        <w:tc>
          <w:tcPr>
            <w:tcW w:w="2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12,742</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-24765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03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1"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Loan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12529"/>
        </w:rPr>
        <w:t xml:space="preserve">On August 6, 2024, the Company entered into the Loan Agreement with SVB. </w:t>
      </w:r>
      <w:r>
        <w:rPr>
          <w:rFonts w:ascii="Times New Roman" w:cs="Times New Roman" w:eastAsia="Times New Roman" w:hAnsi="Times New Roman"/>
          <w:sz w:val="18"/>
          <w:szCs w:val="18"/>
          <w:color w:val="000000"/>
        </w:rPr>
        <w:t>Pursuant to the terms of the Loan Agreement, term loans in an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aggregate principal amount of up to $45 million may be made under multiple tranches. The tranches can be drawn as follows: the first tranche of up to $15.0 million became available at the closing date through June 30, 2025; the second tranche of $5 million became available in October 2024 upon the achievement of a clinical milestone and is available through December 31, 2025. The third tranche of $2.5 million is available until December 31, 2025, subject to the achievement of certain clinical milestones; the fourth tranche of $2.5 million is available through December 31, 2025, subject to the achievement of a clinical milestone or satisfaction of certain capitalization requirements; and the final tranche of $20.0 million is available through July 31, 2026, on such terms as may be agreed by the parties and subject to approval by SVB's credit committee. With the exception of the final tranche, and subject to achievement of the applicable milestones and other requirements with respect to each tranche, draw downs are at the Company's election. As of September 30, 2024, the Company has not drawn any funds under the Loan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86"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Interest will accrue on the term loan advances at a rate per annum that is equal to the greater of 8.50% and the prime rate and will be payable monthly in arrears. Principal payments on any term loan advances that are borrowed would commence on January 1, 2026, subject to extension to July 1, 2026, upon the satisfaction of certain milestones.</w:t>
      </w:r>
    </w:p>
    <w:p>
      <w:pPr>
        <w:spacing w:after="0" w:line="68"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As security for its obligations under the Loan Agreement, the Company granted SVB a security interest in substantially all of the assets of the Company, other than its intellectual property.</w:t>
      </w:r>
    </w:p>
    <w:p>
      <w:pPr>
        <w:spacing w:after="0" w:line="158" w:lineRule="exact"/>
        <w:rPr>
          <w:sz w:val="20"/>
          <w:szCs w:val="20"/>
          <w:color w:val="auto"/>
        </w:rPr>
      </w:pPr>
    </w:p>
    <w:p>
      <w:pPr>
        <w:ind w:left="520" w:right="9240" w:hanging="512"/>
        <w:spacing w:after="0" w:line="400" w:lineRule="auto"/>
        <w:tabs>
          <w:tab w:leader="none" w:pos="385"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b w:val="1"/>
          <w:bCs w:val="1"/>
          <w:i w:val="1"/>
          <w:iCs w:val="1"/>
          <w:color w:val="auto"/>
        </w:rPr>
        <w:t>Lender Warrant</w:t>
      </w: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Loan Agreement, the Company issued to SVB a warrant to purchase up to 171,848 shares of our common stock (the Lender Warrant). </w:t>
      </w:r>
      <w:r>
        <w:rPr>
          <w:rFonts w:ascii="Times New Roman" w:cs="Times New Roman" w:eastAsia="Times New Roman" w:hAnsi="Times New Roman"/>
          <w:sz w:val="18"/>
          <w:szCs w:val="18"/>
          <w:color w:val="212529"/>
        </w:rPr>
        <w:t>The Lender Warrant became exercisable for 73,649 shares upon closing (the Initial Lender Warrant), which represented 0.075</w:t>
      </w:r>
      <w:r>
        <w:rPr>
          <w:rFonts w:ascii="Times New Roman" w:cs="Times New Roman" w:eastAsia="Times New Roman" w:hAnsi="Times New Roman"/>
          <w:sz w:val="18"/>
          <w:szCs w:val="18"/>
          <w:color w:val="auto"/>
        </w:rPr>
        <w:t xml:space="preserve">% of the Company's common stock and common stock equivalents outstanding as of the day before the closing, on a fully-diluted basis, at an exercise price of $2.55 per share. The Initial Lender Warrant was classified as equity and its fair value was recorded in the stockholders’ equity section of the balance sheet. </w:t>
      </w:r>
      <w:r>
        <w:rPr>
          <w:rFonts w:ascii="Times New Roman" w:cs="Times New Roman" w:eastAsia="Times New Roman" w:hAnsi="Times New Roman"/>
          <w:sz w:val="18"/>
          <w:szCs w:val="18"/>
          <w:color w:val="212529"/>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Lender Warrant will become exercisable for up to an additional 98,199 shares pro-rated based on amounts actually advanced for the various tranches under the Loan Agreement (the Remaining Lender Warrant). </w:t>
      </w:r>
      <w:r>
        <w:rPr>
          <w:rFonts w:ascii="Times New Roman" w:cs="Times New Roman" w:eastAsia="Times New Roman" w:hAnsi="Times New Roman"/>
          <w:sz w:val="18"/>
          <w:szCs w:val="18"/>
          <w:color w:val="000000"/>
        </w:rPr>
        <w:t>The Remaining Lender Warrant under the Loan Agreement is considered an outstanding instrument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upon closing of the Loan Agreement for accounting purposes. In accordance with Accounting Standards Codification (ASC) 815-40, </w:t>
      </w:r>
      <w:r>
        <w:rPr>
          <w:rFonts w:ascii="Times New Roman" w:cs="Times New Roman" w:eastAsia="Times New Roman" w:hAnsi="Times New Roman"/>
          <w:sz w:val="18"/>
          <w:szCs w:val="18"/>
          <w:i w:val="1"/>
          <w:iCs w:val="1"/>
          <w:color w:val="000000"/>
        </w:rPr>
        <w:t>Derivatives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Hedging - Contracts in Entity's Own Equity</w:t>
      </w:r>
      <w:r>
        <w:rPr>
          <w:rFonts w:ascii="Times New Roman" w:cs="Times New Roman" w:eastAsia="Times New Roman" w:hAnsi="Times New Roman"/>
          <w:sz w:val="18"/>
          <w:szCs w:val="18"/>
          <w:color w:val="000000"/>
        </w:rPr>
        <w:t>, the Remaining Lender Warrant is recognized at its fair value as a warrant liability given the variable settlement</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amount of the warrant shares and included in other non-current liabilities within the condensed balance sheets. The Lender Warrant expires on August 6, 2034.</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August 10, 2022, the Company entered into a sales agreement (Sales Agreement) with Leerink Partners LLC (formerly SVB Securities LLC) to establish an at-the-market (ATM) offering defined in Rule 415 under the Securities Act. Pursuant to the Sales Agreement, the Company is permitted to offer and sell, from time to time, shares of its common stock having a maximum aggregate offering price of up to $75.0 million. As of September 30, 2024, the Company may issue and sell up to approximately $71.0 million in additional shares of its common stock under the ATM.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February 12, 2024, the Company completed an underwritten offering of 8,888,890 shares of its common stock at a price of $4.50 per share and, to an investor in lieu of common stock, pre-funded warrants to purchase 2,222,271 shares of its common stock at a price of $4.499 per each pre-funded warrant. The pre-funded warrants can be exercised at any time after issuance for an exercise price of $0.001 per share, subject to certain ownership limitations. The Company received net proceeds of approximately $46.8 million, after deducting underwriting discounts and commissions of approximately $3.0 million and offering expenses of $0.2 million.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2024, total shares of common stock reserved for issuance, on an as-if converted basis,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8260" w:type="dxa"/>
            <w:vAlign w:val="bottom"/>
          </w:tcPr>
          <w:p>
            <w:pPr>
              <w:spacing w:after="0"/>
              <w:rPr>
                <w:sz w:val="13"/>
                <w:szCs w:val="13"/>
                <w:color w:val="auto"/>
              </w:rPr>
            </w:pPr>
          </w:p>
        </w:tc>
        <w:tc>
          <w:tcPr>
            <w:tcW w:w="18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Pr>
          <w:p>
            <w:pPr>
              <w:spacing w:after="0"/>
              <w:rPr>
                <w:sz w:val="13"/>
                <w:szCs w:val="13"/>
                <w:color w:val="auto"/>
              </w:rPr>
            </w:pPr>
          </w:p>
        </w:tc>
      </w:tr>
      <w:tr>
        <w:trPr>
          <w:trHeight w:val="187"/>
        </w:trPr>
        <w:tc>
          <w:tcPr>
            <w:tcW w:w="58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17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6"/>
        </w:trPr>
        <w:tc>
          <w:tcPr>
            <w:tcW w:w="580" w:type="dxa"/>
            <w:vAlign w:val="bottom"/>
          </w:tcPr>
          <w:p>
            <w:pPr>
              <w:spacing w:after="0"/>
              <w:rPr>
                <w:sz w:val="20"/>
                <w:szCs w:val="20"/>
                <w:color w:val="auto"/>
              </w:rPr>
            </w:pPr>
          </w:p>
        </w:tc>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 and awards</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11,146,572</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pre-funded warrants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7,104,853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Lender Warrant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171,848</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further issuance under the 2024 Inducement Equity Incentive Plan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available for further issuance under the 2021 Equity Incentive Plan</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1,355,277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further issuance under the 2021 Employee Stock Purchase Plan</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1,767,746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82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22,746,296</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849"/>
        </w:trPr>
        <w:tc>
          <w:tcPr>
            <w:tcW w:w="580" w:type="dxa"/>
            <w:vAlign w:val="bottom"/>
          </w:tcPr>
          <w:p>
            <w:pPr>
              <w:spacing w:after="0"/>
              <w:rPr>
                <w:sz w:val="24"/>
                <w:szCs w:val="24"/>
                <w:color w:val="auto"/>
              </w:rPr>
            </w:pPr>
          </w:p>
        </w:tc>
        <w:tc>
          <w:tcPr>
            <w:tcW w:w="826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16</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82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-1070610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-1054100</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0"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117"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Inputs reflect management’s best estimate of what market participants would use in pricing the asset or liability at the measurement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is given to the risk inherent in the valuation technique and the risk inherent in the inputs to the model.</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financial assets measured at fair value on a recurring basis by level within the fair value hierarchy: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Valuation</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4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jc w:val="center"/>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1"/>
                <w:szCs w:val="11"/>
                <w:color w:val="auto"/>
              </w:rPr>
            </w:pPr>
          </w:p>
        </w:tc>
        <w:tc>
          <w:tcPr>
            <w:tcW w:w="10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Gain</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Loss</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4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46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8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30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agencies bonds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1460" w:type="dxa"/>
            <w:vAlign w:val="bottom"/>
            <w:shd w:val="clear" w:color="auto" w:fill="CFF0FC"/>
          </w:tcPr>
          <w:p>
            <w:pPr>
              <w:spacing w:after="0"/>
              <w:rPr>
                <w:sz w:val="22"/>
                <w:szCs w:val="22"/>
                <w:color w:val="auto"/>
              </w:rPr>
            </w:pPr>
          </w:p>
        </w:tc>
        <w:tc>
          <w:tcPr>
            <w:tcW w:w="180" w:type="dxa"/>
            <w:vAlign w:val="bottom"/>
            <w:tcBorders>
              <w:right w:val="single" w:sz="8" w:color="CFF0FC"/>
            </w:tcBorders>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77,440</w:t>
            </w:r>
          </w:p>
        </w:tc>
        <w:tc>
          <w:tcPr>
            <w:tcW w:w="300" w:type="dxa"/>
            <w:vAlign w:val="bottom"/>
            <w:tcBorders>
              <w:right w:val="single" w:sz="8" w:color="CFF0FC"/>
            </w:tcBorders>
            <w:shd w:val="clear" w:color="auto" w:fill="CFF0FC"/>
          </w:tcPr>
          <w:p>
            <w:pPr>
              <w:spacing w:after="0"/>
              <w:rPr>
                <w:sz w:val="22"/>
                <w:szCs w:val="22"/>
                <w:color w:val="auto"/>
              </w:rPr>
            </w:pP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77,516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400" w:type="dxa"/>
            <w:vAlign w:val="bottom"/>
          </w:tcPr>
          <w:p>
            <w:pPr>
              <w:spacing w:after="0"/>
              <w:rPr>
                <w:sz w:val="24"/>
                <w:szCs w:val="24"/>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Valuation</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4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54"/>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jc w:val="center"/>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1"/>
                <w:szCs w:val="11"/>
                <w:color w:val="auto"/>
              </w:rPr>
            </w:pPr>
          </w:p>
        </w:tc>
        <w:tc>
          <w:tcPr>
            <w:tcW w:w="10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Gain</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Loss</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3"/>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4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52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8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34,901</w:t>
            </w:r>
          </w:p>
        </w:tc>
        <w:tc>
          <w:tcPr>
            <w:tcW w:w="30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(18 )</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agencies bonds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46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8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30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agencies bonds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(82 )</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1460" w:type="dxa"/>
            <w:vAlign w:val="bottom"/>
            <w:shd w:val="clear" w:color="auto" w:fill="CFF0FC"/>
          </w:tcPr>
          <w:p>
            <w:pPr>
              <w:spacing w:after="0"/>
              <w:rPr>
                <w:sz w:val="22"/>
                <w:szCs w:val="22"/>
                <w:color w:val="auto"/>
              </w:rPr>
            </w:pPr>
          </w:p>
        </w:tc>
        <w:tc>
          <w:tcPr>
            <w:tcW w:w="180" w:type="dxa"/>
            <w:vAlign w:val="bottom"/>
            <w:tcBorders>
              <w:right w:val="single" w:sz="8" w:color="CFF0FC"/>
            </w:tcBorders>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104,026</w:t>
            </w:r>
          </w:p>
        </w:tc>
        <w:tc>
          <w:tcPr>
            <w:tcW w:w="300" w:type="dxa"/>
            <w:vAlign w:val="bottom"/>
            <w:tcBorders>
              <w:right w:val="single" w:sz="8" w:color="CFF0FC"/>
            </w:tcBorders>
            <w:shd w:val="clear" w:color="auto" w:fill="CFF0FC"/>
          </w:tcPr>
          <w:p>
            <w:pPr>
              <w:spacing w:after="0"/>
              <w:rPr>
                <w:sz w:val="22"/>
                <w:szCs w:val="22"/>
                <w:color w:val="auto"/>
              </w:rPr>
            </w:pPr>
          </w:p>
        </w:tc>
        <w:tc>
          <w:tcPr>
            <w:tcW w:w="2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(117 )</w:t>
            </w:r>
          </w:p>
        </w:tc>
        <w:tc>
          <w:tcPr>
            <w:tcW w:w="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103,920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-2356485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-2339340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-2356485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-2339340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-2356485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-2339340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-2356485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-24765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Money market funds and U.S. treasury securities are classified as Level 1 because they are valued using quoted market prices in active markets for identical assets. Financial instruments classified within Level 2 of the fair value hierarchy are valued based on observable inputs or can be derived from non-binding quotes from the Company’s investment managers, which are based on proprietary valuation models of independent pricing services. These models generally use inputs such as observable market data, quoted market prices for similar instruments, or historical pricing trends of a security relative to its peers.</w:t>
      </w:r>
    </w:p>
    <w:p>
      <w:pPr>
        <w:spacing w:after="0" w:line="75"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 believes it is more likely than not that its marketable securities in an unrealized loss position will be held until maturity or the recovery of the cost basis of the investment. To date, the Company has not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recorded any allowance for credit losses on its investment securities. Based upon its quarterly impairment review, the Company determined that the unrealized losses were not attributed to credit risk, but were primarily driven by the broader change in interest rates.</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the fair value of available-for-sale marketable securities was $71.2 million, all of which had remaining maturities of less than one year.</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Company's financial liability measured at fair value on a recurring basis consists of the Remaining Lender Warrant issued in connection with the Loan Agreement (see Note 7). The fair value of the warrant liability was determined based on significant inputs not observable in the market, which represents a Level 3 measurement within the fair value hierarchy. The Company utilized the Black-Scholes option valuation model to fair value the warrant liability. The fair value is estimated using the Black-Scholes option-pricing model and adjusted for the likelihood of draw downs. The expected term is based on the remaining contractual term of the warrant. The Company estimates its expected stock volatility based on the historical volatility of a set of peer companies, which are publicly traded, and expects to continue to do so until it has adequate historical data regarding the volatility of its own publicly-traded stock price. The risk-free interest rate is determined by reference to the U.S. Treasury yield curve in effect at the time of measurement for time periods approximately equal to the expected term of the Lender Warrant. The Company uses an expected dividend yield of zero based on the fact that the Company has never paid cash dividends and does not expect to pay cash dividends in the foreseeable future. The warrant liability is subject to re-measurement at each balance sheet date, and any change in fair value is recognized as a gain or loss in our statement of operations and comprehensive loss. During the three and nine months ended September 30, 2024, the fair value of the warrant liability and its change were not material.</w:t>
      </w:r>
    </w:p>
    <w:p>
      <w:pPr>
        <w:spacing w:after="0" w:line="8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remaining financial assets and liabilities, which include cash, receivables and payables, approximate their fair values due to their short-term nature.</w:t>
      </w:r>
    </w:p>
    <w:p>
      <w:pPr>
        <w:spacing w:after="0" w:line="158"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and 2023, the Company did not record any income tax expense or benefit. The Company has recorded a full valuation allowance against its U.S. federal and state deferred tax assets as the Company believes it is more likely than not that the benefit will not be realized.</w:t>
      </w:r>
    </w:p>
    <w:p>
      <w:pPr>
        <w:spacing w:after="0" w:line="17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10.</w:t>
        <w:tab/>
        <w:t>Net Loss Per Share</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Basic and diluted loss per share are computed by dividing net loss by the weighted-average number of common shares outstanding during the reporting period. Basic weighted-average shares of common stock outstanding includes the weighted-average effect of the Company’s outstanding pre-funded warrants.</w:t>
      </w:r>
    </w:p>
    <w:p>
      <w:pPr>
        <w:spacing w:after="0" w:line="6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not included in the calculation of diluted net loss per share as of the periods presented because the effect would have been anti-dilutive:</w:t>
      </w:r>
    </w:p>
    <w:p>
      <w:pPr>
        <w:spacing w:after="0" w:line="61" w:lineRule="exact"/>
        <w:rPr>
          <w:sz w:val="20"/>
          <w:szCs w:val="20"/>
          <w:color w:val="auto"/>
        </w:rPr>
      </w:pPr>
    </w:p>
    <w:tbl>
      <w:tblPr>
        <w:tblLayout w:type="fixed"/>
        <w:tblInd w:w="76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190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20" w:type="dxa"/>
            <w:vAlign w:val="bottom"/>
          </w:tcPr>
          <w:p>
            <w:pPr>
              <w:spacing w:after="0"/>
              <w:rPr>
                <w:sz w:val="14"/>
                <w:szCs w:val="14"/>
                <w:color w:val="auto"/>
              </w:rPr>
            </w:pPr>
          </w:p>
        </w:tc>
        <w:tc>
          <w:tcPr>
            <w:tcW w:w="13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 and restricted stock units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11,146,572</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9,319,127</w:t>
            </w:r>
          </w:p>
        </w:tc>
        <w:tc>
          <w:tcPr>
            <w:tcW w:w="100" w:type="dxa"/>
            <w:vAlign w:val="bottom"/>
            <w:shd w:val="clear" w:color="auto" w:fill="CFF0FC"/>
          </w:tcPr>
          <w:p>
            <w:pPr>
              <w:spacing w:after="0"/>
              <w:rPr>
                <w:sz w:val="20"/>
                <w:szCs w:val="20"/>
                <w:color w:val="auto"/>
              </w:rPr>
            </w:pPr>
          </w:p>
        </w:tc>
      </w:tr>
      <w:tr>
        <w:trPr>
          <w:trHeight w:val="23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Lender Warrant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171,848</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69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11,318,420</w:t>
            </w:r>
          </w:p>
        </w:tc>
        <w:tc>
          <w:tcPr>
            <w:tcW w:w="2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9,319,127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-24765</wp:posOffset>
            </wp:positionV>
            <wp:extent cx="603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-24765</wp:posOffset>
            </wp:positionV>
            <wp:extent cx="596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-7620</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Workforce Reduction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12529"/>
        </w:rPr>
        <w:t xml:space="preserve">On May 14, 2024, the Company announced cost containment measures, including a committed plan to reduce its workforce (the Workforce Reduction) by approximately 22%. The cost containment measures align with the Company's focus on generating data from its clinical-stage gene therapy programs. </w:t>
      </w:r>
      <w:r>
        <w:rPr>
          <w:rFonts w:ascii="Times New Roman" w:cs="Times New Roman" w:eastAsia="Times New Roman" w:hAnsi="Times New Roman"/>
          <w:sz w:val="18"/>
          <w:szCs w:val="18"/>
          <w:color w:val="000000"/>
        </w:rPr>
        <w:t>The Workforce Reduction was completed as of September 30, 2024. During the nine-months ended September 30, 2024, the Company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recognized $1.4 million of aggregate charges, primarily related to employee cash severance and continuing health insurance benefits.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condensed financial statements and related notes included elsewhere in this Quarterly Report on Form 10-Q and our audited financial statements and related notes thereto for the year ended December 31, 2023, included in our Annual Report on Form 10-K filed with the Securities and Exchange Commission on March 18, 2024, or Annual Report.</w:t>
      </w:r>
    </w:p>
    <w:p>
      <w:pPr>
        <w:spacing w:after="0" w:line="180"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this discussion and analysis and other parts of this report contain forward-looking statements within the meaning of Section 27A of the Securities Act of 1933, as amended (the Securities Act), and Section 21E of the Securities Exchange Act of 1934, as amended, based upon current expectations that involve risks, uncertainties and assumptions. Our actual results could differ materially from those anticipated in these forward-looking statements as a result of various factors, including those set forth in the section titled “Risk Factors” under Part II, Item 1A. below. You should carefully read the “Risk Factors” to gain an understanding of the factors that could cause actual results to differ materially from our forward-looking statements. Please also see the section titled “Special Note Regarding Forward-Looking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are a clinical-stage biotechnology company focused on discovering, developing and delivering potentially curative therapies that address the underlying drivers of heart disease. Our vision is to change the treatment paradigm for heart disease, and in doing so improve and extend the lives of millions of patients.</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advancing a deep and diverse pipeline of disease-modifying targeted therapies that includes both gene therapies and small molecules discovered internally and developed using our extensive core capabilities to address rare or highly prevalent forms of heart disease. All of our programs are currently being assessed in clinical trials or are in the preclinical stage; we do not have any products approved for sale and have not generated any revenue to date.</w:t>
      </w:r>
    </w:p>
    <w:p>
      <w:pPr>
        <w:spacing w:after="0" w:line="70"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color w:val="auto"/>
        </w:rPr>
        <w:t>Our lead investigational product candidates are TN-201, a gene therapy for myosin binding protein C3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hypertrophic cardiomyopathy (HCM), TN-401, a gene therapy for plakophilin 2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arrhythmogenic right ventricular cardiomyopathy (ARVC), and TN-301, a small molecule for heart failure with preserved ejection fraction (HFpEF).</w:t>
      </w:r>
    </w:p>
    <w:p>
      <w:pPr>
        <w:spacing w:after="0" w:line="65"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TN-201 is our potential first-in-class and best-in-class gene therapy for adults and children with HCM due to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 These mutations result in a deficiency of myosin binding protein, which in turn can cause the heart walls of affected individuals to become significantly thickened, leading to fibrosis, abnormal heart rhythms, cardiac dysfunction, heart failure and death. HCM is a chronic, progressive condition and those diagnosed with the disease often experience significant impairment in overall quality of life and may be at higher risk for serious complications and co-morbidities. TN-201 utilizes a recombinant adeno-associated virus serotype 9 (AAV9) capsid and is designed to deliver a working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to specific cells of the heart in order to produce cardiac myosin binding protein and thereby potentially slow or even reverse the course of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following a single infusion.</w:t>
      </w:r>
    </w:p>
    <w:p>
      <w:pPr>
        <w:spacing w:after="0" w:line="8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October 2023, we began dosing patients in the MyPEAK</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-1 Phase 1b/2 multi-center, open-label clinical trial, designed to assess the safety, tolerability and efficacy of a one-time intravenous infusion of TN-201. We have completed Cohort 1 dosing at the 3E13 vg/kg dose in the MyPEAK-1 trial with no unexpected events or toxicities associated with TN-201 observed. Following review by an independent Data and Safety Monitoring Board (DSMB) of safety data from the first three MyPEAK-1 patients, the DSMB recommended that we proceed with the planned escalation to the 6E13 vg/kg dose, per protocol. MyPEAK-1 is now actively enrolling patients for Cohort 2 at several U.S. clinical sites and initial data from the trial is anticipated in December 2024.</w:t>
      </w:r>
    </w:p>
    <w:p>
      <w:pPr>
        <w:spacing w:after="0" w:line="8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To support our development efforts for TN-201 we are conducting two noninterventional studies: a study evaluating seroprevalence to AAV9 antibodies among adults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and MyClimb, a prospective and retrospective global natural history study focused on pediatric patients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mutation-associated cardiomyopathy. The seroprevalence study has completed enrollment and data is under analysis. The objective of the MyClimb natural history study is to characterize the outcomes, burden of illness, risk factors, quality of life, and biomarkers associated with disease progression in pediatric patients with cardiomyopathy due to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 as well as related treatments and procedures. MyClimb complements existing disease registries focused primarily on adult patient HCM populations and may support and expedite the development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9" w:name="page20"/>
    <w:bookmarkEnd w:id="19"/>
    <w:p>
      <w:pPr>
        <w:spacing w:after="0" w:line="84" w:lineRule="exact"/>
        <w:rPr>
          <w:sz w:val="20"/>
          <w:szCs w:val="20"/>
          <w:color w:val="auto"/>
        </w:rPr>
      </w:pPr>
    </w:p>
    <w:p>
      <w:pPr>
        <w:jc w:val="both"/>
        <w:ind w:right="680"/>
        <w:spacing w:after="0" w:line="267" w:lineRule="auto"/>
        <w:rPr>
          <w:sz w:val="20"/>
          <w:szCs w:val="20"/>
          <w:color w:val="auto"/>
        </w:rPr>
      </w:pPr>
      <w:r>
        <w:rPr>
          <w:rFonts w:ascii="Times New Roman" w:cs="Times New Roman" w:eastAsia="Times New Roman" w:hAnsi="Times New Roman"/>
          <w:sz w:val="18"/>
          <w:szCs w:val="18"/>
          <w:color w:val="auto"/>
        </w:rPr>
        <w:t xml:space="preserve">of TN-201 in the pediatric patient population. In July 2024, we received rare pediatric disease designation from the FDA for TN-201 in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TN-201 has also been granted orphan drug designation from the FDA, orphan medicinal product designation from the European Commission (EC), and Fast Track Designation from the FDA.</w:t>
      </w:r>
    </w:p>
    <w:p>
      <w:pPr>
        <w:spacing w:after="0" w:line="6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TN-401 is our potential first-in-class and best-in-class AAV9-based gene therapy for the treatment of ARVC due to disease-causing variants in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gene. ARVC, also known as arrhythmogenic cardiomyopathy, or ACM, is a chronic, progressive disease characterized by frequent, severe,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potentially life-threatening ventricular arrhythmias. The disease is associated with adverse heart remodeling, fibrosis, cardiac dysfunction, significant impairment to patients’ overall quality of life, as well as an elevated risk of sudden cardiac death.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mutations are the most common genetic cause of ARVC and result in insufficient expression of a protein needed for proper functioning of the desmosomal complex that maintains physical connections and electrical signaling between heart muscle cells. TN-401 utilizes a recombinant AAV9 capsid and is designed to deliver a working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to specific cells of the heart in order to produce plakophilin protein and thereby potentially slow or even reverse the course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following a single infusion.</w:t>
      </w:r>
    </w:p>
    <w:p>
      <w:pPr>
        <w:spacing w:after="0" w:line="84"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October 2023, the FDA provided clearance of our IND application to initiate clinical testing of TN-401. We plan to initiate patient dosing in RIDGE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-1, our Phase 1b multi-center, open-label clinical trial, designed to assess the safety, tolerability and efficacy of a one-time intravenous infusion of TN-401, in the fourth quarter of 2024 and have activated multiple clinical trial sites at leading cardiology centers with ARVC expertise. We intend to expand enrollment of RIDGE-1 outside the U.S. and received approval from the United Kingdom Medicines and Healthcare Products Regulatory Agency (MHRA), Research Ethics Committee and Health Research Authority for our TN-401 Clinical Trial Authorization in June 2024.</w:t>
      </w:r>
    </w:p>
    <w:p>
      <w:pPr>
        <w:spacing w:after="0" w:line="88" w:lineRule="exact"/>
        <w:rPr>
          <w:sz w:val="20"/>
          <w:szCs w:val="20"/>
          <w:color w:val="auto"/>
        </w:rPr>
      </w:pPr>
    </w:p>
    <w:p>
      <w:pPr>
        <w:ind w:right="360" w:firstLine="509"/>
        <w:spacing w:after="0" w:line="289" w:lineRule="auto"/>
        <w:rPr>
          <w:sz w:val="20"/>
          <w:szCs w:val="20"/>
          <w:color w:val="auto"/>
        </w:rPr>
      </w:pPr>
      <w:r>
        <w:rPr>
          <w:rFonts w:ascii="Times New Roman" w:cs="Times New Roman" w:eastAsia="Times New Roman" w:hAnsi="Times New Roman"/>
          <w:sz w:val="17"/>
          <w:szCs w:val="17"/>
          <w:color w:val="auto"/>
        </w:rPr>
        <w:t xml:space="preserve">In support of our development efforts for TN-401, we have initiated a global noninterventional study (RIDGE) to collect natural history and seroprevalence to AAV9 antibodies data among ARVC patients who carry pathogenic or likely pathogenic </w:t>
      </w:r>
      <w:r>
        <w:rPr>
          <w:rFonts w:ascii="Times New Roman" w:cs="Times New Roman" w:eastAsia="Times New Roman" w:hAnsi="Times New Roman"/>
          <w:sz w:val="17"/>
          <w:szCs w:val="17"/>
          <w:i w:val="1"/>
          <w:iCs w:val="1"/>
          <w:color w:val="auto"/>
        </w:rPr>
        <w:t>PKP2</w:t>
      </w:r>
      <w:r>
        <w:rPr>
          <w:rFonts w:ascii="Times New Roman" w:cs="Times New Roman" w:eastAsia="Times New Roman" w:hAnsi="Times New Roman"/>
          <w:sz w:val="17"/>
          <w:szCs w:val="17"/>
          <w:color w:val="auto"/>
        </w:rPr>
        <w:t xml:space="preserve"> gene mutations. TN-401 has received orphan drug designation from the FDA and orphan medicinal product designation from the EC, as well as Fast Track Designation from the FDA.</w:t>
      </w:r>
    </w:p>
    <w:p>
      <w:pPr>
        <w:spacing w:after="0" w:line="5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TN-301 is our small molecule inhibitor of histone deacetylase-6 (HDAC6), initially being developed for the potential treatment of HFpEF. HFpEF is characterized by a stiffening of the heart muscle resulting in an inability for the left ventricle to relax and fill with oxygenated blood sufficient to meet the body’s needs. There are several cellular processes thought to underlie the pathophysiology of HFpEF, including increases in fibrosis and inflammation and defects in metabolism. Although HFpEF accounts for approximately half of all heart failures, there are few proven treatment options.</w:t>
      </w:r>
    </w:p>
    <w:p>
      <w:pPr>
        <w:spacing w:after="0" w:line="7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October 2023, we shared positive data from our Phase 1 clinical trial of TN-301 in healthy participants at the 2023 Heart Failure Society of America Annual Scientific Meeting. TN-301 was generally well tolerated across the broad range of doses studied. Pharmacokinetic results showed overall dose proportionality with a half-life supportive of once-daily dosing. Increasing doses and exposures with TN-301 correlated with increased pharmacodynamic effects. There were no changes in histone acetylation with TN-301 underscoring the selectivity of TN-301 for HDAC6 and potentially reducing the risk of off target effects. In preclinical studies, selective HDAC6 inhibition has been shown to have comparable efficacy to empagliflozin, a sodium-glucose cotransporter-2 (SGLT2) inhibitor which is approved for the treatment of HFpEF and co-administration of our HDAC6 inhibition with a SGLT2 inhibitor demonstrated additive benefit. Taken together, these data support continued development of TN-301 as a potential treatment for patients with HFpEF. We believe late-stage clinical development of TN-301 is best suited for development by or with a well-resourced partner</w:t>
      </w:r>
      <w:r>
        <w:rPr>
          <w:rFonts w:ascii="Times New Roman" w:cs="Times New Roman" w:eastAsia="Times New Roman" w:hAnsi="Times New Roman"/>
          <w:sz w:val="18"/>
          <w:szCs w:val="18"/>
          <w:color w:val="333333"/>
        </w:rPr>
        <w:t>.</w:t>
      </w:r>
    </w:p>
    <w:p>
      <w:pPr>
        <w:spacing w:after="0" w:line="8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lead product candidates, we have multiple early-stage programs progressing through preclinical development using various therapeutic approaches, including gene addition, gene editing, gene silencing, and cellular regeneration to address other forms of rare and/or prevalent heart disease.</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distinct suite of integrated capabilities supports our efforts to discover and develop disease-modifying treatments focused on heart disease. We also continue to invest in complementary new technologies and the optimization of our existing proprietary capabilities, including the use of humaniPSC-derived cardiomyocyte disease models, machine learning and phenotypic screening, gene editing, AAV capsid engineering and novel promoter constructs to enable the discovery, design, delivery and development of therapeutics that are best suited to a given cardiovascular condition. We have also internalized and integrated both current Good Manufacturing Practices (cGMP) and non-GMP AAV manufacturing capabilities to support our emerging portfolio of gene therapy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cellular regeneration product candidates. Our Genetic Medicines Manufacturing Center, a cGMP facility, is strategically located near our research labs and Manufacturing Technology Development Center, a non-GMP facility, in the San Francisco Bay Area to enable smooth scale-up of production to support our clinical studies and utilizes a modular, scalable design to produce AAV-based gene therapies under cGMP standards. We seek to build on existing proprietary capabilities with the aim of increasing the safety and efficacy of genetic medicines, accelerating early-stage discovery and preclinical optimization and reducing the overall cost of goods by increasing manufacturing productivity and scalability.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0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7"/>
        </w:trPr>
        <w:tc>
          <w:tcPr>
            <w:tcW w:w="4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169"/>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00" w:type="dxa"/>
            <w:vAlign w:val="bottom"/>
          </w:tcPr>
          <w:p>
            <w:pPr>
              <w:spacing w:after="0"/>
              <w:rPr>
                <w:sz w:val="14"/>
                <w:szCs w:val="14"/>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r>
      <w:tr>
        <w:trPr>
          <w:trHeight w:val="23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20,350</w:t>
            </w:r>
          </w:p>
        </w:tc>
        <w:tc>
          <w:tcPr>
            <w:tcW w:w="24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23,091</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(2,741 )</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r>
      <w:tr>
        <w:trPr>
          <w:trHeight w:val="247"/>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(1,468 )</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(19%)</w:t>
            </w:r>
          </w:p>
        </w:tc>
      </w:tr>
      <w:tr>
        <w:trPr>
          <w:trHeight w:val="20"/>
        </w:trPr>
        <w:tc>
          <w:tcPr>
            <w:tcW w:w="4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r>
      <w:tr>
        <w:trPr>
          <w:trHeight w:val="23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26,711</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(4,209 )</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r>
      <w:tr>
        <w:trPr>
          <w:trHeight w:val="20"/>
        </w:trPr>
        <w:tc>
          <w:tcPr>
            <w:tcW w:w="4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4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(26,711 )</w:t>
            </w:r>
          </w:p>
        </w:tc>
        <w:tc>
          <w:tcPr>
            <w:tcW w:w="4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(30,920 )</w:t>
            </w: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r>
      <w:tr>
        <w:trPr>
          <w:trHeight w:val="23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7"/>
        </w:trPr>
        <w:tc>
          <w:tcPr>
            <w:tcW w:w="4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(696 )</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(39%)</w:t>
            </w:r>
          </w:p>
        </w:tc>
      </w:tr>
      <w:tr>
        <w:trPr>
          <w:trHeight w:val="243"/>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4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6"/>
        </w:trPr>
        <w:tc>
          <w:tcPr>
            <w:tcW w:w="4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(700 )</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(39%)</w:t>
            </w:r>
          </w:p>
        </w:tc>
      </w:tr>
      <w:tr>
        <w:trPr>
          <w:trHeight w:val="20"/>
        </w:trPr>
        <w:tc>
          <w:tcPr>
            <w:tcW w:w="4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r>
      <w:tr>
        <w:trPr>
          <w:trHeight w:val="23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(25,634 )</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(29,143 )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r>
      <w:tr>
        <w:trPr>
          <w:trHeight w:val="20"/>
        </w:trPr>
        <w:tc>
          <w:tcPr>
            <w:tcW w:w="4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-1139190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-1139190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-1139190</wp:posOffset>
            </wp:positionV>
            <wp:extent cx="596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-187960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-187960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-187960</wp:posOffset>
            </wp:positionV>
            <wp:extent cx="596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Research and development expenses relate primarily to discovery and development of our research programs, product candidates and proprietary platform technology, and are recognized as incurred. Internal research and development costs include, among others, employee-related costs (including salaries, benefits and stock-based compensation for employees engaged in research and development functions), laboratory supplies, other non-capital equipment utilized for in-house research, and allocated overhead costs. External research and development expenses include, among others, fees paid to contract research organizations (CROs) to execute preclinical studies and clinical trials on our behalf, consulting fees and fees related to licensing agreements. We do not allocate our costs by research program, product candidate or proprietary platform technology, as a significant amount of research and development expenses represent internal costs, which are deployed across our programs, product candidates, proprietary platform technology, and other activities.</w:t>
      </w:r>
    </w:p>
    <w:p>
      <w:pPr>
        <w:spacing w:after="0" w:line="84"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We enter into various agreements with CROs. Costs of certain research and development activities are recognized based on estimates from a number of factors, including an evaluation of the progress of the activities, as well as input from external service providers.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presented: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87"/>
        </w:trPr>
        <w:tc>
          <w:tcPr>
            <w:tcW w:w="5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4"/>
                <w:szCs w:val="14"/>
                <w:color w:val="auto"/>
              </w:rPr>
            </w:pPr>
          </w:p>
        </w:tc>
        <w:tc>
          <w:tcPr>
            <w:tcW w:w="13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costs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9,658</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(1,824 )</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(19%)</w:t>
            </w: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Facility and laboratory costs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Outside services</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(1,721 )</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52%</w:t>
            </w:r>
          </w:p>
        </w:tc>
        <w:tc>
          <w:tcPr>
            <w:tcW w:w="560" w:type="dxa"/>
            <w:vAlign w:val="bottom"/>
          </w:tcPr>
          <w:p>
            <w:pPr>
              <w:spacing w:after="0"/>
              <w:rPr>
                <w:sz w:val="21"/>
                <w:szCs w:val="21"/>
                <w:color w:val="auto"/>
              </w:rPr>
            </w:pPr>
          </w:p>
        </w:tc>
      </w:tr>
      <w:tr>
        <w:trPr>
          <w:trHeight w:val="277"/>
        </w:trPr>
        <w:tc>
          <w:tcPr>
            <w:tcW w:w="580" w:type="dxa"/>
            <w:vAlign w:val="bottom"/>
          </w:tcPr>
          <w:p>
            <w:pPr>
              <w:spacing w:after="0"/>
              <w:rPr>
                <w:sz w:val="24"/>
                <w:szCs w:val="24"/>
                <w:color w:val="auto"/>
              </w:rPr>
            </w:pPr>
          </w:p>
        </w:tc>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20,350</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23,091</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(2,741 )</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560" w:type="dxa"/>
            <w:vAlign w:val="bottom"/>
          </w:tcPr>
          <w:p>
            <w:pPr>
              <w:spacing w:after="0"/>
              <w:rPr>
                <w:sz w:val="24"/>
                <w:szCs w:val="24"/>
                <w:color w:val="auto"/>
              </w:rPr>
            </w:pPr>
          </w:p>
        </w:tc>
      </w:tr>
      <w:tr>
        <w:trPr>
          <w:trHeight w:val="844"/>
        </w:trPr>
        <w:tc>
          <w:tcPr>
            <w:tcW w:w="580" w:type="dxa"/>
            <w:vAlign w:val="bottom"/>
          </w:tcPr>
          <w:p>
            <w:pPr>
              <w:spacing w:after="0"/>
              <w:rPr>
                <w:sz w:val="24"/>
                <w:szCs w:val="24"/>
                <w:color w:val="auto"/>
              </w:rPr>
            </w:pPr>
          </w:p>
        </w:tc>
        <w:tc>
          <w:tcPr>
            <w:tcW w:w="44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32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-1070610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-1053465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-1070610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-1053465</wp:posOffset>
            </wp:positionV>
            <wp:extent cx="60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-1070610</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-1053465</wp:posOffset>
            </wp:positionV>
            <wp:extent cx="603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were $20.4 million and $23.1 million for the three months ended September 30, 2024 and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decrease of $2.7 million, or 12%, was primarily due to:</w:t>
      </w:r>
    </w:p>
    <w:p>
      <w:pPr>
        <w:spacing w:after="0" w:line="99" w:lineRule="exact"/>
        <w:rPr>
          <w:sz w:val="20"/>
          <w:szCs w:val="20"/>
          <w:color w:val="auto"/>
        </w:rPr>
      </w:pPr>
    </w:p>
    <w:p>
      <w:pPr>
        <w:ind w:left="900" w:right="44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$1.8 million in employee-related costs primarily driven by a workforce reduction plan initiated in May 2024 (the Workforce Reduction).</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$1.7 million in outside services reflecting lower costs for outside lab services as there were no IND-enabling activities in 2024.</w:t>
      </w:r>
    </w:p>
    <w:p>
      <w:pPr>
        <w:spacing w:after="0" w:line="11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process of conducting the necessary research to advance through the clinical stages and ultimately obtain regulatory approval is costly and time-consuming, and the successful development of our product candidates is highly uncertain. As a result, we cannot reasonably estimate or know the nature, timing or estimated costs of the efforts that will be necessary to complete the development of, and obtain regulatory approval for, or when and to what extent we will generate revenue from the commercialization and sale of any of our product candidates. However, we expect our research and development expenses to generally remain flat for the remainder of 2024</w:t>
      </w:r>
      <w:r>
        <w:rPr>
          <w:rFonts w:ascii="Times New Roman" w:cs="Times New Roman" w:eastAsia="Times New Roman" w:hAnsi="Times New Roman"/>
          <w:sz w:val="18"/>
          <w:szCs w:val="18"/>
          <w:color w:val="4472C4"/>
        </w:rPr>
        <w:t>.</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(including salaries, benefits and stock-based compensation for our employees in finance, human resources and other administrative functions), legal fees, professional fees incurred for accounting, audit and tax services, information technology and facility costs not otherwise included in research and development expenses. Legal fees primarily include those related to corporate and intellectual property-related matters.</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$6.4 million and $7.8 million for the three months ended September 30, 2024 and 2023, respectively. The year-over-year decrease of $1.5 million, or 19%, was primarily due to decreases in employee-related costs driven by the Workforce Reduction and lower professional fees.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Interest income primarily consists of interest earned on our cash, cash equivalents and investment balances. The interest income was $1.1 million and $1.8 million for the three months ended September 30, 2024 and 2023, respectively. The year-over-year decrease of $0.7 million was primarily due to lower cash, cash equivalents and investment balances.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Net loss for the three months ended September 30, 2024, was $25.6 million, compared to a net loss of $29.1 million for the three months ended September 30, 2023.</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87"/>
        </w:trPr>
        <w:tc>
          <w:tcPr>
            <w:tcW w:w="4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169"/>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20" w:type="dxa"/>
            <w:vAlign w:val="bottom"/>
          </w:tcPr>
          <w:p>
            <w:pPr>
              <w:spacing w:after="0"/>
              <w:rPr>
                <w:sz w:val="14"/>
                <w:szCs w:val="14"/>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6"/>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r>
      <w:tr>
        <w:trPr>
          <w:trHeight w:val="23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68,054</w:t>
            </w:r>
          </w:p>
        </w:tc>
        <w:tc>
          <w:tcPr>
            <w:tcW w:w="3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75,173</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(7,119 )</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w:t>
            </w:r>
          </w:p>
        </w:tc>
      </w:tr>
      <w:tr>
        <w:trPr>
          <w:trHeight w:val="243"/>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23,242</w:t>
            </w: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24,574</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(1,332 )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0"/>
        </w:trPr>
        <w:tc>
          <w:tcPr>
            <w:tcW w:w="48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237"/>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91,296</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99,747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(8,451 )</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0"/>
        </w:trPr>
        <w:tc>
          <w:tcPr>
            <w:tcW w:w="48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241"/>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(91,296 )</w:t>
            </w:r>
          </w:p>
        </w:tc>
        <w:tc>
          <w:tcPr>
            <w:tcW w:w="5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(99,747 )</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8,451</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3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7"/>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5,586</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(1,661 )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(30%)</w:t>
            </w:r>
          </w:p>
        </w:tc>
      </w:tr>
      <w:tr>
        <w:trPr>
          <w:trHeight w:val="239"/>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NM</w:t>
            </w:r>
          </w:p>
        </w:tc>
      </w:tr>
      <w:tr>
        <w:trPr>
          <w:trHeight w:val="236"/>
        </w:trPr>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3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(1,595 )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48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23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(87,293 )</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(94,149 )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r>
        <w:trPr>
          <w:trHeight w:val="20"/>
        </w:trPr>
        <w:tc>
          <w:tcPr>
            <w:tcW w:w="4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849"/>
        </w:trPr>
        <w:tc>
          <w:tcPr>
            <w:tcW w:w="4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63"/>
        </w:trPr>
        <w:tc>
          <w:tcPr>
            <w:tcW w:w="4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-2185035</wp:posOffset>
            </wp:positionV>
            <wp:extent cx="768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-2185035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-2185035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-1233805</wp:posOffset>
            </wp:positionV>
            <wp:extent cx="768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-1233805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-1233805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presented: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87"/>
        </w:trPr>
        <w:tc>
          <w:tcPr>
            <w:tcW w:w="4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169"/>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4"/>
                <w:szCs w:val="14"/>
                <w:color w:val="auto"/>
              </w:rPr>
            </w:pPr>
          </w:p>
        </w:tc>
        <w:tc>
          <w:tcPr>
            <w:tcW w:w="14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Personnel-related costs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28,668</w:t>
            </w:r>
          </w:p>
        </w:tc>
        <w:tc>
          <w:tcPr>
            <w:tcW w:w="80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28,468</w:t>
            </w:r>
          </w:p>
        </w:tc>
        <w:tc>
          <w:tcPr>
            <w:tcW w:w="5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3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and laboratory costs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19,613</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(4,155 )</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w:t>
            </w:r>
          </w:p>
        </w:tc>
      </w:tr>
      <w:tr>
        <w:trPr>
          <w:trHeight w:val="247"/>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Outside services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17,404</w:t>
            </w: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21,209</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(3,805 )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3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6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w:t>
            </w:r>
          </w:p>
        </w:tc>
      </w:tr>
      <w:tr>
        <w:trPr>
          <w:trHeight w:val="252"/>
        </w:trPr>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68,054</w:t>
            </w: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75,173</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(7,119 )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(9%)</w:t>
            </w: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-25400</wp:posOffset>
            </wp:positionV>
            <wp:extent cx="768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-25400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were $68.1 million and $75.2 million for the nine months ended September 30, 2024 and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decrease of $7.1 million, or 9%, was primarily due to:</w:t>
      </w:r>
    </w:p>
    <w:p>
      <w:pPr>
        <w:spacing w:after="0" w:line="99" w:lineRule="exact"/>
        <w:rPr>
          <w:sz w:val="20"/>
          <w:szCs w:val="20"/>
          <w:color w:val="auto"/>
        </w:rPr>
      </w:pPr>
    </w:p>
    <w:p>
      <w:pPr>
        <w:ind w:left="900" w:right="12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$4.2 million in facility and laboratory costs, reflecting lower costs of supplies and materials and lower facility management fees; and</w:t>
      </w:r>
    </w:p>
    <w:p>
      <w:pPr>
        <w:spacing w:after="0" w:line="53" w:lineRule="exact"/>
        <w:rPr>
          <w:rFonts w:ascii="Times New Roman" w:cs="Times New Roman" w:eastAsia="Times New Roman" w:hAnsi="Times New Roman"/>
          <w:sz w:val="18"/>
          <w:szCs w:val="18"/>
          <w:color w:val="auto"/>
        </w:rPr>
      </w:pPr>
    </w:p>
    <w:p>
      <w:pPr>
        <w:ind w:left="900" w:right="62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$3.8 million in outside services reflecting lower outside lab service fees as there were no IND-enabling activities in 2024, partially offset by an increase in clinical trial related costs for TN-201 and TN-401.</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$23.2 million and $24.6 million for the nine months ended September 30, 2024 and 2023, respectively. The year-over-year decrease of $1.3 million, or 5%, was primarily due to decreases in employee-related costs driven by the Workforce Reduction and lower professional fees.</w:t>
      </w:r>
    </w:p>
    <w:p>
      <w:pPr>
        <w:spacing w:after="0" w:line="68"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We continue to support our research and development activities and business development opportunities, and incur professional service fees. In addition, we will continue to incur legal, accounting, insurance and other expenses in operating our business as a public company, including costs associated with regulatory and compliance activities. However, we expect our general and administrative expenses to generally remain flat for the remainder of 2024.</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Interest income primarily consists of interest earned on our cash, cash equivalents and investment balances. The interest income was $3.9 million and $5.6 million for the nine months ended September 30, 2024 and 2023, respectively. The year-over-year decrease of $1.7 million was primarily due to lower cash, cash equivalents and investment balances.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Net loss for the nine months ended September 30, 2024, was $87.3 million, compared to a net loss of $94.1 million for the nine months ended September 30, 2023.</w:t>
      </w:r>
    </w:p>
    <w:p>
      <w:pPr>
        <w:spacing w:after="0" w:line="158"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jc w:val="center"/>
        <w:ind w:right="87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right="140" w:firstLine="509"/>
        <w:spacing w:after="0" w:line="289" w:lineRule="auto"/>
        <w:rPr>
          <w:sz w:val="20"/>
          <w:szCs w:val="20"/>
          <w:color w:val="auto"/>
        </w:rPr>
      </w:pPr>
      <w:r>
        <w:rPr>
          <w:rFonts w:ascii="Times New Roman" w:cs="Times New Roman" w:eastAsia="Times New Roman" w:hAnsi="Times New Roman"/>
          <w:sz w:val="17"/>
          <w:szCs w:val="17"/>
          <w:color w:val="auto"/>
        </w:rPr>
        <w:t>Since our inception, we have not generated any revenue and we have incurred significant net losses and negative cash flows from operations. From our inception through September 30, 2024, we have funded our operations primarily from the sale and issuance of our equity securities. As of September 30, 2024, we had cash, cash equivalents and investments in marketable securities of $79.5 million and an accumulated deficit of $490.6 million.</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212529"/>
        </w:rPr>
        <w:t xml:space="preserve">On August 6, 2024, we entered into a </w:t>
      </w:r>
      <w:r>
        <w:rPr>
          <w:rFonts w:ascii="Times New Roman" w:cs="Times New Roman" w:eastAsia="Times New Roman" w:hAnsi="Times New Roman"/>
          <w:sz w:val="18"/>
          <w:szCs w:val="18"/>
          <w:color w:val="000000"/>
        </w:rPr>
        <w:t>Loan Agreement with Silicon Valley Bank (SVB), a division of First-Citizens Bank &amp; Trust Company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Loan Agreement)</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000000"/>
        </w:rPr>
        <w:t xml:space="preserve"> As of the filing date of this periodic report, u</w:t>
      </w:r>
      <w:r>
        <w:rPr>
          <w:rFonts w:ascii="Times New Roman" w:cs="Times New Roman" w:eastAsia="Times New Roman" w:hAnsi="Times New Roman"/>
          <w:sz w:val="18"/>
          <w:szCs w:val="18"/>
          <w:color w:val="212529"/>
        </w:rPr>
        <w:t>nder the Loan Agreement, we have the right to draw down $20.0 million at our discretion,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up to an additional $5.0 million upon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satisfaction of certain milestones and up to an additional $20.0 million that may be available at SVB’s discretion, subject to specified conditions.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February 12, 2024, we completed an underwritten offering of 8,888,890 shares of our common stock at a price of $4.50 per share and, to an investor in lieu of common stock, pre-funded warrants to purchase 2,222,271 shares of our common stock at a price of $4.499 per pre-funded warrant under our registration statement on Form S-3 (File No. 333-266741). The pre-funded warrants can be exercised at any time after issuance for an exercise price of $0.001 per share, subject to certain ownership limitations. We received net proceeds of approximately $46.8 million, after deducting underwriting discounts and commissions of approximately $3.0 million and other offering expenses of approximately $0.2 million.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August 10, 2022, we entered into a sales agreement (the Sales Agreement) with Leerink Partners LLC (formerly SVB Securities LLC). Pursuant to the Sales Agreement, we may sell from time to time up to an aggregate of $75.0 million of our common stock through an “at-the-market” (ATM) offering defined in Rule 415 under the Securities Act. The $75.0 million of common stock that may be offered, issued and sold under the Sales Agreement is included in the $300.0 million of securities that may be offered, issued and sold by us under our registration statement on Form S-3 (File No. 333-266741). As of September 30, 2024, we may issue and sell up to approximately $71.0 million in additional shares of our common stock under the ATM.</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expect that we will continue to incur operating losses over the foreseeable future. Our operating expenses are expected to remain relatively flat for the next twelve months but may increase in the future, if and as we:</w:t>
      </w:r>
    </w:p>
    <w:p>
      <w:pPr>
        <w:spacing w:after="0" w:line="54"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lead gene therapy product candidates, TN-201 and TN-401;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scope of our existing clinical trials and transition into late-stage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of any of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commercial-scale manufacturing capabilities;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information systems and personnel to support our future product development and commercialization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additional product candidates we identify;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future product candidates into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develop, expand, enforce, defend and protect our intellectual property portfolio;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investments in marketable securities, along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million of funds available under its Loan Agreement with SVB, will be sufficient to meet our working capital and capital expenditure needs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least the next twelve months following the date of this Quarterly Report on Form 10-Q.</w:t>
      </w:r>
    </w:p>
    <w:p>
      <w:pPr>
        <w:spacing w:after="0" w:line="99"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ability to raise additional funds may be adversely impacted by global economic conditions or disruptions to, and volatility in, the credit and financial markets in the United States and worldwide.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w:t>
      </w:r>
    </w:p>
    <w:p>
      <w:pPr>
        <w:spacing w:after="0" w:line="124"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520" w:type="dxa"/>
        <w:tblCellMar>
          <w:top w:w="0" w:type="dxa"/>
          <w:left w:w="0" w:type="dxa"/>
          <w:bottom w:w="0" w:type="dxa"/>
          <w:right w:w="0" w:type="dxa"/>
        </w:tblCellMar>
      </w:tblPr>
      <w:tr>
        <w:trPr>
          <w:trHeight w:val="169"/>
        </w:trPr>
        <w:tc>
          <w:tcPr>
            <w:tcW w:w="628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6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w:t>
            </w:r>
          </w:p>
        </w:tc>
        <w:tc>
          <w:tcPr>
            <w:tcW w:w="80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(72,113 )</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(80,148 )</w:t>
            </w:r>
          </w:p>
        </w:tc>
      </w:tr>
      <w:tr>
        <w:trPr>
          <w:trHeight w:val="247"/>
        </w:trPr>
        <w:tc>
          <w:tcPr>
            <w:tcW w:w="6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1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(12,972 )</w:t>
            </w:r>
          </w:p>
        </w:tc>
        <w:tc>
          <w:tcPr>
            <w:tcW w:w="4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63,634</w:t>
            </w:r>
          </w:p>
        </w:tc>
        <w:tc>
          <w:tcPr>
            <w:tcW w:w="100" w:type="dxa"/>
            <w:vAlign w:val="bottom"/>
            <w:shd w:val="clear" w:color="auto" w:fill="CFF0FC"/>
          </w:tcPr>
          <w:p>
            <w:pPr>
              <w:spacing w:after="0"/>
              <w:rPr>
                <w:sz w:val="21"/>
                <w:szCs w:val="21"/>
                <w:color w:val="auto"/>
              </w:rPr>
            </w:pPr>
          </w:p>
        </w:tc>
      </w:tr>
      <w:tr>
        <w:trPr>
          <w:trHeight w:val="239"/>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1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47,372</w:t>
            </w:r>
          </w:p>
        </w:tc>
        <w:tc>
          <w:tcPr>
            <w:tcW w:w="3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00" w:type="dxa"/>
            <w:vAlign w:val="bottom"/>
          </w:tcPr>
          <w:p>
            <w:pPr>
              <w:spacing w:after="0"/>
              <w:rPr>
                <w:sz w:val="20"/>
                <w:szCs w:val="20"/>
                <w:color w:val="auto"/>
              </w:rPr>
            </w:pPr>
          </w:p>
        </w:tc>
      </w:tr>
      <w:tr>
        <w:trPr>
          <w:trHeight w:val="257"/>
        </w:trPr>
        <w:tc>
          <w:tcPr>
            <w:tcW w:w="6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12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(37,713 )</w:t>
            </w: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(12,836 )</w:t>
            </w:r>
          </w:p>
        </w:tc>
      </w:tr>
      <w:tr>
        <w:trPr>
          <w:trHeight w:val="20"/>
        </w:trPr>
        <w:tc>
          <w:tcPr>
            <w:tcW w:w="62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-25400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-25400</wp:posOffset>
            </wp:positionV>
            <wp:extent cx="603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-8255</wp:posOffset>
            </wp:positionV>
            <wp:extent cx="603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2024 was $72.1 million, which consisted primarily of a net loss of $87.3 million and a net change in operating assets and liabilities of $6.9 million, partially offset by $21.0 million in non-cash charges. The change in net operating assets and liabilities was primarily due to a decrease in accounts payable and accrued expenses and other current liabilities of $5.3 million and a decrease in operating lease liabilities of $3.2 million, partially offset by a decrease of prepaid expenses and other current assets of $1.1 million. Cash flows from operations are generally impacted by the timing of payments to vendors and vendor payment terms. The non-cash charges primarily consisted of stock-based compensation of $12.7 million and depreciation and amortization of $6.4 million.</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2023 was $80.1 million, which consisted primarily of a net loss of $94.1 million and a net change in operating assets and liabilities of $5.0 million, partially offset by $19.0 million in non-cash charges. The change in net operating assets and liabilities was primarily due to a decrease in accounts payable and accrued expenses and other current liabilities of $3.3 million and a decrease in operating lease liabilities of $3.1 million, partially offset by a decrease of prepaid expenses and other current assets of $2.0 million. Cash flows from operations are generally impacted by the timing of payments to vendors and vendor payment terms. The non-cash charges primarily consisted of stock-based compensation of $11.4 million and depreciation and amortization of $6.5 million.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was $13.0 million, which consisted primarily of purchases of marketable securities of $85.1 million, partially offset by proceeds from maturities of marketable securities of $72.9 million.</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2023 was $63.6 million, which consisted primarily of proceeds from maturities of marketable securities of $105.5 million, partially offset by purchases of marketable securities of $41.0 million.</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5" w:name="page26"/>
    <w:bookmarkEnd w:id="25"/>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was $47.4 million, which primarily consisted of net proceeds from our February 2024 follow-on offering of $46.8 million.</w:t>
      </w:r>
    </w:p>
    <w:p>
      <w:pPr>
        <w:spacing w:after="0" w:line="5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2023 was $3.7 million, which primarily consisted of proceeds from at-the-market sales of $3.9 million, partially offset by payments of accrued offering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Except as otherwise described in Note 4 to our unaudited condensed financial statements included in this periodic report, there have been no material changes from the contractual obligations and commitments previously disclosed in our Annual Report on Form 10-K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inception, we have not engaged in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A summary of our critical accounting policies and estimates is presented in Part II, Item 7 of our Annual Report on Form 10-K for the year ended December 31, 2023. There were no material changes to our critical accounting policies and estimates during the three and nine months ended September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See Note 2 to our unaudited interim condensed financial statements for more information about recent accounting pronouncements, the timing of their adoption, and our assessment, to the extent we have made one yet, of their potential impact on our financial condition of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w:t>
      </w:r>
    </w:p>
    <w:p>
      <w:pPr>
        <w:spacing w:after="0" w:line="7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by the JOBS Act. As a result, our financial statements may not be comparable to companies that comply with new or revised accounting pronouncements as of public company effective dates.</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company’s smaller reporting companies have reduced disclosure obligations regarding executive compensation.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 w:name="page27"/>
    <w:bookmarkEnd w:id="2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231F20"/>
        </w:rPr>
        <w:t>We are a smaller reporting company, as defined by Rule 12b-2 under the Securities and Exchange Act of 1934 and in Item 10(f)(1) of Regulation S-K, and are not required to provide the information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who is also serving as our interim Principal Financial Officer, has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interim Principal Financial Officer has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interim Principal Financial Officer,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quarter ended September 30, 2024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Inherent Limitations on Effectiveness of Controls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that arise in the ordinary course of our business. We are not currently a party to any litigation or legal proceedings that are likely to have a material adverse effect on our business. Regardless of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500" w:firstLine="509"/>
        <w:spacing w:after="0" w:line="258" w:lineRule="auto"/>
        <w:rPr>
          <w:sz w:val="20"/>
          <w:szCs w:val="20"/>
          <w:color w:val="auto"/>
        </w:rPr>
      </w:pPr>
      <w:r>
        <w:rPr>
          <w:rFonts w:ascii="Times New Roman" w:cs="Times New Roman" w:eastAsia="Times New Roman" w:hAnsi="Times New Roman"/>
          <w:sz w:val="18"/>
          <w:szCs w:val="18"/>
          <w:i w:val="1"/>
          <w:iCs w:val="1"/>
          <w:color w:val="231F20"/>
        </w:rPr>
        <w:t>Investing in our common stock involves a high degree of risk. You should carefully consider the risks described below, as well as the other information in this quarterly report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 Factors Summary</w:t>
      </w:r>
    </w:p>
    <w:p>
      <w:pPr>
        <w:spacing w:after="0" w:line="119" w:lineRule="exact"/>
        <w:rPr>
          <w:sz w:val="20"/>
          <w:szCs w:val="20"/>
          <w:color w:val="auto"/>
        </w:rPr>
      </w:pPr>
    </w:p>
    <w:p>
      <w:pPr>
        <w:ind w:right="260" w:firstLine="494"/>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execute on our business strategy is subject to a number of risks and uncertainties, including those outside of our control, that could cause our actual results to be harmed, including risks regarding the following:</w:t>
      </w:r>
    </w:p>
    <w:p>
      <w:pPr>
        <w:spacing w:after="0" w:line="52" w:lineRule="exact"/>
        <w:rPr>
          <w:sz w:val="20"/>
          <w:szCs w:val="20"/>
          <w:color w:val="auto"/>
        </w:rPr>
      </w:pPr>
    </w:p>
    <w:p>
      <w:pPr>
        <w:ind w:left="1020" w:right="320" w:hanging="503"/>
        <w:spacing w:after="0" w:line="282"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are early in our development efforts, with a limited operating history, and have no products approved for commercial sale, which may make it difficult for you to evaluate our current business and likelihood of success and future viability.</w:t>
      </w:r>
    </w:p>
    <w:p>
      <w:pPr>
        <w:spacing w:after="0" w:line="53" w:lineRule="exact"/>
        <w:rPr>
          <w:rFonts w:ascii="Times New Roman" w:cs="Times New Roman" w:eastAsia="Times New Roman" w:hAnsi="Times New Roman"/>
          <w:sz w:val="18"/>
          <w:szCs w:val="18"/>
          <w:color w:val="231F20"/>
        </w:rPr>
      </w:pPr>
    </w:p>
    <w:p>
      <w:pPr>
        <w:ind w:left="1020" w:right="180" w:hanging="503"/>
        <w:spacing w:after="0" w:line="282"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have not generated any product revenue to date, have incurred significant net losses since our inception, and expect to continue to incur significant net losses for the foreseeable future.</w:t>
      </w:r>
    </w:p>
    <w:p>
      <w:pPr>
        <w:spacing w:after="0" w:line="53" w:lineRule="exact"/>
        <w:rPr>
          <w:rFonts w:ascii="Times New Roman" w:cs="Times New Roman" w:eastAsia="Times New Roman" w:hAnsi="Times New Roman"/>
          <w:sz w:val="18"/>
          <w:szCs w:val="18"/>
          <w:color w:val="231F20"/>
        </w:rPr>
      </w:pPr>
    </w:p>
    <w:p>
      <w:pPr>
        <w:ind w:left="1020" w:right="420" w:hanging="503"/>
        <w:spacing w:after="0" w:line="282"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53" w:lineRule="exact"/>
        <w:rPr>
          <w:rFonts w:ascii="Times New Roman" w:cs="Times New Roman" w:eastAsia="Times New Roman" w:hAnsi="Times New Roman"/>
          <w:sz w:val="18"/>
          <w:szCs w:val="18"/>
          <w:color w:val="231F20"/>
        </w:rPr>
      </w:pPr>
    </w:p>
    <w:p>
      <w:pPr>
        <w:ind w:left="1020" w:right="140" w:hanging="503"/>
        <w:spacing w:after="0" w:line="261"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spacing w:after="0" w:line="71" w:lineRule="exact"/>
        <w:rPr>
          <w:rFonts w:ascii="Times New Roman" w:cs="Times New Roman" w:eastAsia="Times New Roman" w:hAnsi="Times New Roman"/>
          <w:sz w:val="18"/>
          <w:szCs w:val="18"/>
          <w:color w:val="231F20"/>
        </w:rPr>
      </w:pPr>
    </w:p>
    <w:p>
      <w:pPr>
        <w:ind w:left="1020" w:right="680" w:hanging="503"/>
        <w:spacing w:after="0" w:line="282"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Loan Agreement requires us to comply with specified operating covenants and places restrictions on our operating and financial flexibility.</w:t>
      </w:r>
    </w:p>
    <w:p>
      <w:pPr>
        <w:spacing w:after="0" w:line="53" w:lineRule="exact"/>
        <w:rPr>
          <w:rFonts w:ascii="Times New Roman" w:cs="Times New Roman" w:eastAsia="Times New Roman" w:hAnsi="Times New Roman"/>
          <w:sz w:val="18"/>
          <w:szCs w:val="18"/>
          <w:color w:val="231F20"/>
        </w:rPr>
      </w:pPr>
    </w:p>
    <w:p>
      <w:pPr>
        <w:ind w:left="1020" w:right="240" w:hanging="503"/>
        <w:spacing w:after="0" w:line="266"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67" w:lineRule="exact"/>
        <w:rPr>
          <w:rFonts w:ascii="Times New Roman" w:cs="Times New Roman" w:eastAsia="Times New Roman" w:hAnsi="Times New Roman"/>
          <w:sz w:val="18"/>
          <w:szCs w:val="18"/>
          <w:color w:val="231F20"/>
        </w:rPr>
      </w:pPr>
    </w:p>
    <w:p>
      <w:pPr>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7" w:lineRule="exact"/>
        <w:rPr>
          <w:rFonts w:ascii="Times New Roman" w:cs="Times New Roman" w:eastAsia="Times New Roman" w:hAnsi="Times New Roman"/>
          <w:sz w:val="18"/>
          <w:szCs w:val="18"/>
          <w:color w:val="231F20"/>
        </w:rPr>
      </w:pPr>
    </w:p>
    <w:p>
      <w:pPr>
        <w:ind w:left="1020" w:right="460" w:hanging="503"/>
        <w:spacing w:after="0" w:line="282"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mechanisms of action of our product candidates are unproven, and we do not know whether we will be able to develop any drug of commercial value.</w:t>
      </w:r>
    </w:p>
    <w:p>
      <w:pPr>
        <w:spacing w:after="0" w:line="53" w:lineRule="exact"/>
        <w:rPr>
          <w:rFonts w:ascii="Times New Roman" w:cs="Times New Roman" w:eastAsia="Times New Roman" w:hAnsi="Times New Roman"/>
          <w:sz w:val="18"/>
          <w:szCs w:val="18"/>
          <w:color w:val="231F20"/>
        </w:rPr>
      </w:pPr>
    </w:p>
    <w:p>
      <w:pPr>
        <w:ind w:left="1020" w:right="360" w:hanging="503"/>
        <w:spacing w:after="0" w:line="266" w:lineRule="auto"/>
        <w:tabs>
          <w:tab w:leader="none" w:pos="10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Drug development involves a lengthy and expensive process with an uncertain outcome. The preclinical studies, clinical trials and post-marketing studies of our product candidates may not demonstrate safety and efficacy to the satisfaction of the FDA, European Medicines Agency (EMA) or other comparable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spacing w:after="0" w:line="86" w:lineRule="exact"/>
        <w:rPr>
          <w:sz w:val="20"/>
          <w:szCs w:val="20"/>
          <w:color w:val="auto"/>
        </w:rPr>
      </w:pPr>
    </w:p>
    <w:p>
      <w:pPr>
        <w:ind w:left="1020" w:right="220"/>
        <w:spacing w:after="0" w:line="266" w:lineRule="auto"/>
        <w:rPr>
          <w:sz w:val="20"/>
          <w:szCs w:val="20"/>
          <w:color w:val="auto"/>
        </w:rPr>
      </w:pPr>
      <w:r>
        <w:rPr>
          <w:rFonts w:ascii="Times New Roman" w:cs="Times New Roman" w:eastAsia="Times New Roman" w:hAnsi="Times New Roman"/>
          <w:sz w:val="18"/>
          <w:szCs w:val="18"/>
          <w:color w:val="231F20"/>
        </w:rPr>
        <w:t>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68" w:lineRule="exact"/>
        <w:rPr>
          <w:sz w:val="20"/>
          <w:szCs w:val="20"/>
          <w:color w:val="auto"/>
        </w:rPr>
      </w:pPr>
    </w:p>
    <w:p>
      <w:pPr>
        <w:ind w:left="1020" w:hanging="503"/>
        <w:spacing w:after="0" w:line="261"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pacing w:after="0" w:line="71" w:lineRule="exact"/>
        <w:rPr>
          <w:rFonts w:ascii="Times New Roman" w:cs="Times New Roman" w:eastAsia="Times New Roman" w:hAnsi="Times New Roman"/>
          <w:sz w:val="18"/>
          <w:szCs w:val="18"/>
          <w:color w:val="231F20"/>
        </w:rPr>
      </w:pPr>
    </w:p>
    <w:p>
      <w:pPr>
        <w:jc w:val="both"/>
        <w:ind w:left="1020" w:right="40" w:hanging="503"/>
        <w:spacing w:after="0" w:line="261"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1" w:lineRule="exact"/>
        <w:rPr>
          <w:rFonts w:ascii="Times New Roman" w:cs="Times New Roman" w:eastAsia="Times New Roman" w:hAnsi="Times New Roman"/>
          <w:sz w:val="18"/>
          <w:szCs w:val="18"/>
          <w:color w:val="231F20"/>
        </w:rPr>
      </w:pPr>
    </w:p>
    <w:p>
      <w:pPr>
        <w:ind w:left="1020" w:right="140" w:hanging="503"/>
        <w:spacing w:after="0" w:line="282"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Due to our limited manufacturing experience there can be no assurance that we will be able to successfully manufacture product candidates to support our clinical development and commercialization plans.</w:t>
      </w:r>
    </w:p>
    <w:p>
      <w:pPr>
        <w:spacing w:after="0" w:line="53" w:lineRule="exact"/>
        <w:rPr>
          <w:rFonts w:ascii="Times New Roman" w:cs="Times New Roman" w:eastAsia="Times New Roman" w:hAnsi="Times New Roman"/>
          <w:sz w:val="18"/>
          <w:szCs w:val="18"/>
          <w:color w:val="231F20"/>
        </w:rPr>
      </w:pPr>
    </w:p>
    <w:p>
      <w:pPr>
        <w:jc w:val="both"/>
        <w:ind w:left="1020" w:right="180" w:hanging="503"/>
        <w:spacing w:after="0" w:line="266"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67" w:lineRule="exact"/>
        <w:rPr>
          <w:rFonts w:ascii="Times New Roman" w:cs="Times New Roman" w:eastAsia="Times New Roman" w:hAnsi="Times New Roman"/>
          <w:sz w:val="18"/>
          <w:szCs w:val="18"/>
          <w:color w:val="231F20"/>
        </w:rPr>
      </w:pPr>
    </w:p>
    <w:p>
      <w:pPr>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67" w:lineRule="exact"/>
        <w:rPr>
          <w:rFonts w:ascii="Times New Roman" w:cs="Times New Roman" w:eastAsia="Times New Roman" w:hAnsi="Times New Roman"/>
          <w:sz w:val="18"/>
          <w:szCs w:val="18"/>
          <w:color w:val="231F20"/>
        </w:rPr>
      </w:pPr>
    </w:p>
    <w:p>
      <w:pPr>
        <w:ind w:left="1020" w:right="500" w:hanging="503"/>
        <w:spacing w:after="0" w:line="282"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commercial success depends significantly on our ability to operate without infringing, misappropriating or otherwise violating the patents and other intellectual property and proprietary rights of third parties.</w:t>
      </w:r>
    </w:p>
    <w:p>
      <w:pPr>
        <w:spacing w:after="0" w:line="53" w:lineRule="exact"/>
        <w:rPr>
          <w:rFonts w:ascii="Times New Roman" w:cs="Times New Roman" w:eastAsia="Times New Roman" w:hAnsi="Times New Roman"/>
          <w:sz w:val="18"/>
          <w:szCs w:val="18"/>
          <w:color w:val="231F20"/>
        </w:rPr>
      </w:pPr>
    </w:p>
    <w:p>
      <w:pPr>
        <w:jc w:val="both"/>
        <w:ind w:left="1020" w:right="80" w:hanging="503"/>
        <w:spacing w:after="0" w:line="266" w:lineRule="auto"/>
        <w:tabs>
          <w:tab w:leader="none" w:pos="10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Financial Position, Need for Additional Capital and Limited Operating History</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early in our development efforts, with a limited operating history and have no products approved for commercial sale, which may make it difficult for you to evaluate our current business and likelihood of success and future viability.</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have limited experience conducting clinical trials, have no products approved for commercial sale and have not generated any revenue. We are developing therapies that address the underlying drivers of heart disease, which is an unproven and highly uncertain undertaking and involves a substantial degree of risk. Since our inception, we have devoted substantially all of our focus and financial resources to identifying and developing product candidates, conducting preclinical studies and clinical trials, developing our internal capabilities, acquiring technology, organizing and recruiting management and technical staff, business planning, establishing our intellectual property portfolio, raising capital, and providing general and administrative support for these operations. We have not yet demonstrated our ability to successfully complete any late-stage clinical trials, obtain marketing approvals, manufacture a late stage clinical- 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could be if we had a longer operating history.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9" w:name="page30"/>
    <w:bookmarkEnd w:id="29"/>
    <w:p>
      <w:pPr>
        <w:spacing w:after="0" w:line="86"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231F20"/>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If we do not adequately address these risks and difficulties or successfully make such a transition, our business will suffer.</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not generated any product revenue to date, have incurred significant net losses since our inception, and expect to continue to incur significant net losses for the foreseeable future.</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We have incurred significant net losses since our inception, have not generated any product revenue to date and have financed our operations principally through issuances of our stock. As of September 30, 2024, we had an accumulated deficit of $490.6 million. Substantially all of our losses have resulted from expenses incurred in connection with our research and development programs, manufacturing activities and from general and administrative costs associated with our operations.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84"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231F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late-stage clinical development, where costs may increase significantly.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6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5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231F20"/>
        </w:rPr>
        <w:t>Our business depends on the successful research, development, manufacturing, regulatory approval and commercialization of product candidates that we discover. Our ability to generate revenue and achieve profitability depends significantly on our ability, or any future collaborator’s ability, to achieve several objectives, including:</w:t>
      </w:r>
    </w:p>
    <w:p>
      <w:pPr>
        <w:spacing w:after="0" w:line="68" w:lineRule="exact"/>
        <w:rPr>
          <w:sz w:val="20"/>
          <w:szCs w:val="20"/>
          <w:color w:val="auto"/>
        </w:rPr>
      </w:pPr>
    </w:p>
    <w:p>
      <w:pPr>
        <w:ind w:left="1020" w:right="140" w:hanging="503"/>
        <w:spacing w:after="0" w:line="282"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and timely completion of preclinical and clinical development of product candidates and programs, including, but not limited to, generating sufficient data to support the initiation or continuation of clinical trials;</w:t>
      </w:r>
    </w:p>
    <w:p>
      <w:pPr>
        <w:spacing w:after="0" w:line="53" w:lineRule="exact"/>
        <w:rPr>
          <w:rFonts w:ascii="Times New Roman" w:cs="Times New Roman" w:eastAsia="Times New Roman" w:hAnsi="Times New Roman"/>
          <w:sz w:val="18"/>
          <w:szCs w:val="18"/>
          <w:color w:val="231F20"/>
        </w:rPr>
      </w:pPr>
    </w:p>
    <w:p>
      <w:pPr>
        <w:ind w:left="1020" w:right="80" w:hanging="503"/>
        <w:spacing w:after="0" w:line="282"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submission of INDs or other regulatory applications for our planned clinical trials, obtaining regulatory approval to commence clinical trials of our product candidates, and achieving favorable results from clinical trials;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and maintaining relationships with CROs and clinical sites for the clinical development of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initiation and successful patient enrollment and completion of clinical trials on a timely basis;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acceptable frequency and severity of adverse events in the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efficacy and safety profiles that are satisfactory to the FDA or any comparable foreign regulatory authority for marketing approval;</w:t>
      </w:r>
    </w:p>
    <w:p>
      <w:pPr>
        <w:spacing w:after="0" w:line="117"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timely receipt of marketing approvals from applicable regulatory authorities for any product candidates for which we successfully complete clinical development;</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complying with any required post-marketing approval commitments to applicable regulatory authorities;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0" w:name="page31"/>
    <w:bookmarkEnd w:id="30"/>
    <w:p>
      <w:pPr>
        <w:spacing w:after="0" w:line="86" w:lineRule="exact"/>
        <w:rPr>
          <w:sz w:val="20"/>
          <w:szCs w:val="20"/>
          <w:color w:val="auto"/>
        </w:rPr>
      </w:pPr>
    </w:p>
    <w:p>
      <w:pPr>
        <w:ind w:left="1020" w:right="8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operating a manufacturing facility and developing an efficient and scalable manufacturing process for our product candidates, and the timely manufacture of sufficient quantities of a product candidate for use in clinical trials and, if approved, commercialization;</w:t>
      </w:r>
    </w:p>
    <w:p>
      <w:pPr>
        <w:spacing w:after="0" w:line="53" w:lineRule="exact"/>
        <w:rPr>
          <w:rFonts w:ascii="Times New Roman" w:cs="Times New Roman" w:eastAsia="Times New Roman" w:hAnsi="Times New Roman"/>
          <w:sz w:val="18"/>
          <w:szCs w:val="18"/>
          <w:color w:val="231F20"/>
        </w:rPr>
      </w:pPr>
    </w:p>
    <w:p>
      <w:pPr>
        <w:ind w:left="1020" w:right="260" w:hanging="503"/>
        <w:spacing w:after="0" w:line="266"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67" w:lineRule="exact"/>
        <w:rPr>
          <w:rFonts w:ascii="Times New Roman" w:cs="Times New Roman" w:eastAsia="Times New Roman" w:hAnsi="Times New Roman"/>
          <w:sz w:val="18"/>
          <w:szCs w:val="18"/>
          <w:color w:val="231F20"/>
        </w:rPr>
      </w:pPr>
    </w:p>
    <w:p>
      <w:pPr>
        <w:ind w:left="1020" w:right="40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commercial launch following any marketing approval, including the development of a commercial infrastructure, whether in-house or with one or more collaborators;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outputs from our capsid engineering and promotor and regulator elements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continued acceptable safety profile following any marketing approval of our product candidates;</w:t>
      </w:r>
    </w:p>
    <w:p>
      <w:pPr>
        <w:spacing w:after="0" w:line="117" w:lineRule="exact"/>
        <w:rPr>
          <w:rFonts w:ascii="Times New Roman" w:cs="Times New Roman" w:eastAsia="Times New Roman" w:hAnsi="Times New Roman"/>
          <w:sz w:val="18"/>
          <w:szCs w:val="18"/>
          <w:color w:val="231F20"/>
        </w:rPr>
      </w:pPr>
    </w:p>
    <w:p>
      <w:pPr>
        <w:ind w:left="1020" w:right="24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market-size, ability to identify patients and the demographics of patients eligible for our product candidates, which may be different than expected;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commercial acceptance of our product candidates by patients, the medical community and third-party payors;</w:t>
      </w:r>
    </w:p>
    <w:p>
      <w:pPr>
        <w:spacing w:after="0" w:line="117" w:lineRule="exact"/>
        <w:rPr>
          <w:rFonts w:ascii="Times New Roman" w:cs="Times New Roman" w:eastAsia="Times New Roman" w:hAnsi="Times New Roman"/>
          <w:sz w:val="18"/>
          <w:szCs w:val="18"/>
          <w:color w:val="231F20"/>
        </w:rPr>
      </w:pPr>
    </w:p>
    <w:p>
      <w:pPr>
        <w:ind w:left="1020" w:right="34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distribute our products to certain segments of the patient population only accessible through restricted or closed distribution channels;</w:t>
      </w:r>
    </w:p>
    <w:p>
      <w:pPr>
        <w:spacing w:after="0" w:line="53"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satisfying any required post-marketing approval commitments to applicable regulatory authorities, and maintaining consistent quality, purity, and potency across clinical supplies and commercial supplies for any approved products;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identifying, assessing and developing new product candidates, and our ability to expand into multiple indications;</w:t>
      </w:r>
    </w:p>
    <w:p>
      <w:pPr>
        <w:spacing w:after="0" w:line="117" w:lineRule="exact"/>
        <w:rPr>
          <w:rFonts w:ascii="Times New Roman" w:cs="Times New Roman" w:eastAsia="Times New Roman" w:hAnsi="Times New Roman"/>
          <w:sz w:val="18"/>
          <w:szCs w:val="18"/>
          <w:color w:val="231F20"/>
        </w:rPr>
      </w:pPr>
    </w:p>
    <w:p>
      <w:pPr>
        <w:ind w:left="1020" w:right="32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maintaining, and expanding patent and other intellectual property protection, trade secret protection and regulatory exclusivity, both in the U.S. and internationally;</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protecting and enforcing our rights in our intellectual property portfolio;</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defending against third-party infringement, misappropriation, or other claims, if any;</w:t>
      </w:r>
    </w:p>
    <w:p>
      <w:pPr>
        <w:spacing w:after="0" w:line="117" w:lineRule="exact"/>
        <w:rPr>
          <w:rFonts w:ascii="Times New Roman" w:cs="Times New Roman" w:eastAsia="Times New Roman" w:hAnsi="Times New Roman"/>
          <w:sz w:val="18"/>
          <w:szCs w:val="18"/>
          <w:color w:val="231F20"/>
        </w:rPr>
      </w:pPr>
    </w:p>
    <w:p>
      <w:pPr>
        <w:ind w:left="1020" w:right="80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entering into, on favorable terms, any collaboration, licensing or other arrangements that may be necessary or desirable to develop, manufacture or commercialize our product candidates and to meet our obligations set forth under such arrangements;</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coverage and adequate reimbursement by third-party payors for our products and patients’ willingness to pay in the absence of such coverage and adequate reimbursement;</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additional funding to develop, manufacture and commercialize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addressing any competing therapies and technological and market developments;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managing costs, including any unforeseen costs, that we may incur as a result of nonclinical study or clinical trial delays;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attracting, hiring and retaining qualified and key personnel including clinical, scientific, management and administrative personnel.</w:t>
      </w:r>
    </w:p>
    <w:p>
      <w:pPr>
        <w:spacing w:after="0" w:line="117"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231F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and continue our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cost containment initiative, including our Workforce Reduction, may not result in the anticipated savings and could result in total costs and expenses that are greater than expected and could disrupt our business.</w:t>
      </w:r>
    </w:p>
    <w:p>
      <w:pPr>
        <w:spacing w:after="0" w:line="5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On May 14, 2024, in alignment with our focus on generating data from our clinical-stage gene therapy programs, we announced cost containment measures, including the Workforce Reduction, which impacted approximately 22% of our workforce.</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cost containment initiative, including the Workforce Reduction, may be disruptive to our operations. For example, the Workforce Reduction could yield unanticipated consequences, such as attrition beyond planned staff reductions, the loss of institutional knowledge and expertise, increased difficulties in our day-to-day operations, reduced employee morale and diversion of our management and employee attention from other business priorities. The Workforce Reduction could also harm our ability to attract and retain qualified personnel who are critical to our business, make it difficult for us to pursue new opportunities and initiatives and require us to hire qualified replacement personnel. We also may be required to take additional cost-saving measures in the future, including those involving personnel, and we may incur severance and other related costs.</w:t>
      </w:r>
    </w:p>
    <w:p>
      <w:pPr>
        <w:spacing w:after="0" w:line="7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If we experience excessive unanticipated inefficiencies or incremental costs in connection with the Workforce Reduction, we may be unable to meaningfully realize cost savings and we may incur expenses in excess of what we anticipate. If we are unable to realize the anticipated benefits from the Workforce Reduction and our other cost-saving measures, or if we experience significant adverse consequences from these measures, it could prevent us from meeting our strategic objectives and could adversely impact our results of operations and financial condition.</w:t>
      </w:r>
    </w:p>
    <w:p>
      <w:pPr>
        <w:spacing w:after="0" w:line="176"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b w:val="1"/>
          <w:bCs w:val="1"/>
          <w:i w:val="1"/>
          <w:iCs w:val="1"/>
          <w:color w:val="231F20"/>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spacing w:after="0" w:line="4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the near- and long-term in connection with our ongoing activities, particularly as we initiate and conduct clinical trials of, and seek marketing approval for, our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EMA or other regulatory agencies to perform clinical trials or preclinical studies in addition to those that we currently anticipate. Other unanticipated costs may also arise. Because the design and outcome of our planned preclinical studies and clinical trials are highly uncertain, we cannot reasonably estimate the actual amount of resources and funding that will be necessary to successfully complete the development and commercialization of any product candidate we develop. We also expect to incur costs associated with operating as a public company. Accordingly, we will need to obtain substantial additional funding in order to continue our operations.</w:t>
      </w:r>
    </w:p>
    <w:p>
      <w:pPr>
        <w:spacing w:after="0" w:line="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As of September 30, 2024, we had $79.5 million in cash, cash equivalents and investments in marketable securities.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preclinical development programs, platforms, manufacturing activities, ongoing or planned clinical trials or future commercialization efforts.</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maintaining certain leverage ratios, making acquisitions, engaging in acquisition, merger or collaboration transactions, selling or licensing our assets, making capital expenditures, redeeming our stock, making certain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231F20"/>
        </w:rPr>
        <w:t>investments, declaring dividends or encumbering our assets to secure future indebtedness. Such restrictions, including those in our Loan Agreement, could adversely impact our ability to conduct our operations and execute our business plan.</w:t>
      </w:r>
    </w:p>
    <w:p>
      <w:pPr>
        <w:spacing w:after="0" w:line="54"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231F20"/>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If we are unable to raise additional funds through equity or debt financings, we may be required to delay, limit, reduce or terminate our product development or future commercialization efforts or grant rights to develop and market product candidates that we would otherwise prefer to develop and market ourselves.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Agreement requires us to comply with specified operating covenants and places restrictions on our operating and financial flexibility.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the filing date of this periodic report, under our Loan Agreement, we have the right to draw down $20.0 million at our discretion, up to an additional $5.0 million, subject to specified conditions, and up to an additional $20.0 million may be made available to us at the lender’s sole discretion. Our ability to draw down two tranche commitments totaling $5.0 million in the aggregate is subject to our achievement, as determined by SVB in its discretion, of certain clinical milestones and the receipt of specified proceeds from equity financings and other qualified fundings. Our ability to draw down an additional tranche of $20.0 million is subject to agreement on the terms and conditions thereof and SVB’s sole discretion. As security for our obligations under the Loan Agreement, we granted SVB a first priority security interest on substantially all of our assets (other than intellectual property), subject to certain exceptions. We intend to satisfy our future debt service obligations with our existing cash and cash equivalents. However, we may not have sufficient funds or may be unable to arrange for additional financing to pay the amounts due under our outstanding debt. Funds from external sources may not be available on acceptable terms, if at all.</w:t>
      </w:r>
    </w:p>
    <w:p>
      <w:pPr>
        <w:spacing w:after="0" w:line="80"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The Loan Agreement contains customary representations and warranties, events of default and affirmative and negative covenants, including covenants that limit or restrict our ability to, among other things, dispose of assets, make changes to our business, merge or consolidate, incur additional indebtedness, incur additional liens, pay dividends or other distributions or repurchase equity, make investments, and enter into certain transactions with affiliates, in each case subject to certain exceptions. These restrictive covenants could limit our flexibility in operating our business and our ability to pursue business opportunities that we or our stockholders may consider beneficial. In addition, a failure to comply with the conditions of our Loan Agreement, including a breach of any covenant, could limit our ability to draw upon available tranches or result in an event of default and an acceleration of any outstanding loans thereunder.</w:t>
      </w:r>
    </w:p>
    <w:p>
      <w:pPr>
        <w:spacing w:after="0" w:line="8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the event of an acceleration of amounts due under our Loan Agreement as a result of an event of default, including upon the occurrence of an event or circumstance that could be expected to have a material adverse effect on our business, operations, properties, assets or financial condition or a failure to pay any principal or interest due, we may not have sufficient funds or may be unable to arrange for additional financing to repay our indebtedness or to make any accelerated payments, and SVB could seek to enforce security interests in the collateral securing such indebtedness. Even if we are able to repay such accelerated debt amount under the Loan Agreement, the repayment of these sums may significantly reduce our working capital and impair our ability to operate as planned. As such, any declaration by SVB of an event of default could significantly harm our business and prospects and could cause the price of our common stock to decline. Further, if we are liquidated, SVB’s rights to repayment under the Loan Agreement would be senior to the rights of the holders of our common stock to receive any proceeds from the liquidation.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utilize our net operating loss carryforwards and certain other tax attributes to offset future taxable income may be limited.</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231F20"/>
        </w:rPr>
        <w:t>Our net operating loss (NOL) carryforwards may be unavailable to offset future taxable income because of restrictions on their use under U.S. tax law. In addition, under Sections 382 and 383 of the Internal Revenue Code of 1986, as amended,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post-change taxable income may be limited. Similar rules may apply under state tax laws. We have experienced such ownership changes in the past, and we may experience ownership changes in the future as a result of subsequent shifts in our stock ownership, some of which are outside our control. In addition, the use of our NOLs and other tax attributes may be subject to other limitations under applicable law. For example, California has recently enacted a temporary suspension on the use of state NOLs in taxable years beginning in 2024, 2025 and 2026, which would adversely affect our company if we earn taxable income in the impacted tax years. Consequently, our ability to use our NOLs and certain other tax attributes may be limited.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the Discovery, Development, Manufacturing and Commercialization of Our Product Candidates</w:t>
      </w:r>
    </w:p>
    <w:p>
      <w:pPr>
        <w:spacing w:after="0" w:line="11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6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231F20"/>
        </w:rPr>
        <w:t>Before we are able to generate any revenue from product sales, each of our programs and product candidates will require additional preclinical and/or clinical development, expansion of manufacturing capabilities and expertise, regulatory approval, building a commercial organization or successfully outsourcing commercialization, substantial investment and significant marketing efforts. Consequently, because of the substantial operational and financial investment required to further develop and commercialize our product candidates, there is a high risk of failure and we may never succeed in developing marketable products.</w:t>
      </w:r>
    </w:p>
    <w:p>
      <w:pPr>
        <w:spacing w:after="0" w:line="7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If we are unable to optimize our manufacturing processes to produce product candidates that meet applicable regulatory standards, do not successfully initiate and complete our clinical trials in a timely manner or fail to achieve favorable results from our trials, we may experience significant delays or be unable to advance our programs. We cannot be certain that our clinical trials will be initiated and completed on time, if at all, or whether our planned clinical strategy will be acceptable to the FDA or comparable foreign regulatory authorities. Furthermore, any changes to our development programs may cause our product candidates to perform differently and affect the results of planned clinical trials, which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There is a high failure rate for biopharmaceutical products proceeding through clinical trials. It is not uncommon for product candidates to exhibit unforeseen safety issues or inadequate efficacy when tested in humans despite promising results in preclinical animal models or earlier clinical studies. In addition, a number of companies in the pharmaceutical and biotechnology industries have suffered significant setbacks in later stage clinical trials even after achieving promising results in earlier stage clinical trials and we may experience the same. We may also encounter regulatory delays or rejections as a result of many factors, including varying interpretations of data or changes in regulatory policy during the period of product development.</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Because of the early stage of development of our programs, our ability to eventually generate significant revenues from our product candidates, which we do not expect will occur for several years, if ever, will depend on a number of factors, including those described in the Risk Factor entitled “</w:t>
      </w:r>
      <w:r>
        <w:rPr>
          <w:rFonts w:ascii="Times New Roman" w:cs="Times New Roman" w:eastAsia="Times New Roman" w:hAnsi="Times New Roman"/>
          <w:sz w:val="18"/>
          <w:szCs w:val="18"/>
          <w:i w:val="1"/>
          <w:iCs w:val="1"/>
          <w:color w:val="231F20"/>
        </w:rPr>
        <w:t>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ability to generate revenue and achieve profitability depends significantly on our ability to achieve several objectives relating to the discovery, development and commercialization of our product candidates, if approved</w:t>
      </w:r>
      <w:r>
        <w:rPr>
          <w:rFonts w:ascii="Times New Roman" w:cs="Times New Roman" w:eastAsia="Times New Roman" w:hAnsi="Times New Roman"/>
          <w:sz w:val="18"/>
          <w:szCs w:val="18"/>
          <w:color w:val="231F20"/>
        </w:rPr>
        <w:t>.”</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231F20"/>
        </w:rPr>
        <w:t>We do not have control over many of these factors, including certain aspects of the manufacturing process, preclinical and clinical development, the regulatory review process and potential threats to our intellectual property rights. If we are not successful with respect to one or more of these factors, we could experience significant delays or an inability to successfully commercialize our product candidates, which would materially harm our business.</w:t>
      </w:r>
    </w:p>
    <w:p>
      <w:pPr>
        <w:spacing w:after="0" w:line="68"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231F20"/>
        </w:rPr>
        <w:t>To become and remain profitable, we must develop, obtain approval for and eventually commercialize product candidates that generate significant revenue. We do not expect to receive approval of any product candidates for many years and may never succeed in these activities. Even if we obtain approval and begin commercializing one or more of our product candidates, we may never generate revenue that is significant enough to achieve profitability, as we will continue to incur substantial research and development, manufacturing and other expenditures to develop and market additional product candidates. Even if we successfully discover and advance product candidates into clinical development, their success will be subject to all of the clinical, regulatory and commercial risks described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31F20"/>
        </w:rPr>
        <w:t>elsewhere in this “Risk Factors” section. Accordingly, we cannot assure you that we will ever be able to discover, develop, obtain regulatory approval of, manufacture, commercialize or generate significant revenue from any product candidates.</w:t>
      </w:r>
    </w:p>
    <w:p>
      <w:pPr>
        <w:spacing w:after="0" w:line="158"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231F20"/>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spacing w:after="0" w:line="7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Within the broader genetic medicine field, very few therapeutic products, including those that utilize AAV-mediated gene transfer, have received marketing authorization from the FDA, EMA or comparable foreign regulatory authorities. No AAV-based gene therapies have yet been approved for the heart, much less therapies for the heart using novel capsids or promoters or delivery methods. It is therefore difficult to determine how long it will take, how much it will cost, or how likely it will be to obtain regulatory approvals for our product candidates in the U.S., EU or other jurisdictions.</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The regulatory requirements that will govern any novel gene therapy product candidate we develop are not entirely clear, have changed over time and are subject to further change. Even with respect to more established products that fit into the categories of gene therapies or cell therapies, the regulatory landscape is still developing.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or preclude regulatory approval of our product candidates. Moreover, there is substantial overlap in those responsible for regulation of existing gene therapy products and cell therapy products. For example, in the U.S.,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Our product candidates will need to meet safety and efficacy standards applicable to any new biologic under the regulatory framework administered by the FDA. In addition to FDA oversight and oversight by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clinical study sites receive NIH funding and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The same applies in the European Union (EU). The EMA’s Committee for Advanced Therapies (CAT) is responsible for assessing the quality, safety, and efficacy of advanced-therapy medicinal products. Advanced-therapy medicinal products include gene therapy medicines, somatic-cell therapy medicines and tissue- engineered medicines. The role of the CAT is to prepare a draft opinion on an application for marketing authorization for a gene therapy medicinal candidate that is submitted to the EMA. In the EU,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in the EU may be applied to any gene therapy product candidate we may develop, but that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remains uncertain at this point. Furthermore, approvals by the EMA may not be indicative of what the FDA may require for approval.</w:t>
      </w:r>
    </w:p>
    <w:p>
      <w:pPr>
        <w:spacing w:after="0" w:line="11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231F20"/>
        </w:rPr>
        <w:t>Delay or failure to obtain, or unexpected costs in obtaining, the regulatory approvals necessary to bring a potential gene therapy product to market could decrease our ability to generate sufficient product revenue and our business, financial condition, results of operations and prospects could be materially harmed.</w:t>
      </w:r>
    </w:p>
    <w:p>
      <w:pPr>
        <w:spacing w:after="0" w:line="6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Adverse developments in preclinical studies or clinical trials conducted by others in the field of gene therapy and gene regulation products may cause the FDA, EMA, and other regulatory bodies to revise the requirements for the conduct of the clinical trials and approval of our product candidates or limit the use of products utilizing gene regulation technologies, either of which could harm our business. For example, the FDA has imposed clinical holds on various clinical trials of gene therapy product candidates being developed by other companies. In addition, the clinical trial requirements of the FDA,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our product candidates, or lead to significant post-approval limitations or restrictions. As we advance our research programs and develop our product candidates, we will be required to consult with these regulatory and advisory groups and to comply with applicable guidelines. If we fail to do so, we may be required to delay or discontinue development of our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product candidates in a timely manner, if at all.</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mechanisms of action of our product candidates are unproven, and we do not know whether we will be able to develop any drug of commercial value.</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see for our compounds in preclinical models may not be replicated in subsequent preclinical studies or translate into similar results in humans in clinical trials, and results of early clinical trials in humans may not be predictive of the results of larger clinical trials or post-marketing studies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8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231F20"/>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spacing w:after="0" w:line="18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Preclinical and </w:t>
      </w:r>
      <w:r>
        <w:rPr>
          <w:rFonts w:ascii="Times New Roman" w:cs="Times New Roman" w:eastAsia="Times New Roman" w:hAnsi="Times New Roman"/>
          <w:sz w:val="18"/>
          <w:szCs w:val="18"/>
          <w:color w:val="231F20"/>
        </w:rPr>
        <w:t>clinical testing is expensive, difficult to design and implement, can take many years to complete and its ultimate outcome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uncertain. We cannot guarantee that any of our preclinical studies or clinical trials will be initiated, conducted or completed on schedule or as planned, or at all. </w:t>
      </w:r>
      <w:r>
        <w:rPr>
          <w:rFonts w:ascii="Times New Roman" w:cs="Times New Roman" w:eastAsia="Times New Roman" w:hAnsi="Times New Roman"/>
          <w:sz w:val="18"/>
          <w:szCs w:val="18"/>
          <w:color w:val="000000"/>
        </w:rPr>
        <w:t>Failure can occur at any stage of testing.</w:t>
      </w:r>
      <w:r>
        <w:rPr>
          <w:rFonts w:ascii="Times New Roman" w:cs="Times New Roman" w:eastAsia="Times New Roman" w:hAnsi="Times New Roman"/>
          <w:sz w:val="18"/>
          <w:szCs w:val="18"/>
          <w:color w:val="231F20"/>
        </w:rPr>
        <w:t xml:space="preserve"> Such failure may result from a multitude of factors, including, among other things, flaws in study design, dose selection issues, placebo effects, patient enrollment criteria, novel assay design and failure to demonstrate favorable safety or efficacy traits, which could delay or prevent the submission of an IND or CTA, initiation of a clinical trial, receipt of marketing approval or our ability to commercialize our product candidates, or require us to suspended or terminate further development of our product candidates. Moreover, the outcome of preclinical studies 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 we cannot assure you that any preclinical studies, clinical trials or post-marketing studies that we conduct will demonstrate consistent or adequate efficacy and safety to support marketing approval.</w:t>
      </w:r>
    </w:p>
    <w:p>
      <w:pPr>
        <w:spacing w:after="0" w:line="86" w:lineRule="exact"/>
        <w:rPr>
          <w:sz w:val="20"/>
          <w:szCs w:val="20"/>
          <w:color w:val="auto"/>
        </w:rPr>
      </w:pPr>
    </w:p>
    <w:p>
      <w:pPr>
        <w:ind w:right="100" w:firstLine="509"/>
        <w:spacing w:after="0" w:line="273" w:lineRule="auto"/>
        <w:rPr>
          <w:sz w:val="20"/>
          <w:szCs w:val="20"/>
          <w:color w:val="auto"/>
        </w:rPr>
      </w:pPr>
      <w:r>
        <w:rPr>
          <w:rFonts w:ascii="Times New Roman" w:cs="Times New Roman" w:eastAsia="Times New Roman" w:hAnsi="Times New Roman"/>
          <w:sz w:val="17"/>
          <w:szCs w:val="17"/>
          <w:color w:val="231F20"/>
        </w:rPr>
        <w:t>Further, FDA and other regulatory authorities may implement new policies and regulations on clinical trials. For example, the EU Clinical Trials Regulation (CTR), which repealed the EU Clinical Trials Directive, became applicable on January 31, 2022, and provided a three-year transition period. The CTR streamlined the processes for applying for authorization and supervision of clinical trials in the EU. Any clinical trial we initiate in the EU in the future will become subject to the provisions of the CTR. Trials we initiate in the United Kingdom are also subject to regulatory requirements and policies of the MHRA. Compliance with the CTR and/or MHRA requirements by us, our collaborators and third-party service providers, such as contract research organizations, may increase our clinical trial costs and impact the timeline of our development plans. If we are slow or unable to adapt to changes in clinical trial requirements or the adoption of new requirements or policies governing clinical trials, our development plans may be negatively impacted.</w:t>
      </w:r>
    </w:p>
    <w:p>
      <w:pPr>
        <w:spacing w:after="0" w:line="6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FDA or comparable regulatory authorities to require additional testing before approving any of our product candidates.</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We may experience numerous unforeseen events during, or as a result of, preclinical studies, clinical trials or post-marketing studies that could delay or prevent receipt of marketing approval or our ability to commercialize our product candidates, including:</w:t>
      </w:r>
    </w:p>
    <w:p>
      <w:pPr>
        <w:spacing w:after="0" w:line="52"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inability to generate sufficient preclinical, toxicology, or other </w:t>
      </w:r>
      <w:r>
        <w:rPr>
          <w:rFonts w:ascii="Times New Roman" w:cs="Times New Roman" w:eastAsia="Times New Roman" w:hAnsi="Times New Roman"/>
          <w:sz w:val="18"/>
          <w:szCs w:val="18"/>
          <w:i w:val="1"/>
          <w:iCs w:val="1"/>
          <w:color w:val="231F20"/>
        </w:rPr>
        <w:t>in vivo</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i w:val="1"/>
          <w:iCs w:val="1"/>
          <w:color w:val="231F20"/>
        </w:rPr>
        <w:t>in vitro</w:t>
      </w:r>
      <w:r>
        <w:rPr>
          <w:rFonts w:ascii="Times New Roman" w:cs="Times New Roman" w:eastAsia="Times New Roman" w:hAnsi="Times New Roman"/>
          <w:sz w:val="18"/>
          <w:szCs w:val="18"/>
          <w:color w:val="231F20"/>
        </w:rPr>
        <w:t xml:space="preserve"> data to support the initiation of clinical trials;</w:t>
      </w:r>
    </w:p>
    <w:p>
      <w:pPr>
        <w:spacing w:after="0" w:line="119"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sufficiently developing, characterizing or controlling a manufacturing process suitable for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receipt of feedback from regulatory authorities that requires us to modify the design of our preclinical or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preclinical study or clinical trial observations or results that require us to modify the design of our clinical trials;</w:t>
      </w:r>
    </w:p>
    <w:p>
      <w:pPr>
        <w:spacing w:after="0" w:line="117"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negative or inconclusive preclinical study or clinical trial results that may require us to conduct additional preclinical studies or clinical trials or abandon certain research and/or drug development programs;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extended IRB, IBC and/or EC review process, or inability to obtain approval from one or more of these committees;</w:t>
      </w:r>
    </w:p>
    <w:p>
      <w:pPr>
        <w:spacing w:after="0" w:line="117" w:lineRule="exact"/>
        <w:rPr>
          <w:rFonts w:ascii="Times New Roman" w:cs="Times New Roman" w:eastAsia="Times New Roman" w:hAnsi="Times New Roman"/>
          <w:sz w:val="18"/>
          <w:szCs w:val="18"/>
          <w:color w:val="231F20"/>
        </w:rPr>
      </w:pPr>
    </w:p>
    <w:p>
      <w:pPr>
        <w:ind w:left="1020" w:right="520" w:hanging="503"/>
        <w:spacing w:after="0" w:line="266"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patients required for clinical trials being larger than anticipated, enrollment in these clinical trials being slower than anticipated, participants dropping out of these clinical trials at a higher rate than anticipated, or more patients failing to meet eligibility criteria than anticipated;</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failure or delay in reaching an agreement with CROs and clinical trial sites;</w:t>
      </w:r>
    </w:p>
    <w:p>
      <w:pPr>
        <w:spacing w:after="0" w:line="117" w:lineRule="exact"/>
        <w:rPr>
          <w:rFonts w:ascii="Times New Roman" w:cs="Times New Roman" w:eastAsia="Times New Roman" w:hAnsi="Times New Roman"/>
          <w:sz w:val="18"/>
          <w:szCs w:val="18"/>
          <w:color w:val="231F20"/>
        </w:rPr>
      </w:pPr>
    </w:p>
    <w:p>
      <w:pPr>
        <w:ind w:left="1020" w:right="240" w:hanging="503"/>
        <w:spacing w:after="0" w:line="266"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suspension or termination of our clinical trials, as a result of </w:t>
      </w:r>
      <w:r>
        <w:rPr>
          <w:rFonts w:ascii="Times New Roman" w:cs="Times New Roman" w:eastAsia="Times New Roman" w:hAnsi="Times New Roman"/>
          <w:sz w:val="18"/>
          <w:szCs w:val="18"/>
          <w:color w:val="000000"/>
        </w:rPr>
        <w:t>a clinical hold by regulatory authorities or a voluntary pause,</w:t>
      </w:r>
      <w:r>
        <w:rPr>
          <w:rFonts w:ascii="Times New Roman" w:cs="Times New Roman" w:eastAsia="Times New Roman" w:hAnsi="Times New Roman"/>
          <w:sz w:val="18"/>
          <w:szCs w:val="18"/>
          <w:color w:val="231F20"/>
        </w:rPr>
        <w:t xml:space="preserve"> for various reasons, including a finding that our product candidates have undesirable side effects or other unfavorable or unexpected characteristics or risks or non-compliance with regulatory requirements;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to clinical trial protocol;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clinical sites deviating from trial protocol or dropping out of a trial;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of preclinical studies or clinical trials being greater than anticipated;</w:t>
      </w:r>
    </w:p>
    <w:p>
      <w:pPr>
        <w:spacing w:after="0" w:line="117" w:lineRule="exact"/>
        <w:rPr>
          <w:rFonts w:ascii="Times New Roman" w:cs="Times New Roman" w:eastAsia="Times New Roman" w:hAnsi="Times New Roman"/>
          <w:sz w:val="18"/>
          <w:szCs w:val="18"/>
          <w:color w:val="231F20"/>
        </w:rPr>
      </w:pPr>
    </w:p>
    <w:p>
      <w:pPr>
        <w:ind w:left="1020" w:right="680" w:hanging="503"/>
        <w:spacing w:after="0" w:line="282"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supply or quality of our product candidates or other materials necessary to conduct clinical trials of our product candidates being insufficient or inadequate or slower than anticipated;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subjects experiencing serious, severe, unexpected or otherwise important drug-related or study-related adverse effects;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selection of clinical end points that require prolonged periods of clinical observation or analysis of the resulting data;</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inaccurate clinical data entry or reporting by clinical sites;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variability of efficacy assessments;</w:t>
      </w:r>
    </w:p>
    <w:p>
      <w:pPr>
        <w:spacing w:after="0" w:line="117" w:lineRule="exact"/>
        <w:rPr>
          <w:rFonts w:ascii="Times New Roman" w:cs="Times New Roman" w:eastAsia="Times New Roman" w:hAnsi="Times New Roman"/>
          <w:sz w:val="18"/>
          <w:szCs w:val="18"/>
          <w:color w:val="231F20"/>
        </w:rPr>
      </w:pPr>
    </w:p>
    <w:p>
      <w:pPr>
        <w:ind w:left="1020" w:right="160" w:hanging="503"/>
        <w:spacing w:after="0" w:line="266"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facility manufacturing our product candidates or any of their components being ordered by the FDA or comparable foreign regulatory authorities to temporarily or permanently shut down due to violations of cGMPs, regulations or other applicable requirements, or infections or cross-contaminations of product candidates in the manufacturing process;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changes to our manufacturing process that may be necessary or desired;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86" w:lineRule="exact"/>
        <w:rPr>
          <w:sz w:val="20"/>
          <w:szCs w:val="20"/>
          <w:color w:val="auto"/>
        </w:rPr>
      </w:pPr>
    </w:p>
    <w:p>
      <w:pPr>
        <w:ind w:left="1020" w:right="28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third-party contractors not performing data collection or analysis in a timely or accurate manner;</w:t>
      </w:r>
    </w:p>
    <w:p>
      <w:pPr>
        <w:spacing w:after="0" w:line="117" w:lineRule="exact"/>
        <w:rPr>
          <w:rFonts w:ascii="Times New Roman" w:cs="Times New Roman" w:eastAsia="Times New Roman" w:hAnsi="Times New Roman"/>
          <w:sz w:val="18"/>
          <w:szCs w:val="18"/>
          <w:color w:val="231F20"/>
        </w:rPr>
      </w:pPr>
    </w:p>
    <w:p>
      <w:pPr>
        <w:jc w:val="both"/>
        <w:ind w:left="1020" w:right="20" w:hanging="503"/>
        <w:spacing w:after="0" w:line="266"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regulators revising the requirements for approving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unsuccessful post-marketing study or failure to complete such a study;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absence in some countries of established groups with sufficient regulatory expertise for review of AAV gene therapy protocols; and</w:t>
      </w:r>
    </w:p>
    <w:p>
      <w:pPr>
        <w:spacing w:after="0" w:line="117" w:lineRule="exact"/>
        <w:rPr>
          <w:rFonts w:ascii="Times New Roman" w:cs="Times New Roman" w:eastAsia="Times New Roman" w:hAnsi="Times New Roman"/>
          <w:sz w:val="18"/>
          <w:szCs w:val="18"/>
          <w:color w:val="231F20"/>
        </w:rPr>
      </w:pPr>
    </w:p>
    <w:p>
      <w:pPr>
        <w:ind w:left="1020" w:right="14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burden of complying with a variety of foreign laws, medical standards and regulatory requirements, including the regulation of pharmaceutical and biotechnology products and treatment.</w:t>
      </w:r>
    </w:p>
    <w:p>
      <w:pPr>
        <w:spacing w:after="0" w:line="5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more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product candidate, as compared to the comparable product candidate intended for adult patient populations, make manufacturing changes, modify route of administration, and conduct additional clinical trials, such as bridging studies and additional safety studies before we can commence our clinical trials in pediatric populations. The FDA or other health authorities may require us to complete studies in adults prior to initiating testing in children. Any delays in our planned clinical development activities for pediatric patients could have an adverse effect on our business operations.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If we are required to conduct additional preclinical studies or clinical trials or other testing of our product candidates beyond those that we currently contemplate, if we are unable to successfully complete preclinical studies or clinical trials of our product candidates or other testing in a timely manner and if the results of these studies, trials or tests are not positive or are only modestly positive or if there are safety concerns, we may incur unplanned costs and be delayed in sub</w:t>
      </w:r>
      <w:r>
        <w:rPr>
          <w:rFonts w:ascii="Times New Roman" w:cs="Times New Roman" w:eastAsia="Times New Roman" w:hAnsi="Times New Roman"/>
          <w:sz w:val="18"/>
          <w:szCs w:val="18"/>
          <w:color w:val="000000"/>
        </w:rPr>
        <w:t>mitting an IND, initiating clinical trials or seek</w:t>
      </w:r>
      <w:r>
        <w:rPr>
          <w:rFonts w:ascii="Times New Roman" w:cs="Times New Roman" w:eastAsia="Times New Roman" w:hAnsi="Times New Roman"/>
          <w:sz w:val="18"/>
          <w:szCs w:val="18"/>
          <w:color w:val="231F20"/>
        </w:rPr>
        <w:t>ing and obtaining marketing approval. We may also decide to change the design or protocol of one or more of our planned clinical trials, which could result in increased costs and expenses and/or delays. Any delays in initiating or completing our preclinical studies or clinical trials will increase our costs, slow down our development and approval process and jeopardize our ability to commence product sales and generate revenues, including by shortening any period during which we may have the exclusive right to commercialize our product candidates and permitting our competitors to bring products to market before we do. If we receive approval, it is possible that we may receive limited or restrictive marketing approval, be subject to additional post-marketing testing requirements or have the drug removed from the market after obtaining marketing approval.</w:t>
      </w:r>
    </w:p>
    <w:p>
      <w:pPr>
        <w:spacing w:after="0" w:line="8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231F20"/>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231F20"/>
        </w:rPr>
        <w:t>foreign regulatory authority, as the case may be, and may ultimately lead to the denial of marketing approval of one or more of our product candidates, which may harm our business, financial condition and prospects significantly.</w:t>
      </w:r>
    </w:p>
    <w:p>
      <w:pPr>
        <w:spacing w:after="0" w:line="15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pacing w:after="0" w:line="72"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We are developing novel therapies for the treatment of heart disease. As a result, there is uncertainty as to the safety profile of product candidates we may develop. Patients in our clinical trials have suffered and may continue to suffer adverse events, including serious adverse events or other side effects, including those not observed in our preclinical studies or previous clinical trials. Patients treated with our product candidates may also be undergoing other therapies or procedures which can cause side effects or adverse events that are unrelated to our product candidates but may still impact the success of our clinical trials. The inclusion of critically ill patients in our clinical trials may result in deaths or other adverse medical events, either during the course of or after participating in such trials. These events may be due to one or more factors, including, without limitation, other therapies or medications that such patients may be using, the drug product formulation of our product candidates, complications arising from protocol regimens, the method of delivery of our product candidates or simply due to the gravity of such patients’ illnesses. In some cases, it may not be clear if an adverse event is due to the product candidate, another therapy, the underlying disease, or another cause, and causality may be incorrectly attributed to the product candidate</w:t>
      </w:r>
      <w:r>
        <w:rPr>
          <w:rFonts w:ascii="Times New Roman" w:cs="Times New Roman" w:eastAsia="Times New Roman" w:hAnsi="Times New Roman"/>
          <w:sz w:val="17"/>
          <w:szCs w:val="17"/>
          <w:color w:val="231F20"/>
        </w:rPr>
        <w:t>.</w:t>
      </w:r>
    </w:p>
    <w:p>
      <w:pPr>
        <w:spacing w:after="0" w:line="65"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231F20"/>
        </w:rPr>
        <w:t>Serious adverse events or other side effects observed in any of our clinical trials, or similar trials by other sponsors, may result in difficulty recruiting patients to the clinical trials, cause patients to drop out of our trials, or require that we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or that the expected benefit does not justify the risk. Some potential therapeutics developed in the biotechnology industry that initially showed therapeutic promise in early-stage trials have later been found to cause side effects that prevented their further development. There is no guarantee that our product candidates will not have side effects similar to those seen in other gene therapies or that we will be able to prevent such side effects from escalating to an unsafe level for our patients. Even if the side effects do not preclude the product candidate from obtaining or maintaining marketing approval, undesirable side effects may inhibit market acceptance due to its tolerability versus other therapies, result in marketing approval with restrictive label warnings or for limited patient populations, or result in potential product liability claims.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No regulatory agency has made any determination that any of our product candidates or discovery programs is safe or effective for use by the general public for any indication. We cannot predict whether our product candidates will cause toxicities in humans that would preclude regulatory approval, or if approved, lead to the revocation of regulatory approval based on preclinical studies or early-stage clinical trials.</w:t>
      </w:r>
    </w:p>
    <w:p>
      <w:pPr>
        <w:spacing w:after="0" w:line="1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spacing w:after="0" w:line="51"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231F20"/>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safety, which could delay regulatory approval, limit the size of the patient population to which we may market our product candidates, or prevent regulatory approval.</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 and success in one trial does not ensure success in the next.</w:t>
      </w:r>
    </w:p>
    <w:p>
      <w:pPr>
        <w:spacing w:after="0" w:line="8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231F20"/>
        </w:rPr>
        <w:t>We do not know whether any clinical trials we may conduct will demonstrate consistent or adequate efficacy and safety sufficient to obtain approval to market any of our product candidates.</w:t>
      </w:r>
    </w:p>
    <w:p>
      <w:pPr>
        <w:spacing w:after="0" w:line="15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experience delays or difficulties in the enrollment and/or maintenance of patients in clinical trials, our regulatory submissions or receipt of necessary marketing approvals could be delayed or prevented.</w:t>
      </w:r>
    </w:p>
    <w:p>
      <w:pPr>
        <w:spacing w:after="0" w:line="5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231F20"/>
        </w:rPr>
        <w:t>We may not be able to initiate or continue clinical trials for our product candidates if we are unable to locate and enroll a sufficient number of eligible patients to participate in these trials to such trial’s conclusion. Patient enrollment and retention are significant factors in the timing of clinical trials and our ability to enroll eligible patients may be limited or slower than we anticipate.</w:t>
      </w:r>
    </w:p>
    <w:p>
      <w:pPr>
        <w:spacing w:after="0" w:line="68"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231F20"/>
        </w:rPr>
        <w:t>We are developing product candidates for the treatment of heart disease, including for certain indications, such as rare genetic diseases, that have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 Patients also have the right to withdraw from our clinical trials for any reason. Additionally, the FDA, EMA or other comparable foreign regulatory authorities may require long-term follow-up assessments for a certain number of patients, which could delay marketing approval.</w:t>
      </w:r>
    </w:p>
    <w:p>
      <w:pPr>
        <w:spacing w:after="0" w:line="8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231F20"/>
        </w:rPr>
        <w:t>We expect patient enrollment to be affected because our competitors have ongoing clinical trials for programs that are under development for the same indications as our product candidates, and patients who would otherwise be eligible for our clinical trials could instead enroll in clinical trials of our competitors’ programs. Patient enrollment for our clinical trials has been and may continue to be affected by other factors, including:</w:t>
      </w:r>
    </w:p>
    <w:p>
      <w:pPr>
        <w:spacing w:after="0" w:line="68"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size and nature of the patient population;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perceived risks and benefits of novel, unproven approaches;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severity of the disease under investigation;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availability and efficacy of approved drugs for the disease under investigation;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ongoing clinical trials evaluating other product candidates in the same disease under investigation;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 eligibility criteria for the trial in question as defined in the protocol;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perceived risks and benefits of the product candidate under study;</w:t>
      </w:r>
    </w:p>
    <w:p>
      <w:pPr>
        <w:spacing w:after="0" w:line="117" w:lineRule="exact"/>
        <w:rPr>
          <w:rFonts w:ascii="Times New Roman" w:cs="Times New Roman" w:eastAsia="Times New Roman" w:hAnsi="Times New Roman"/>
          <w:sz w:val="18"/>
          <w:szCs w:val="18"/>
          <w:color w:val="231F20"/>
        </w:rPr>
      </w:pPr>
    </w:p>
    <w:p>
      <w:pPr>
        <w:jc w:val="both"/>
        <w:ind w:left="1020" w:right="580" w:hanging="503"/>
        <w:spacing w:after="0" w:line="266"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 referral practices of physicians;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challenges associated with recruiting eligible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to monitor patients adequately during and after treatment;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6"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activities of key opinion leaders (KOLs) and patient advocacy groups;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proximity and availability of clinical trial sites for prospective patients and the ability of patients to travel to these sites;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burden of the study protocol on patients, including conflicts with their work, family and personal activities; and</w:t>
      </w:r>
    </w:p>
    <w:p>
      <w:pPr>
        <w:spacing w:after="0" w:line="117" w:lineRule="exact"/>
        <w:rPr>
          <w:rFonts w:ascii="Times New Roman" w:cs="Times New Roman" w:eastAsia="Times New Roman" w:hAnsi="Times New Roman"/>
          <w:sz w:val="18"/>
          <w:szCs w:val="18"/>
          <w:color w:val="231F20"/>
        </w:rPr>
      </w:pPr>
    </w:p>
    <w:p>
      <w:pPr>
        <w:ind w:left="1020" w:right="260" w:hanging="503"/>
        <w:spacing w:after="0" w:line="282" w:lineRule="auto"/>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risk that patients enrolled in clinical trials will drop out of the trials before completion or, because they may have an advanced disease, will not survive the full terms of the clinical trials.</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231F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17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2"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231F20"/>
        </w:rPr>
        <w:t xml:space="preserve">Due to the significant resources required for the development of product candidates, in particular our product candidates in clinical trials, we must decide which programs, product candidates and indications to pursue and advance the amount of resources to allocate to each. For example, in connection with our cost containment measures, including </w:t>
      </w:r>
      <w:r>
        <w:rPr>
          <w:rFonts w:ascii="Times New Roman" w:cs="Times New Roman" w:eastAsia="Times New Roman" w:hAnsi="Times New Roman"/>
          <w:sz w:val="18"/>
          <w:szCs w:val="18"/>
          <w:color w:val="000000"/>
        </w:rPr>
        <w:t>the Workforce Reduction, we are prioritizing the ongoing clinical development of our lead gene therapy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programs. </w:t>
      </w:r>
      <w:r>
        <w:rPr>
          <w:rFonts w:ascii="Times New Roman" w:cs="Times New Roman" w:eastAsia="Times New Roman" w:hAnsi="Times New Roman"/>
          <w:sz w:val="18"/>
          <w:szCs w:val="18"/>
          <w:color w:val="231F20"/>
        </w:rPr>
        <w:t>Our decisions concerning the allocation of research, development, collaboration, management and financial resources toward particular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programs, product candidates or therapeutic areas may not lead to the development of any viable commercial product and may result in the diversion of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determinations regarding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51"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231F20"/>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spacing w:after="0" w:line="60"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231F20"/>
        </w:rPr>
        <w:t>We have competitors both in the U.S. and internationally, including major multinational pharmaceutical companies, established biotechnology companies, specialty pharmaceutical companies, emerging and start-up companies, universities and other research institutions. We face competition in recruiting personnel, establishing clinical trial sites, enrolling subjects for clinical trials and in identifying and in-licensing new product candidates.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We expect to face competition from existing products and products in development for each of our programs and anticipate substantial direct competition from a variety of competitors.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8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Due to the nature of gene therapy products, use of a competitor gene therapy product by a prospective patient may preclude use of our gene therapy product candidate at a later point in time.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19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Interim, topline and preliminary data from our clinical trials that we announce or publish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availability of additional data and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is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Further, others, including regulatory agencies, may not accept or agree with our assumptions, estimates, calculations, conclusions or analyses, may do their own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preliminary or topline data that we report differ from late, final or actual results, or if others,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8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231F20"/>
        </w:rPr>
        <w:t>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15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assure that the process works and the product candidate is made strictly and consistently in compliance with the process.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Problems with the manufacturing process, even minor deviations from the normal process, including during the manufacture of drug substance, drug product filling, labeling, packaging, storage and shipping and quality control and testing, could result in product defects, lot failures, product recalls, product liability claims or insufficient inventory. Additionally, we may encounter problems achieving adequate quantities and quality of clinical-grade materials that meet FDA, or other comparable applicable foreign regulatory authorities’ standards or specifications with consistent and acceptable production yields and costs.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Furthermore, should any of our manufacturing agreements with third parties be terminated for any reason, there are a limited number of manufacturers who would be suitable replacements, and it would take a significant amount of time to transition the manufacturing to a replacement. If we or our third-party manufacturers or suppliers are unable to produce sufficient quantities for preclinical studies 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Due to our limited manufacturing experience, there can be no assurance that we will be able to successfully manufacture product candidates to support our clinical development and commercialization plans.</w:t>
      </w:r>
    </w:p>
    <w:p>
      <w:pPr>
        <w:spacing w:after="0" w:line="5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fully integrated and internalized AAV manufacturing capabilities to support our gene therapy product candidates</w:t>
      </w:r>
      <w:r>
        <w:rPr>
          <w:rFonts w:ascii="Times New Roman" w:cs="Times New Roman" w:eastAsia="Times New Roman" w:hAnsi="Times New Roman"/>
          <w:sz w:val="18"/>
          <w:szCs w:val="18"/>
          <w:color w:val="231F20"/>
        </w:rPr>
        <w:t>. However, to optimize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resources and to utilize extensive third-party experience in small molecule manufacturing, we intend to work with contract development and manufacturing organizations (CDMOs) for our small molecule programs.</w:t>
      </w:r>
    </w:p>
    <w:p>
      <w:pPr>
        <w:spacing w:after="0" w:line="68" w:lineRule="exact"/>
        <w:rPr>
          <w:sz w:val="20"/>
          <w:szCs w:val="20"/>
          <w:color w:val="auto"/>
        </w:rPr>
      </w:pPr>
    </w:p>
    <w:p>
      <w:pPr>
        <w:ind w:right="140" w:firstLine="509"/>
        <w:spacing w:after="0" w:line="289" w:lineRule="auto"/>
        <w:rPr>
          <w:sz w:val="20"/>
          <w:szCs w:val="20"/>
          <w:color w:val="auto"/>
        </w:rPr>
      </w:pPr>
      <w:r>
        <w:rPr>
          <w:rFonts w:ascii="Times New Roman" w:cs="Times New Roman" w:eastAsia="Times New Roman" w:hAnsi="Times New Roman"/>
          <w:sz w:val="17"/>
          <w:szCs w:val="17"/>
          <w:color w:val="231F20"/>
        </w:rPr>
        <w:t>Although some of our employees have experience in the manufacturing of biopharmaceutical products from prior employment at other companies, we as a company have limited experience in manufacturing. Furthermore, maintaining manufacturing operations requires significant resources, management time and capital expenditures, particularly in areas relating to operations, quality, regulatory, facilities and information technology.</w:t>
      </w:r>
    </w:p>
    <w:p>
      <w:pPr>
        <w:spacing w:after="0" w:line="5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We cannot guarantee that our facility will be able to produce sufficient quantities of product candidates needed to support our preclinical studies and ongoing and planned clinical trials. We may face delays or increased costs in the production of clinical supply at our manufacturing facility. We also may encounter problems hiring and retaining the experienced scientific, quality control and manufacturing personnel needed to operate our manufacturing facility and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timelines or result in difficulties in maintaining compliance with applicable regulatory requirements.</w:t>
      </w:r>
    </w:p>
    <w:p>
      <w:pPr>
        <w:spacing w:after="0" w:line="7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231F20"/>
        </w:rPr>
        <w:t>Any delays in the ongoing development of our internal manufacturing capabilities may disrupt or delay the supply of our product candidates if we have not maintained a sufficient back-up supply of such product candidates.</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It may also hamper our ability to further process improvement, maintain quality control, limit our reliance on contract manufacturers and protect our trade secrets and other intellectual property, and could adversely impact the development or commercialization of our product candidates. Moreover, if we were required to change manufacturing facilities during the clinical development process, we may also be required to conduct additional studies, make notifications to regulatory authorities, make additional filings to regulatory authorities, and obtain regulatory authority approval for the new facilities, which approval may be delayed or never received.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9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manufacturing facilities will be subject to significant government regulations and approvals, which are often costly and could result in adverse consequences to our business if we fail to comply with the regulations or maintain the approvals.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We will need to comply with the FDA’s and applicable foreign regulatory authorities’ cGMP requirements for the production of product candidates for clinical trials and, if approved, commercial supply. We will be subject to inspections by the FDA and comparable agencies in other jurisdictions to confirm compliance with applicable regulatory requirements. These requirements include the qualification and validation of our manufacturing equipment and processes. Any failure to follow cGMP or other regulatory requirements or delay, interruption or other issues that arise in the manufacture of our product candidates as a result of a failure of our facilities or the facilities or operations of our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spacing w:after="0" w:line="18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successfully manufacture our product candidates in sufficient quality and quantity, which would delay or prevent us from developing our product candidates and commercializing resulting approved products, if any.</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231F20"/>
        </w:rPr>
        <w:t>To date, our product candidates have been manufactured in quantities adequate for preclinical studies and our Phase 1 clinical trials for our lead product candidates. In order to conduct later-stage clinical trials for a product candidate and for commercialization of the resulting product if that product candidate is approved for sale, we will need to manufacture product candidates in larger quantities.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w:t>
      </w:r>
    </w:p>
    <w:p>
      <w:pPr>
        <w:spacing w:after="0" w:line="7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231F20"/>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81"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231F20"/>
        </w:rPr>
        <w:t>If we are unable to successfully manufacture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spacing w:after="0" w:line="172"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may not achieve adequate market acceptance among physicians, patients, healthcare payors and others in the medical community necessary for commercial success.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Even if our product candidates receive regulatory approval, they may not gain adequate market acceptance among physicians, patients, third-party payors and others in the medical community. If we are unable to demonstrate sufficient safety or efficacy to permit a broader use of our product candidates, we may not generate significant product revenue and we may not become profitable. The degree of market acceptance of any of our approved product candidates will depend on a number of factors, including:</w:t>
      </w:r>
    </w:p>
    <w:p>
      <w:pPr>
        <w:spacing w:after="0" w:line="72" w:lineRule="exact"/>
        <w:rPr>
          <w:sz w:val="20"/>
          <w:szCs w:val="20"/>
          <w:color w:val="auto"/>
        </w:rPr>
      </w:pPr>
    </w:p>
    <w:p>
      <w:pPr>
        <w:ind w:left="5540" w:right="3060" w:hanging="5023"/>
        <w:spacing w:after="0" w:line="783" w:lineRule="auto"/>
        <w:tabs>
          <w:tab w:leader="none" w:pos="1032"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efficacy and safety profile as demonstrated in clinical trials compared to alternative treatments; </w:t>
      </w:r>
      <w:r>
        <w:rPr>
          <w:rFonts w:ascii="Times New Roman" w:cs="Times New Roman" w:eastAsia="Times New Roman" w:hAnsi="Times New Roman"/>
          <w:sz w:val="18"/>
          <w:szCs w:val="18"/>
          <w:color w:val="00000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86"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perceived safety and efficacy profile and ease of use for pediatric patient population if approved for a pediatric indication;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clinical indications for which a product candidate is approved;</w:t>
      </w:r>
    </w:p>
    <w:p>
      <w:pPr>
        <w:spacing w:after="0" w:line="117" w:lineRule="exact"/>
        <w:rPr>
          <w:rFonts w:ascii="Times New Roman" w:cs="Times New Roman" w:eastAsia="Times New Roman" w:hAnsi="Times New Roman"/>
          <w:sz w:val="18"/>
          <w:szCs w:val="18"/>
          <w:color w:val="231F20"/>
        </w:rPr>
      </w:pPr>
    </w:p>
    <w:p>
      <w:pPr>
        <w:jc w:val="both"/>
        <w:ind w:left="1020" w:right="40" w:hanging="503"/>
        <w:spacing w:after="0" w:line="312" w:lineRule="auto"/>
        <w:tabs>
          <w:tab w:leader="none" w:pos="1020" w:val="left"/>
        </w:tabs>
        <w:numPr>
          <w:ilvl w:val="0"/>
          <w:numId w:val="2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31" w:lineRule="exact"/>
        <w:rPr>
          <w:rFonts w:ascii="Times New Roman" w:cs="Times New Roman" w:eastAsia="Times New Roman" w:hAnsi="Times New Roman"/>
          <w:sz w:val="17"/>
          <w:szCs w:val="17"/>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physicians, hospitals, treatment centers and patients considering our product candidates as a safe, pure and effective treatment;</w:t>
      </w:r>
    </w:p>
    <w:p>
      <w:pPr>
        <w:spacing w:after="0" w:line="117" w:lineRule="exact"/>
        <w:rPr>
          <w:rFonts w:ascii="Times New Roman" w:cs="Times New Roman" w:eastAsia="Times New Roman" w:hAnsi="Times New Roman"/>
          <w:sz w:val="18"/>
          <w:szCs w:val="18"/>
          <w:color w:val="231F20"/>
        </w:rPr>
      </w:pPr>
    </w:p>
    <w:p>
      <w:pPr>
        <w:ind w:left="1020" w:right="340" w:hanging="503"/>
        <w:spacing w:after="0" w:line="282" w:lineRule="auto"/>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perceived prevalence and severity of any side effects for our product candidates compared to the prevalence and severity of any side effects for conventional products and other gene therapies;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of treatment in relation to alternative treatments;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relative convenience and ease of administration;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willingness of the target patient population or their caregivers to try new therapies and of physicians to prescribe these therapies;</w:t>
      </w:r>
    </w:p>
    <w:p>
      <w:pPr>
        <w:spacing w:after="0" w:line="117"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size of the relevant pediatric patient population if approved for a pediatric indication, including challenges associated with diagnosing or identifying pediatric populations with the applicable target disease or condition;</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coverage and adequate reimbursement by third-party payors, including government authorities;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patients’ willingness to pay for these therapies in the absence of such coverage and adequate reimbursement;</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effectiveness of sales and marketing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support from KOLs and patient advocacy groups;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unfavorable publicity relating to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approval of other new therapies for the same indications; and</w:t>
      </w:r>
    </w:p>
    <w:p>
      <w:pPr>
        <w:spacing w:after="0" w:line="117" w:lineRule="exact"/>
        <w:rPr>
          <w:rFonts w:ascii="Times New Roman" w:cs="Times New Roman" w:eastAsia="Times New Roman" w:hAnsi="Times New Roman"/>
          <w:sz w:val="18"/>
          <w:szCs w:val="18"/>
          <w:color w:val="231F20"/>
        </w:rPr>
      </w:pPr>
    </w:p>
    <w:p>
      <w:pPr>
        <w:ind w:left="1020" w:right="200" w:hanging="503"/>
        <w:spacing w:after="0" w:line="282" w:lineRule="auto"/>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acceptance and use of genetic testing required to diagnose the disease and identify patients who qualify for treatment with our product candidates.</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231F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Adverse public perception or regulatory scrutiny of gene therapy technology or precision medicine for the treatment of heart diseases may negatively impact the developmental progress or commercial success of product candidates that we develop.</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Gene therapy and precision medicine remain novel technologies. The commercial success of our products, if successfully developed and approved, may be adversely affected by claims that gene therapy or precision medicine is unsafe, ineffective, unethical or immoral. This may lead to unfavorable public perception and the inability of any of our product candidates to gain the acceptance of the public or the medical community. Unfavorable public perceptions may also adversely impact our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6" w:name="page47"/>
    <w:bookmarkEnd w:id="46"/>
    <w:p>
      <w:pPr>
        <w:spacing w:after="0" w:line="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Publicity of any adverse events in, or unfavorable results of, preclinical studies or clinical trials for our product candidates, or with respect to the studies or trials of our competitors or of academic researchers utilizing similar technologies, even if not ultimately attributable to our technology or product candidates, could negatively influence public opinion. Negative public perception about the use of AAV technology in human therapeutics or precision medicine, whether related to our technology or our competitor’s technology, could result in increased governmental regulation, delays in the development and commercialization of product candidates or decreased demand for the resulting products, any of which may seriously harm our business. It could also negatively impact our ability to raise capital or enter into strategic agreements for the development of our product candidates.</w:t>
      </w:r>
    </w:p>
    <w:p>
      <w:pPr>
        <w:spacing w:after="0" w:line="18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82"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231F20"/>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76"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Any product candidates we develop may become subject to unfavorable third-party coverage and reimbursement practices, as well as pricing regulations.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for our gene therapy product candidates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231F20"/>
        </w:rPr>
        <w:t>Sales of any of our product candidates that receive marketing approval will depend substantially, both in the U.S.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available only to limited levels, we may not successfully commercialize any product candidate for which we obtain marketing approval.</w:t>
      </w:r>
    </w:p>
    <w:p>
      <w:pPr>
        <w:spacing w:after="0" w:line="11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There is significant uncertainty related to third-party payor coverage and reimbursement of newly approved products. In the U.S., for example, principal decisions about reimbursement for new products are typically made by the </w:t>
      </w:r>
      <w:r>
        <w:rPr>
          <w:rFonts w:ascii="Times New Roman" w:cs="Times New Roman" w:eastAsia="Times New Roman" w:hAnsi="Times New Roman"/>
          <w:sz w:val="18"/>
          <w:szCs w:val="18"/>
          <w:color w:val="000000"/>
        </w:rPr>
        <w:t>Centers for Medicare &amp; Medicaid Services (</w:t>
      </w:r>
      <w:r>
        <w:rPr>
          <w:rFonts w:ascii="Times New Roman" w:cs="Times New Roman" w:eastAsia="Times New Roman" w:hAnsi="Times New Roman"/>
          <w:sz w:val="18"/>
          <w:szCs w:val="18"/>
          <w:color w:val="231F20"/>
        </w:rPr>
        <w:t>CMS), an agency within the U.S. Department of Health and Human Services.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8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231F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Outside the U.S.,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spacing w:after="0" w:line="8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spacing w:after="0" w:line="6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231F20"/>
        </w:rPr>
        <w:t>Our business exposes us to significant product liability risks inherent in the development, testing, manufacturing and marketing of therapeutic treatments. We have limited product liability insurance. Any insurance we have or may obtain may not provide sufficient coverage against potential liabilities. As clinical trial and product liability insurance becomes increasingly expensive,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 w:name="page49"/>
    <w:bookmarkEnd w:id="48"/>
    <w:p>
      <w:pPr>
        <w:spacing w:after="0" w:line="86"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231F20"/>
        </w:rPr>
        <w:t>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6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231F20"/>
        </w:rPr>
        <w:t>We may be sued if any of our product candidates cause or are perceived to cause injury or are found to be otherwise unsuitable during clinical testing, manufacturing, marketing, or sale post-approval. Any such product liability claims may include allegations of defects in manufacturing, defects in design, a failure to warn of dangers inherent in the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a successful defense would require significant financial and management resources.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Regardless of the merits or eventual outcome, liability claims may result in:</w:t>
      </w:r>
    </w:p>
    <w:p>
      <w:pPr>
        <w:spacing w:after="0" w:line="117"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the development of our product candidates;</w:t>
      </w:r>
    </w:p>
    <w:p>
      <w:pPr>
        <w:spacing w:after="0" w:line="117" w:lineRule="exact"/>
        <w:rPr>
          <w:rFonts w:ascii="Times New Roman" w:cs="Times New Roman" w:eastAsia="Times New Roman" w:hAnsi="Times New Roman"/>
          <w:sz w:val="18"/>
          <w:szCs w:val="18"/>
          <w:color w:val="231F20"/>
        </w:rPr>
      </w:pPr>
    </w:p>
    <w:p>
      <w:pPr>
        <w:ind w:left="1020" w:right="480" w:hanging="503"/>
        <w:spacing w:after="0" w:line="282" w:lineRule="auto"/>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FDA, EMA or other regulatory authority investigation of the safety and effectiveness of our products, our manufacturing processes and facilities or our marketing programs;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decreased or interrupted demand for our products;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injury to our reputation;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withdrawal of clinical trial participants and inability to continue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to defend the related litigation;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diversion of management’s time and our resources;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substantial monetary awards to trial participants or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 recalls, withdrawals or labeling, marketing, or promotional restrictions;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loss of revenue;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exhaustion of any available insurance and our capital resources;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inability to commercialize any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Regulatory Approval and Other Legal Compliance Matters</w:t>
      </w:r>
    </w:p>
    <w:p>
      <w:pPr>
        <w:spacing w:after="0" w:line="117"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distribution and orphan exclusivity of drugs. Rigorous preclinical testing and clinical trials and an extensive regulatory approval process must be successfully completed in the U.S.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and the availability of alternative therapies.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6"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231F20"/>
        </w:rPr>
        <w:t>We cannot provide assurance that any of the product candidates we develop will progress through required clinical testing and obtain the regulatory approvals necessary for us to begin selling them. Applications for our product candidates could be delayed or fail to receive regulatory approval for many reasons, including the following:</w:t>
      </w:r>
    </w:p>
    <w:p>
      <w:pPr>
        <w:spacing w:after="0" w:line="68" w:lineRule="exact"/>
        <w:rPr>
          <w:sz w:val="20"/>
          <w:szCs w:val="20"/>
          <w:color w:val="auto"/>
        </w:rPr>
      </w:pPr>
    </w:p>
    <w:p>
      <w:pPr>
        <w:ind w:left="1020" w:right="30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disagree with the design, implementation or results of our clinical trials;</w:t>
      </w:r>
    </w:p>
    <w:p>
      <w:pPr>
        <w:spacing w:after="0" w:line="53" w:lineRule="exact"/>
        <w:rPr>
          <w:rFonts w:ascii="Times New Roman" w:cs="Times New Roman" w:eastAsia="Times New Roman" w:hAnsi="Times New Roman"/>
          <w:sz w:val="18"/>
          <w:szCs w:val="18"/>
          <w:color w:val="231F20"/>
        </w:rPr>
      </w:pPr>
    </w:p>
    <w:p>
      <w:pPr>
        <w:ind w:left="1020" w:right="14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refuse to accept an application or decide not to accept data from our clinical trials conducted in locations outside of their jurisdiction;</w:t>
      </w:r>
    </w:p>
    <w:p>
      <w:pPr>
        <w:spacing w:after="0" w:line="53" w:lineRule="exact"/>
        <w:rPr>
          <w:rFonts w:ascii="Times New Roman" w:cs="Times New Roman" w:eastAsia="Times New Roman" w:hAnsi="Times New Roman"/>
          <w:sz w:val="18"/>
          <w:szCs w:val="18"/>
          <w:color w:val="231F20"/>
        </w:rPr>
      </w:pPr>
    </w:p>
    <w:p>
      <w:pPr>
        <w:ind w:left="1020" w:right="160" w:hanging="503"/>
        <w:spacing w:after="0" w:line="266"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67" w:lineRule="exact"/>
        <w:rPr>
          <w:rFonts w:ascii="Times New Roman" w:cs="Times New Roman" w:eastAsia="Times New Roman" w:hAnsi="Times New Roman"/>
          <w:sz w:val="18"/>
          <w:szCs w:val="18"/>
          <w:color w:val="231F20"/>
        </w:rPr>
      </w:pPr>
    </w:p>
    <w:p>
      <w:pPr>
        <w:ind w:left="1020" w:right="18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population studied in the clinical trial may not be sufficiently broad or representative to assure efficacy and safety in the full population for which we seek approval;</w:t>
      </w:r>
    </w:p>
    <w:p>
      <w:pPr>
        <w:spacing w:after="0" w:line="53" w:lineRule="exact"/>
        <w:rPr>
          <w:rFonts w:ascii="Times New Roman" w:cs="Times New Roman" w:eastAsia="Times New Roman" w:hAnsi="Times New Roman"/>
          <w:sz w:val="18"/>
          <w:szCs w:val="18"/>
          <w:color w:val="231F20"/>
        </w:rPr>
      </w:pPr>
    </w:p>
    <w:p>
      <w:pPr>
        <w:ind w:left="1020" w:right="30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require that we conduct additional preclinical studies or clinical trials;</w:t>
      </w:r>
    </w:p>
    <w:p>
      <w:pPr>
        <w:spacing w:after="0" w:line="117" w:lineRule="exact"/>
        <w:rPr>
          <w:rFonts w:ascii="Times New Roman" w:cs="Times New Roman" w:eastAsia="Times New Roman" w:hAnsi="Times New Roman"/>
          <w:sz w:val="18"/>
          <w:szCs w:val="18"/>
          <w:color w:val="231F20"/>
        </w:rPr>
      </w:pPr>
    </w:p>
    <w:p>
      <w:pPr>
        <w:ind w:left="1020" w:right="36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be unable to demonstrate to the FDA, EMA or other comparable foreign regulatory authorities that our product candidate’s risk-benefit ratio for its proposed indication is acceptable;</w:t>
      </w:r>
    </w:p>
    <w:p>
      <w:pPr>
        <w:spacing w:after="0" w:line="53" w:lineRule="exact"/>
        <w:rPr>
          <w:rFonts w:ascii="Times New Roman" w:cs="Times New Roman" w:eastAsia="Times New Roman" w:hAnsi="Times New Roman"/>
          <w:sz w:val="18"/>
          <w:szCs w:val="18"/>
          <w:color w:val="231F20"/>
        </w:rPr>
      </w:pPr>
    </w:p>
    <w:p>
      <w:pPr>
        <w:ind w:left="1020" w:right="42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fail to approve the manufacturing processes, test procedures and specifications or facilities of third-party manufacturers with which we contract for clinical and commercial supplies;</w:t>
      </w:r>
    </w:p>
    <w:p>
      <w:pPr>
        <w:spacing w:after="0" w:line="53" w:lineRule="exact"/>
        <w:rPr>
          <w:rFonts w:ascii="Times New Roman" w:cs="Times New Roman" w:eastAsia="Times New Roman" w:hAnsi="Times New Roman"/>
          <w:sz w:val="18"/>
          <w:szCs w:val="18"/>
          <w:color w:val="231F20"/>
        </w:rPr>
      </w:pPr>
    </w:p>
    <w:p>
      <w:pPr>
        <w:ind w:left="1020" w:right="110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fail to approve companion diagnostic tests required for commercialization of our product candidates; and</w:t>
      </w:r>
    </w:p>
    <w:p>
      <w:pPr>
        <w:spacing w:after="0" w:line="53" w:lineRule="exact"/>
        <w:rPr>
          <w:rFonts w:ascii="Times New Roman" w:cs="Times New Roman" w:eastAsia="Times New Roman" w:hAnsi="Times New Roman"/>
          <w:sz w:val="18"/>
          <w:szCs w:val="18"/>
          <w:color w:val="231F20"/>
        </w:rPr>
      </w:pPr>
    </w:p>
    <w:p>
      <w:pPr>
        <w:ind w:left="1020" w:right="50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231F20"/>
        </w:rPr>
        <w:t>If the FDA or EMA grants marketing approval of a product candidate, other comparable regulatory authorities in foreign jurisdictions must still approve the manufacturing, marketing and promotion and reimbursement of the product candidate in those countries.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9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Even if our product candidates receive regulatory approval, such approval may be for a narrower indication than we seek, and our product candidates will be subject to significant post-marketing regulatory requirements and oversight.</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Furthermore, any regulatory approval to market a drug may be subject to significant limitations on the approved uses or indications for which we may market, promote and advertise the drug or the labeling or other restrictions. The regulatory authorities may require precautions or contra-indications with respect to conditions of use or they may grant approval subject to the performance of costly post-marketing clinical trials. In addition, the FDA has the authority to require a Risk Evaluation and Mitigation Strategy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Any of the foregoing scenarios could materially harm the commercial prospects for our product candidates and materially harm our business, financial condition, results of operations and prospects, and may significantly limit the size of the market for the drug and affect reimbursement by third-party payors.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 and GCP for any clinical trials that we conduct post-approval. Manufacturers of drug products and their facilities are also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86"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or the rejection of product approvals;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restrictions on our ability to conduct clinical trials, including full or partial clinical holds on ongoing or planned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restrictions on the products, manufacturers or manufacturing process;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warning or untitled letters;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civil and criminal penalties;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injunctions;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suspension or withdrawal of regulatory approvals;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 seizures, detentions or import bans;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voluntary or mandatory product recalls and publicity requirements;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total or partial suspension of production;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imposition of restrictions on operations, including costly new manufacturing requirements.</w:t>
      </w:r>
    </w:p>
    <w:p>
      <w:pPr>
        <w:spacing w:after="0" w:line="117"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231F20"/>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1" w:name="page52"/>
    <w:bookmarkEnd w:id="51"/>
    <w:p>
      <w:pPr>
        <w:spacing w:after="0" w:line="190"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To the extent we obtain orphan drug and other designations from the FDA for our product candidates, we may not realize the full benefits of such designations. Further, orphan drug exclusivity may not prevent the FDA, EMA or other comparable foreign regulatory authorities, from approving competing products.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Regulatory authorities in some jurisdictions, including the U.S.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Similarly, in the EU, the EC,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In the EU, orphan drug designation entitles a party to financial incentives such as reduction of fees or fee waivers and without incentives, it is unlikely that sales of the drug in Europe would be sufficient to justify the necessary investment in developing the drug. However, there can be no assurances that we will be able to obtain orphan designations for our product candidates.</w:t>
      </w:r>
    </w:p>
    <w:p>
      <w:pPr>
        <w:spacing w:after="0" w:line="84"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231F20"/>
        </w:rPr>
        <w:t xml:space="preserve">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U.S. provides that the FDA may not approve any other applications, including a full NDA, to market the same drug for the same indication for seven years, except in limited circumstances. In view of the court decision in the </w:t>
      </w:r>
      <w:r>
        <w:rPr>
          <w:rFonts w:ascii="Times New Roman" w:cs="Times New Roman" w:eastAsia="Times New Roman" w:hAnsi="Times New Roman"/>
          <w:sz w:val="18"/>
          <w:szCs w:val="18"/>
          <w:i w:val="1"/>
          <w:iCs w:val="1"/>
          <w:color w:val="231F20"/>
        </w:rPr>
        <w:t>Catalyst Pharms., Inc. v. Becerra</w:t>
      </w:r>
      <w:r>
        <w:rPr>
          <w:rFonts w:ascii="Times New Roman" w:cs="Times New Roman" w:eastAsia="Times New Roman" w:hAnsi="Times New Roman"/>
          <w:sz w:val="18"/>
          <w:szCs w:val="18"/>
          <w:color w:val="231F20"/>
        </w:rPr>
        <w:t>, 14 F.4</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8"/>
          <w:szCs w:val="18"/>
          <w:color w:val="231F20"/>
        </w:rPr>
        <w:t xml:space="preserve"> 1299 (11</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8"/>
          <w:szCs w:val="18"/>
          <w:color w:val="231F20"/>
        </w:rPr>
        <w:t xml:space="preserve"> Cir. 2021) case, in a January 2023 notice, the FDA clarified that while the agency complies with the court’s order in </w:t>
      </w:r>
      <w:r>
        <w:rPr>
          <w:rFonts w:ascii="Times New Roman" w:cs="Times New Roman" w:eastAsia="Times New Roman" w:hAnsi="Times New Roman"/>
          <w:sz w:val="18"/>
          <w:szCs w:val="18"/>
          <w:i w:val="1"/>
          <w:iCs w:val="1"/>
          <w:color w:val="231F20"/>
        </w:rPr>
        <w:t>Catalyst</w:t>
      </w:r>
      <w:r>
        <w:rPr>
          <w:rFonts w:ascii="Times New Roman" w:cs="Times New Roman" w:eastAsia="Times New Roman" w:hAnsi="Times New Roman"/>
          <w:sz w:val="18"/>
          <w:szCs w:val="18"/>
          <w:color w:val="231F20"/>
        </w:rPr>
        <w:t xml:space="preserve">, the FDA intends to continue to apply its longstanding interpretation of the regulations to matters outside of the scope of the </w:t>
      </w:r>
      <w:r>
        <w:rPr>
          <w:rFonts w:ascii="Times New Roman" w:cs="Times New Roman" w:eastAsia="Times New Roman" w:hAnsi="Times New Roman"/>
          <w:sz w:val="18"/>
          <w:szCs w:val="18"/>
          <w:i w:val="1"/>
          <w:iCs w:val="1"/>
          <w:color w:val="231F20"/>
        </w:rPr>
        <w:t>Catalyst</w:t>
      </w:r>
      <w:r>
        <w:rPr>
          <w:rFonts w:ascii="Times New Roman" w:cs="Times New Roman" w:eastAsia="Times New Roman" w:hAnsi="Times New Roman"/>
          <w:sz w:val="18"/>
          <w:szCs w:val="18"/>
          <w:color w:val="231F20"/>
        </w:rPr>
        <w:t xml:space="preserve"> order – that is, the scope of the orphan-drug exclusivity is limited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spacing w:after="0" w:line="9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the Rare Pediatric Disease Priority Review Voucher program, a sponsor who receives an approval for a drug or biological product for a rare pediatric disease may qualify for a voucher that can be redeemed to receive priority review for a different product. The sponsor may also transfer or sell the voucher to another sponsor. FDA awards rare pediatric disease priority review vouchers to sponsors of rare pediatric disease products that are approved and meet certain criteria, including a product candidate intended to treat a manifestation of a serious or life-threatening disease or condition in children aged 0 through 18 years of age. Under the current law, the rare pediatric disease priority review program will begin to sunset after December 20, 2024. The FDA may only award a voucher for an approved rare pediatric disease product application if the sponsor has rare pediatric disease designation for a drug and that designation was granted by December 20, 2024. After September 30, 2026, the FDA may not award any rare pediatric disease priority review vouchers. There is no guarantee that any of our product candidates will be approved by that date, or at all. We may not obtain a priority review voucher prior to expiration of the program, unless Congress further reauthorizes the program.</w:t>
      </w:r>
    </w:p>
    <w:p>
      <w:pPr>
        <w:spacing w:after="0" w:line="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lead product candidates from our gene therapy platform, TN-201 and TN-401, have each been granted orphan drug designation by the FDA and the EC, and we may seek orphan drug designation for other product candidates in the U.S., Europe and other jurisdictions. In July 2024, we received rare pediatric disease designation from the FDA for TN-201 in MYBPC3-associated HCM. We may not be able to maintain orphan drug exclusivity for our product candidates and may not realize all the benefits of the orphan drug designation and the rare pediatric disease designation. Receiving these designations does not change FDA’s standards for regulatory approval of our product candidates and may not lead to faster regulatory review of any product candidate or increase the likelihood that any product candidate will receive marketing approval, if at all.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We may not be the first to obtain marketing approval of any product candidate for which we have obtained orphan drug designation for the orphan-designated indication, in which case we could be precluded from receiving marketing approval for our product candidate for the applicable exclusivity period. In addition, exclusive marketing rights in the U.S.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face difficulties from changes to current FDA and healthcare regulations and future legislation.</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231F20"/>
        </w:rPr>
        <w:t>Existing regulatory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also cannot predict the likelihood, nature or extent of government regulation that may arise from future legislation or administrative or executive action, either in the U.S.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FDA’s ability to engage in oversight and implementation activities in the normal course or constraints on our business operations, including operations of our contractors, our business may be negatively impacted.</w:t>
      </w:r>
    </w:p>
    <w:p>
      <w:pPr>
        <w:spacing w:after="0" w:line="80"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231F20"/>
        </w:rPr>
        <w:t>Recently, the U.S. Supreme Court overruled the Chevron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spacing w:after="0" w:line="8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judicial and Congressional challenges to certain aspects of the ACA, some of which have been successful, that create considerable uncertainty for our business. Although the U.S. Supreme Court held in 2021 that Texas and other challengers had no legal standing to challenge the ACA, we cannot predict how future challenges will impact our business, or what other healthcare measures and regulations will ultimately be implemented at the federal or state level or the effect of any future legislation or regulation may have on our business.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3" w:name="page54"/>
    <w:bookmarkEnd w:id="53"/>
    <w:p>
      <w:pPr>
        <w:spacing w:after="0" w:line="86"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231F20"/>
        </w:rPr>
        <w:t>In addition, other legislative changes have been proposed and adopted in the U.S. since the ACA was enacted, including aggregate reductions to Medicare payments to providers, effective April 1, 2013, which, through subsequent amendments, will remain in effect through 2032 and increased the statute of limitations period for the government to recover overpayments to providers from three to five years. These and future laws may result in additional reductions in Medicare and other healthcare funding, which could have a material adverse effect on customers for our drugs, if approved, and accordingly, our financial operations.</w:t>
      </w:r>
    </w:p>
    <w:p>
      <w:pPr>
        <w:spacing w:after="0" w:line="7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231F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 xml:space="preserve">Under the American Rescue Plan Act of 2021, the statutory cap on Medicaid Drug Rebate Program rebates that manufacturers pay to state Medicaid programs was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August 2022, Congress passed the Inflation Reduction Act of 2022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including pharmaceutical companies and the Pharmaceutical Research and Manufacturers of America, have initiated lawsuits against the federal government asserting that the price negotiation provisions of the IRA are unconstitutional. The impact of these judicial challenges as well as future judicial challenges in view of the Supreme Court’s overturn of the </w:t>
      </w:r>
      <w:r>
        <w:rPr>
          <w:rFonts w:ascii="Times New Roman" w:cs="Times New Roman" w:eastAsia="Times New Roman" w:hAnsi="Times New Roman"/>
          <w:sz w:val="18"/>
          <w:szCs w:val="18"/>
          <w:i w:val="1"/>
          <w:iCs w:val="1"/>
          <w:color w:val="231F20"/>
        </w:rPr>
        <w:t>Chevron</w:t>
      </w:r>
      <w:r>
        <w:rPr>
          <w:rFonts w:ascii="Times New Roman" w:cs="Times New Roman" w:eastAsia="Times New Roman" w:hAnsi="Times New Roman"/>
          <w:sz w:val="18"/>
          <w:szCs w:val="18"/>
          <w:color w:val="231F20"/>
        </w:rPr>
        <w:t xml:space="preserve"> doctrine, legislative, executive, and administrative actions and any future healthcare measures and agency rules implemented by the government on us and the pharmaceutical industry as a whole is unclear. The implementation of cost containment measures, including the prescription drug provisions under the IRA, as well as other healthcare reforms may prevent us from being able to generate revenue, attain profitability, or commercialize our product candidates if approved.</w:t>
      </w:r>
    </w:p>
    <w:p>
      <w:pPr>
        <w:spacing w:after="0" w:line="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8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4" w:name="page55"/>
    <w:bookmarkEnd w:id="54"/>
    <w:p>
      <w:pPr>
        <w:spacing w:after="0" w:line="190"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security and other processing of personal information.</w:t>
      </w:r>
    </w:p>
    <w:p>
      <w:pPr>
        <w:spacing w:after="0" w:line="7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231F20"/>
        </w:rPr>
        <w:t xml:space="preserve">Outside of the U.S., relevant legal requirements continue to evolve. For example, the collection and use of health data and other personal data including personal data collected in clinical trials is governed in the EU by the </w:t>
      </w:r>
      <w:r>
        <w:rPr>
          <w:rFonts w:ascii="Times New Roman" w:cs="Times New Roman" w:eastAsia="Times New Roman" w:hAnsi="Times New Roman"/>
          <w:sz w:val="18"/>
          <w:szCs w:val="18"/>
          <w:color w:val="000000"/>
        </w:rPr>
        <w:t>General Data Protection Regulation (</w:t>
      </w:r>
      <w:r>
        <w:rPr>
          <w:rFonts w:ascii="Times New Roman" w:cs="Times New Roman" w:eastAsia="Times New Roman" w:hAnsi="Times New Roman"/>
          <w:sz w:val="18"/>
          <w:szCs w:val="18"/>
          <w:color w:val="231F20"/>
        </w:rPr>
        <w:t xml:space="preserve">GDPR), which imposes substantial obligations upon companies and new rights for individuals, by certain EU member state-level legislation. </w:t>
      </w:r>
      <w:r>
        <w:rPr>
          <w:rFonts w:ascii="Times New Roman" w:cs="Times New Roman" w:eastAsia="Times New Roman" w:hAnsi="Times New Roman"/>
          <w:sz w:val="18"/>
          <w:szCs w:val="18"/>
          <w:color w:val="000000"/>
        </w:rPr>
        <w:t>The GDPR also forms part of the law of England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and Wales, Scotland and Northern Ireland by virtue of section 3 of the European Union (Withdrawal) Act 2018 and as amended by the Data Protection, Privacy and Electronic Communications (Amendments etc.) (EU Exit) Regulations 2019 (SI 2019/419), known as UK GDPR. </w:t>
      </w:r>
      <w:r>
        <w:rPr>
          <w:rFonts w:ascii="Times New Roman" w:cs="Times New Roman" w:eastAsia="Times New Roman" w:hAnsi="Times New Roman"/>
          <w:sz w:val="18"/>
          <w:szCs w:val="18"/>
          <w:color w:val="231F20"/>
        </w:rPr>
        <w:t>Failure to comply with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GDPR or UK GDPR may result in fines up to €20,000,000 or 4% of the total worldwide annual turnover of the preceding financial year, whichever is higher, and other administrative penalties. The GDPR or UK GDPR have increased our responsibility and liability in relation to personal data that we may process, and we may be required to implement additional measures in an effort to comply with the GDPR and UK GDPR or with other laws, rules, regulations and standards in the European Economic Area (EEA), United Kingdom (UK) and Switzerland relating to privacy and data protection. This may be onerous and if our efforts to comply with GDPR and UK GDPR or other applicable laws, rules, regulations and standards are not successful, or are perceived to be unsuccessful, it could adversely affect our business. Further, restrictions on the transfer of personal data from the EEA, UK and Switzerland to the U.S.,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EEA and Switzerland to the U.S. </w:t>
      </w:r>
      <w:r>
        <w:rPr>
          <w:rFonts w:ascii="Times New Roman" w:cs="Times New Roman" w:eastAsia="Times New Roman" w:hAnsi="Times New Roman"/>
          <w:sz w:val="18"/>
          <w:szCs w:val="18"/>
          <w:color w:val="000000"/>
        </w:rPr>
        <w:t>In Canada, the Personal Information Protection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 Electronic Documents Act (PIPEDA) and similar provincial laws impose obligations on companies with respect to processing personal information, including health-related information, regarding Canadian data subjects and provides individuals certain rights with respect to such information, including the right to access and challenge the accuracy of their personal information held by an organization. Failure to comply with PIPEDA, where applicable, could result in fines and penalties</w:t>
      </w:r>
      <w:r>
        <w:rPr>
          <w:rFonts w:ascii="Times New Roman" w:cs="Times New Roman" w:eastAsia="Times New Roman" w:hAnsi="Times New Roman"/>
          <w:sz w:val="18"/>
          <w:szCs w:val="18"/>
          <w:color w:val="231F20"/>
        </w:rPr>
        <w:t>.</w:t>
      </w:r>
    </w:p>
    <w:p>
      <w:pPr>
        <w:spacing w:after="0" w:line="8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231F20"/>
        </w:rPr>
        <w:t xml:space="preserve">In the U.S., a variety of data privacy, protection and security laws, rules, regulations and standards potentially may apply to our activities, such as state data breach notification laws, state personal data privacy laws (for example, the CCPA, state health information privacy laws, and federal and state consumer protection laws. The CCPA requires covered businesses that process personal information of California residents to disclose their data collection, use, sharing and retention practices, provides California residents with data privacy rights (including the ability to opt out of certain disclosures of personal information including for certain advertising purposes), imposes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judgments and settlements). Although there are limited exemptions for clinical trial data under the CCPA and certain other state laws, the CCPA and other new and evolving state laws could impact our business activities, depending on their interpretation. Numerous </w:t>
      </w:r>
      <w:r>
        <w:rPr>
          <w:rFonts w:ascii="Times New Roman" w:cs="Times New Roman" w:eastAsia="Times New Roman" w:hAnsi="Times New Roman"/>
          <w:sz w:val="18"/>
          <w:szCs w:val="18"/>
          <w:color w:val="000000"/>
        </w:rPr>
        <w:t>other states have enacted laws relating to privacy and data security that either are in operation or slated to go into operation over the next several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years. In many cases, these laws are comprehensive privacy laws similar to the CCPA, with potentially greater penalties and more rigorous compliance requirements</w:t>
      </w:r>
      <w:r>
        <w:rPr>
          <w:rFonts w:ascii="Times New Roman" w:cs="Times New Roman" w:eastAsia="Times New Roman" w:hAnsi="Times New Roman"/>
          <w:sz w:val="18"/>
          <w:szCs w:val="18"/>
          <w:color w:val="231F20"/>
        </w:rPr>
        <w:t>. States also are enacting laws addressing specific subject matter, such as Washington’s My Health, My Data Act, which includes a private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right of action. Laws in all 50 states may require businesses to provide notice to individuals whose personal data has been disclosed as a result of a data breach. Finally, federal, state and foreign laws, rules, regulations and standards may apply generally to the privacy and security of information we maintain, and may differ from each other significantly, thus complicating compliance efforts and potentially requiring us to undertake additional measures to comply with them.</w:t>
      </w:r>
    </w:p>
    <w:p>
      <w:pPr>
        <w:spacing w:after="0" w:line="88"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231F20"/>
        </w:rPr>
        <w:t>With the GDPR, PIPEDA, CCPA, and other laws, regulations and other obligations relating to privacy and data protection imposing new and relatively burdensome obligations, and with substantial uncertainty over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interpretation and application of these and other obligations, we may face challenges in addressing their requirements and making necessary changes to our policies and practices and may incur significant costs and expenses in an effort to do so.</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231F20"/>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75"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231F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75" w:lineRule="exact"/>
        <w:rPr>
          <w:sz w:val="20"/>
          <w:szCs w:val="20"/>
          <w:color w:val="auto"/>
        </w:rPr>
      </w:pPr>
    </w:p>
    <w:p>
      <w:pPr>
        <w:ind w:left="1020" w:hanging="503"/>
        <w:spacing w:after="0" w:line="261"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1" w:lineRule="exact"/>
        <w:rPr>
          <w:rFonts w:ascii="Times New Roman" w:cs="Times New Roman" w:eastAsia="Times New Roman" w:hAnsi="Times New Roman"/>
          <w:sz w:val="18"/>
          <w:szCs w:val="18"/>
          <w:color w:val="231F20"/>
        </w:rPr>
      </w:pPr>
    </w:p>
    <w:p>
      <w:pPr>
        <w:ind w:left="1020" w:right="160" w:hanging="503"/>
        <w:spacing w:after="0" w:line="261"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231F20"/>
        </w:rPr>
      </w:pPr>
    </w:p>
    <w:p>
      <w:pPr>
        <w:jc w:val="both"/>
        <w:ind w:left="1020" w:right="660" w:hanging="503"/>
        <w:spacing w:after="0" w:line="312" w:lineRule="auto"/>
        <w:tabs>
          <w:tab w:leader="none" w:pos="1020" w:val="left"/>
        </w:tabs>
        <w:numPr>
          <w:ilvl w:val="0"/>
          <w:numId w:val="2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spacing w:after="0" w:line="31" w:lineRule="exact"/>
        <w:rPr>
          <w:rFonts w:ascii="Times New Roman" w:cs="Times New Roman" w:eastAsia="Times New Roman" w:hAnsi="Times New Roman"/>
          <w:sz w:val="17"/>
          <w:szCs w:val="17"/>
          <w:color w:val="231F20"/>
        </w:rPr>
      </w:pPr>
    </w:p>
    <w:p>
      <w:pPr>
        <w:ind w:left="1020" w:right="20" w:hanging="503"/>
        <w:spacing w:after="0" w:line="258"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5" w:lineRule="exact"/>
        <w:rPr>
          <w:rFonts w:ascii="Times New Roman" w:cs="Times New Roman" w:eastAsia="Times New Roman" w:hAnsi="Times New Roman"/>
          <w:sz w:val="18"/>
          <w:szCs w:val="18"/>
          <w:color w:val="231F20"/>
        </w:rPr>
      </w:pPr>
    </w:p>
    <w:p>
      <w:pPr>
        <w:ind w:left="1020" w:right="140" w:hanging="503"/>
        <w:spacing w:after="0" w:line="258" w:lineRule="auto"/>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Health Insurance Portability and Accountability Act of 1996 (HIPAA), as amended by the Health Information Technology for Economic and Clinical Health Act and their implementing 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86" w:lineRule="exact"/>
        <w:rPr>
          <w:sz w:val="20"/>
          <w:szCs w:val="20"/>
          <w:color w:val="auto"/>
        </w:rPr>
      </w:pPr>
    </w:p>
    <w:p>
      <w:pPr>
        <w:ind w:left="1020" w:right="220" w:hanging="503"/>
        <w:spacing w:after="0" w:line="282" w:lineRule="auto"/>
        <w:tabs>
          <w:tab w:leader="none" w:pos="10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consumer protection and unfair competition laws, which broadly regulate marketplace activities and activities that potentially harm consumers;</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56" w:lineRule="auto"/>
        <w:tabs>
          <w:tab w:leader="none" w:pos="10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nurse practitioners and physician assistants, among others), and teaching hospitals as well as information regarding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231F20"/>
        </w:rPr>
      </w:pPr>
    </w:p>
    <w:p>
      <w:pPr>
        <w:ind w:left="1020" w:hanging="503"/>
        <w:spacing w:after="0" w:line="254" w:lineRule="auto"/>
        <w:tabs>
          <w:tab w:leader="none" w:pos="10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8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231F20"/>
        </w:rPr>
        <w:t>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environmental, health and safety laws and regulations, we could become subject to fines or penalties or incur costs that could have a material adverse effect on our business.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231F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2"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activities are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6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and agents from offering or providing improper payments or benefits to recipients in the public or private sector.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We sometimes leverage third parties to assist with the conduct of our business abroad. As we increase our international business activities, our risks under these laws may increase. We, our employees and agents may have direct or indirect interactions with officials and employees of government agencies or state-owned or affiliated entities and may be held liable for the corrupt or other illegal activities of these employees and agents even if we do not explicitly authorize such activities.</w:t>
      </w:r>
    </w:p>
    <w:p>
      <w:pPr>
        <w:spacing w:after="0" w:line="72"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231F20"/>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While we have policies and procedures to address compliance with such laws, we cannot assure you that all of our employees and agents will not take actions in violation of applicable law for which we may be ultimately held responsible.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8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Allegations or 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suspension or debarment from government contracts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w:t>
      </w:r>
    </w:p>
    <w:p>
      <w:pPr>
        <w:spacing w:after="0" w:line="79"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in tax law could increase the tax burden on our orphan drug programs and adversely affect our business and financial condition.</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Changes in tax law, including to the orphan drug tax credit and other changes to U.S. and non-U.S. taxation, could increase our tax liability and adversely affect our operating results. For example, starting from January 1, 2022, the Tax Cuts and Jobs Act of 2017 requires taxpayers to capitalize domestic research and development costs in the year incurred and amortize such costs rather than deduct such costs in the year incurred. When and if we become profitable, these changes may cause us to pay federal income taxes earlier under the revised tax law than under the prior law and may increase our total federal tax liability attributable to orphan drug programs and other research and development. In addition, the Inflation Reduction Act of 2022 imposes a 1% excise tax on certain repurchases of stock made on or after January 1, 2023. These changes could increase our total federal tax liability when and if we become profitable.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Employee Matters, Managing Our Growth and Other 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success is highly dependent on our ability to attract and retain highly skilled executive officers and employees.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 xml:space="preserve">We are highly dependent on the principal members of our management, our scientific founders and other scientific and clinical advisors and consultants, and our scientific and medical staff. </w:t>
      </w:r>
      <w:r>
        <w:rPr>
          <w:rFonts w:ascii="Times New Roman" w:cs="Times New Roman" w:eastAsia="Times New Roman" w:hAnsi="Times New Roman"/>
          <w:sz w:val="18"/>
          <w:szCs w:val="18"/>
          <w:color w:val="000000"/>
        </w:rPr>
        <w:t>The Workforce Reduction, and any future cost containment initiatives, could have an adverse impact 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our ability to retain and recruit qualified personnel. </w:t>
      </w:r>
      <w:r>
        <w:rPr>
          <w:rFonts w:ascii="Times New Roman" w:cs="Times New Roman" w:eastAsia="Times New Roman" w:hAnsi="Times New Roman"/>
          <w:sz w:val="18"/>
          <w:szCs w:val="18"/>
          <w:color w:val="231F20"/>
        </w:rPr>
        <w:t>If we do not succeed in attracting and retaining such personnel, particularly at the management level, it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8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231F20"/>
        </w:rPr>
        <w:t>in the future have difficulty attracting and retaining experienced personnel and may be required to expend significant financial resources in our employee recruitment and retention efforts.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7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18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 order to successfully implement our long-term plans and strategies, we will need to grow the size of our organization, and we may experience difficulties in managing this growth.</w:t>
      </w:r>
    </w:p>
    <w:p>
      <w:pPr>
        <w:spacing w:after="0" w:line="51"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231F20"/>
        </w:rPr>
        <w:t>In order to successfully implement our development and commercialization plans and strategies, we expect to need additional managerial, operational, sales, marketing, financial and other personnel in the future.</w:t>
      </w:r>
    </w:p>
    <w:p>
      <w:pPr>
        <w:spacing w:after="0" w:line="5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231F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spacing w:after="0" w:line="84"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231F20"/>
        </w:rPr>
        <w:t>If, subject to the successful clinical development of our product candidates,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spacing w:after="0" w:line="17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part of our business, we and our CROs, manufacturers, contractors (including sites performing our clinical trials), consultants and other third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collect, maintain and transmit sensitive data on our networks and systems, including our intellectual property and proprietary and confidential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color w:val="231F20"/>
        </w:rPr>
        <w:t>usiness information (such as research data and personal information). Despite the implementation of security measures in an effort to protect systems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store our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 xml:space="preserve">information, given their size and complexity and the increasing amounts of information maintained on our internal information technology systems, and those of our third-party CROs, manufacturers, contractors (including sites performing our clinical trials), consultants and other third parties, such systems are vulnerable to breakdown or other damage or interruption from, among other things, inadvertent or intentional actions by our employees, contractors, consultants, business partners, and other third parties, cyber-attacks and other hacking attempts by malicious third parties, which may compromise our system infrastructure or lead to the loss, destruction, alteration, prevention of access to, disclosure, dissemination of, or damage or unauthorized access to, our data or other data that we process or maintain or that is processed or maintained on our behalf, or other assets. Although we have not observed material impacts of cyber-attacks on our operations and financial condition </w:t>
      </w:r>
      <w:r>
        <w:rPr>
          <w:rFonts w:ascii="Times New Roman" w:cs="Times New Roman" w:eastAsia="Times New Roman" w:hAnsi="Times New Roman"/>
          <w:sz w:val="18"/>
          <w:szCs w:val="18"/>
          <w:color w:val="000000"/>
        </w:rPr>
        <w:t>to date, we and our third-party service providers have frequently been the target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threats of this nature and we expect these threats and attacks to continue.</w:t>
      </w:r>
    </w:p>
    <w:p>
      <w:pPr>
        <w:spacing w:after="0" w:line="8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Any data breach, disruption or security incident resulting in any loss, destruction, unavailability, alteration, disclosure, dissemination of, or damage or unauthorized access to, our data, or any other data that we process or maintain or that is processed or maintained on our behalf, or other assets, or for it to be believed or reported that any of the foregoing occurred, could cause us to incur significant liability, including consequential damages, financial harm and reputational damage and the development and commercialization of our product candidates could be delayed. The loss, corruption, or unavailability of clinical trial data for our product candidates also could result in delays in our marketing approval efforts and significantly increase our costs to recover or reproduce the data. We cannot ensure that our data protection efforts and our investment in information technology, or the efforts or investments of CROs, consultants or other third parties, will prevent breakdowns in our or their systems or have prevented, or will prevent, cybersecurity breaches or incidents, including those that cause loss, destruction, unavailability, alteration, dissemination of, or damage or unauthorized access to, our data, including personal data, assets and other data processed or maintained on our behalf. Any such breakdowns, breaches, or incidents, and any resulting impacts, could have a material adverse effect upon our reputation, business, operations or financial condition.</w:t>
      </w:r>
    </w:p>
    <w:p>
      <w:pPr>
        <w:spacing w:after="0" w:line="86" w:lineRule="exact"/>
        <w:rPr>
          <w:sz w:val="20"/>
          <w:szCs w:val="20"/>
          <w:color w:val="auto"/>
        </w:rPr>
      </w:pPr>
    </w:p>
    <w:p>
      <w:pPr>
        <w:jc w:val="both"/>
        <w:ind w:right="60" w:firstLine="509"/>
        <w:spacing w:after="0" w:line="257" w:lineRule="auto"/>
        <w:rPr>
          <w:sz w:val="20"/>
          <w:szCs w:val="20"/>
          <w:color w:val="auto"/>
        </w:rPr>
      </w:pPr>
      <w:r>
        <w:rPr>
          <w:rFonts w:ascii="Times New Roman" w:cs="Times New Roman" w:eastAsia="Times New Roman" w:hAnsi="Times New Roman"/>
          <w:sz w:val="18"/>
          <w:szCs w:val="18"/>
          <w:color w:val="231F20"/>
        </w:rPr>
        <w:t>We also rely on third parties to support the development and manufacture of our product candidates, and any data breaches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data security practices is limited.</w:t>
      </w:r>
    </w:p>
    <w:p>
      <w:pPr>
        <w:spacing w:after="0" w:line="1"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231F20"/>
        </w:rPr>
        <w:t>Due to applicable laws, rules, regulations and standards or contractual obligations, we may be held responsible for any information security failure or cyber-attack attributed to our third-party service providers as they relate to the information we share with them. We maintain limited cybersecurity insurance and therefore the successful assertion of one or more large claims against us in connection with a breach or other cybersecurity-related matter could adversely affect our business, financial condition, results of operations and prospects.</w:t>
      </w:r>
    </w:p>
    <w:p>
      <w:pPr>
        <w:spacing w:after="0" w:line="81"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7"/>
          <w:szCs w:val="17"/>
          <w:color w:val="231F20"/>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identify, remediate or otherwise address any such incidents in an effective or timely manner. Our efforts to improve security and protect data from compromise may also identify previously undiscovered instances of data breaches or other cybersecurity incidents. Any data breach, disruption or security incident resulting in any loss, destruction, or alteration of, damage, unauthorized access to or inappropriate or unauthorized disclosure of or dissemination of, our data, including personal data, or other information that is processed or maintained on our behalf, or if any of these is believed or reported to have occurred, we could be exposed to litigation and governmental investigations and inquiries, the further development and commercialization of our product candidates could be delayed, and we could be subject to significant fines or penalties for any noncompliance with certain state, federal and international privacy and security laws, rules, regulations and standards.</w:t>
      </w:r>
    </w:p>
    <w:p>
      <w:pPr>
        <w:spacing w:after="0" w:line="17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operations are vulnerable to interruption by fire, earthquakes, power loss, telecommunications failure, terrorist activity, pandemics and other events beyond our control, which could harm our business.</w:t>
      </w:r>
    </w:p>
    <w:p>
      <w:pPr>
        <w:spacing w:after="0" w:line="5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231F20"/>
        </w:rPr>
        <w:t>Our facilities are located in the San Francisco Bay Area. We have not undertaken a systematic analysis of the potential consequences to our business and financial results from a major earthquake, flood, blizzard, wildfire, power loss, terrorist activity, pandemics or other disasters and do not have a recovery plan for such disasters. 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31F20"/>
        </w:rPr>
        <w:t>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spacing w:after="0" w:line="1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 variety of risks associated with development and marketing our product candidates internationally, subject to regulatory approval in applicable jurisdictions, could materially adversely affect our business.</w:t>
      </w:r>
    </w:p>
    <w:p>
      <w:pPr>
        <w:spacing w:after="0" w:line="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We may seek regulatory approval of our product candidates outside of the U.S. and/or work with contractors or partners in foreign jurisdictions, and we expect that we will be subject to additional risks and requirements related to our operations in foreign countries, including:</w:t>
      </w:r>
    </w:p>
    <w:p>
      <w:pPr>
        <w:spacing w:after="0" w:line="54"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differing regulatory requirements and reimbursement regimes;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taxes, including withholding of payroll taxes;</w:t>
      </w:r>
    </w:p>
    <w:p>
      <w:pPr>
        <w:spacing w:after="0" w:line="117" w:lineRule="exact"/>
        <w:rPr>
          <w:rFonts w:ascii="Times New Roman" w:cs="Times New Roman" w:eastAsia="Times New Roman" w:hAnsi="Times New Roman"/>
          <w:sz w:val="18"/>
          <w:szCs w:val="18"/>
          <w:color w:val="231F20"/>
        </w:rPr>
      </w:pPr>
    </w:p>
    <w:p>
      <w:pPr>
        <w:ind w:left="1020" w:right="360" w:hanging="503"/>
        <w:spacing w:after="0" w:line="282" w:lineRule="auto"/>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staffing and managing foreign operations;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potential liability under the FCPA or comparable foreign regulations;</w:t>
      </w:r>
    </w:p>
    <w:p>
      <w:pPr>
        <w:spacing w:after="0" w:line="117" w:lineRule="exact"/>
        <w:rPr>
          <w:rFonts w:ascii="Times New Roman" w:cs="Times New Roman" w:eastAsia="Times New Roman" w:hAnsi="Times New Roman"/>
          <w:sz w:val="18"/>
          <w:szCs w:val="18"/>
          <w:color w:val="231F20"/>
        </w:rPr>
      </w:pPr>
    </w:p>
    <w:p>
      <w:pPr>
        <w:ind w:left="1020" w:right="240" w:hanging="503"/>
        <w:spacing w:after="0" w:line="282" w:lineRule="auto"/>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challenges obtaining, maintaining, protecting, defending and enforcing our contractual and intellectual property rights, especially in those foreign countries that do not respect and protect intellectual property rights to the same extent as the U.S.;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business interruptions resulting from geo-political actions, including war and terrorism, including effects of the Russia-Ukraine and Middle East conflicts.</w:t>
      </w:r>
    </w:p>
    <w:p>
      <w:pPr>
        <w:spacing w:after="0" w:line="54"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231F20"/>
        </w:rPr>
        <w:t>These and other risks associated with our international operations may materially adversely affect our ability to attain or maintain profitable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Intellectual Property</w:t>
      </w:r>
    </w:p>
    <w:p>
      <w:pPr>
        <w:spacing w:after="0" w:line="117"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67"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231F20"/>
        </w:rPr>
        <w:t>Our commercial success depends in large part on our ability to obtain, maintain, protect, defend and enforce patents, trade secrets and other intellectual property relating to our product candidates and platforms and to operate without infringing, misappropriating or otherwise violating the intellectual property of others. We rely on patent, copyright, trade secret and trademark laws in the U.S. and certain other countries to protect our technology, and we generally seek to protect our position by filing patent applications in the U.S. and abroad and by acquiring or in-licensing relevant issued patents or pending applications from third parties. However, these efforts may provide only limited protection. There can be no assurance that we or our licensors will obtain any additional issued patents or that any issued patents we or our licensors obtain will provide us with any competitive advantage.</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2" w:name="page63"/>
    <w:bookmarkEnd w:id="62"/>
    <w:p>
      <w:pPr>
        <w:spacing w:after="0" w:line="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Pending patent applications cannot be enforced until issued, and then only to the extent the issued claims cover the product candidate or relevant technology. There can be no assurance that our patent applications or the patent applications of our licensors will result in additional patents being issued or that any such issued patents will afford sufficient protection against competitors with similar technology, nor can there be any assurance that the patents issued will not be designed around or invalidated by third parties.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Even issued patents may later be found invalid or unenforceable, or they may be modified, narrowed in scope, or revoked in proceedings instituted by third parties before various patent offices or in courts in the U.S.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 Any failure to obtain or maintain patent protection with respect to our technology and product candidates would have a material adverse effect on our business, financial condition, results of operations and prospects.</w:t>
      </w:r>
    </w:p>
    <w:p>
      <w:pPr>
        <w:spacing w:after="0" w:line="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The patent application process is subject to numerous risks and uncertainties, and there can be no assurance that we or any of our potential future licensors or collaborators will be successful in protecting our product candidates and platforms by obtaining and defending adequate patent coverage. These risks and uncertainties include the following:</w:t>
      </w:r>
    </w:p>
    <w:p>
      <w:pPr>
        <w:spacing w:after="0" w:line="68" w:lineRule="exact"/>
        <w:rPr>
          <w:sz w:val="20"/>
          <w:szCs w:val="20"/>
          <w:color w:val="auto"/>
        </w:rPr>
      </w:pPr>
    </w:p>
    <w:p>
      <w:pPr>
        <w:ind w:left="1020" w:right="20" w:hanging="503"/>
        <w:spacing w:after="0" w:line="266" w:lineRule="auto"/>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United States Patent and Trademark Office (</w:t>
      </w:r>
      <w:r>
        <w:rPr>
          <w:rFonts w:ascii="Times New Roman" w:cs="Times New Roman" w:eastAsia="Times New Roman" w:hAnsi="Times New Roman"/>
          <w:sz w:val="18"/>
          <w:szCs w:val="18"/>
          <w:color w:val="231F20"/>
        </w:rPr>
        <w:t>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patent applications may not result in any patents being issued;</w:t>
      </w:r>
    </w:p>
    <w:p>
      <w:pPr>
        <w:spacing w:after="0" w:line="117" w:lineRule="exact"/>
        <w:rPr>
          <w:rFonts w:ascii="Times New Roman" w:cs="Times New Roman" w:eastAsia="Times New Roman" w:hAnsi="Times New Roman"/>
          <w:sz w:val="18"/>
          <w:szCs w:val="18"/>
          <w:color w:val="231F20"/>
        </w:rPr>
      </w:pPr>
    </w:p>
    <w:p>
      <w:pPr>
        <w:ind w:left="1020" w:right="260" w:hanging="503"/>
        <w:spacing w:after="0" w:line="282" w:lineRule="auto"/>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patents may be challenged, invalidated, modified, revoked, circumvented, found to be unenforceable, narrowed in scope or otherwise may not provide any competitive advantage;</w:t>
      </w:r>
    </w:p>
    <w:p>
      <w:pPr>
        <w:spacing w:after="0" w:line="53" w:lineRule="exact"/>
        <w:rPr>
          <w:rFonts w:ascii="Times New Roman" w:cs="Times New Roman" w:eastAsia="Times New Roman" w:hAnsi="Times New Roman"/>
          <w:sz w:val="18"/>
          <w:szCs w:val="18"/>
          <w:color w:val="231F20"/>
        </w:rPr>
      </w:pPr>
    </w:p>
    <w:p>
      <w:pPr>
        <w:jc w:val="both"/>
        <w:ind w:left="1020" w:right="280" w:hanging="503"/>
        <w:spacing w:after="0" w:line="266" w:lineRule="auto"/>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67" w:lineRule="exact"/>
        <w:rPr>
          <w:rFonts w:ascii="Times New Roman" w:cs="Times New Roman" w:eastAsia="Times New Roman" w:hAnsi="Times New Roman"/>
          <w:sz w:val="18"/>
          <w:szCs w:val="18"/>
          <w:color w:val="231F20"/>
        </w:rPr>
      </w:pPr>
    </w:p>
    <w:p>
      <w:pPr>
        <w:ind w:left="1020" w:right="160" w:hanging="503"/>
        <w:spacing w:after="0" w:line="266" w:lineRule="auto"/>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7" w:lineRule="exact"/>
        <w:rPr>
          <w:rFonts w:ascii="Times New Roman" w:cs="Times New Roman" w:eastAsia="Times New Roman" w:hAnsi="Times New Roman"/>
          <w:sz w:val="18"/>
          <w:szCs w:val="18"/>
          <w:color w:val="231F20"/>
        </w:rPr>
      </w:pPr>
    </w:p>
    <w:p>
      <w:pPr>
        <w:ind w:left="1020" w:right="300" w:hanging="503"/>
        <w:spacing w:after="0" w:line="266" w:lineRule="auto"/>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spacing w:after="0" w:line="6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231F20"/>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w:t>
      </w:r>
    </w:p>
    <w:p>
      <w:pPr>
        <w:spacing w:after="0" w:line="5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We may be unable to obtain or maintain patent applications and patents due to the subject matter claimed in such patent applications and patents being in disclosures in the public domain. It is also possible that we or our licensors will fail to identify patentable aspects of our research and development output before it is too late to obtain patent protection. Furthermore,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and platforms or which effectively prevent others from commercializing competitive product candidates and technologies or otherwise provide any commercial advantage.</w:t>
      </w:r>
    </w:p>
    <w:p>
      <w:pPr>
        <w:spacing w:after="0" w:line="75"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231F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While we believe our intellectual property allows us to pursue our current development programs, we may not be aware of all third-party intellectual property rights potentially relating to our technology and product candidates. We cannot be certain that we were the first to make the inventions claimed in any owned or any licensed patents or pending patent applications, or that we were the first to file for patent protection of such inventions. Publications of discoveries in the scientific literature often lag the actual discoveries, and patent applications in the U.S. and other jurisdictions are typically not published until 18 months after filing or, in some cases, not at all. If a third party can establish that we or our licensors were not the first to make or the first to file for patent protection of such inventions, our owned or licensed patent applications may not issue as patents and even if issued, may be challenged and invalidated.</w:t>
      </w:r>
    </w:p>
    <w:p>
      <w:pPr>
        <w:spacing w:after="0" w:line="81"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231F20"/>
        </w:rPr>
        <w:t>The issuance of a patent is not conclusive as to its inventorship, scope, validity or enforceability, and the inventorship, scope, validity or enforceability of our patents, potential future patents or the patents of our licensors that may be challenged in the courts or patent offices in the U.S. and abroad. For example, we may be subject to a third-party pre-issuance submission of prior art, post-grant review or inter partes review at the USPTO, or other similar proceedings including, opposition, derivation, revocation or reexamination proceedings in the U.S. or abroad. A third party may also claim that our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patents, potential future patents or licensed patent rights, allow third parties to commercialize our product candidates and compete directly with us, without payment to us. Such proceedings also may result in substantial cost and require significant time from our scientists, manufacturing staff and management, even if the eventual outcome is favorable to us. In addition, if the breadth or strength of protection provided by our patents, potential future patents and patent applications or the patents and patent applications of our licensors is threatened, regardless of the outcome, it could dissuade companies from collaborating with us to license, develop or commercialize our product candidates.</w:t>
      </w:r>
    </w:p>
    <w:p>
      <w:pPr>
        <w:spacing w:after="0" w:line="1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commercial success depends significantly on our ability to operate without infringing, misappropriating or otherwise violating the patents and other intellectual property and proprietary rights of third parties.</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Our research, development and commercialization activities may be subject to claims that we infringe, misappropriate or otherwise violate patents or other intellectual property rights of others. Additionally, other entities may have, develop or obtain patents that could impair our competitive position or limit our ability to make, use, sell, offer for sale or import our product candidates. There is a substantial amount of litigation, both within and outside the U.S., involving patent and other intellectual property rights in the biotechnology industry. Numerous third-party U.S. and foreign issued patents and pending patent applications exist in the fields in which we are developing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8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231F20"/>
        </w:rPr>
        <w:t>product candidates. Third-party patents or patent applications may include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spacing w:after="0" w:line="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and/or not infringed. However, if such third-party patent rights were asserted against us and found to be valid, enforceable and infringed, we could be liable for damages and be required to obtain a license to such patent rights prior to commercializing TN-201 both within and outside the U.S.,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against such assertions, including that such patent rights are invalid and/or not infringed.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spacing w:after="0" w:line="86"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231F20"/>
        </w:rPr>
        <w:t>As the biotechnology industry expands and more patents are issued, the risk increases that our product candidates may be subject to claims of infringement, misappropriation or other violation of the patent or other intellectual property rights of third parties.</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Although no third party has asserted a claim of patent infringement against us as of the date of this periodic report, there can be no assurance that we will not be subject to claims of patent or other intellectual property infringement in the future. Furthermore, we may fail to identify relevant patents or patent applications or may identify pending patent applications of potential interest but incorrectly predict the likelihood that such patent applications may issue with claims of relevance to our technology. We may incorrectly conclude that a third-party patent is invalid, unenforceable or not infringed by our activities.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Moreover, because patent applications can take many years to issue, there may be currently-pending patent applications that may later result in issued patents that our product candidates may infringe. Identification of third-party patent rights that may be relevant to our technology is difficult because patent searching is imperfect due to differences in terminology among patents, incomplete databases and ambiguity in the meaning of patent claims.</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Third parties may assert patent infringement claims against us directed at any of our product candidates based on our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would involve substantial litigation expense and would be a substantial diversion of management and employee resources from our business. Because of the inevitable uncertainty in intellectual property litigation, we could lose a patent infringement or other action asserted against us regardless of our perception of the merits of the case.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8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raise additional funds or otherwise have a material adverse effect on our business, results of operations, financial condition and prospects.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r>
        <w:rPr>
          <w:rFonts w:ascii="Times New Roman" w:cs="Times New Roman" w:eastAsia="Times New Roman" w:hAnsi="Times New Roman"/>
          <w:sz w:val="18"/>
          <w:szCs w:val="18"/>
          <w:color w:val="231F20"/>
        </w:rPr>
        <w:t>.</w:t>
      </w:r>
    </w:p>
    <w:p>
      <w:pPr>
        <w:spacing w:after="0" w:line="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successful in obtaining or maintaining necessary rights to our product candidates through acquisitions and in-licenses.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our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19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Changes in U.S. patent law, or laws in other countries, could diminish the value of patents in general, thereby impairing our ability to protect our product candidates.</w:t>
      </w:r>
    </w:p>
    <w:p>
      <w:pPr>
        <w:spacing w:after="0" w:line="5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231F20"/>
        </w:rPr>
        <w:t>Changes in either the patent laws or in the interpretations of patent laws in the U.S.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potential future patents or in third-party patents.</w:t>
      </w:r>
    </w:p>
    <w:p>
      <w:pPr>
        <w:spacing w:after="0" w:line="6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231F20"/>
        </w:rPr>
        <w:t>In addition, the U.S. Congress or other foreign legislative bodies may pass patent reform legislation that is unfavorable to us. Patent reform</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231F20"/>
        </w:rPr>
        <w:t>legislation could increase the uncertainties and costs surrounding the prosecution of patent applications and the enforcement or defense of issued patents.</w:t>
      </w:r>
    </w:p>
    <w:p>
      <w:pPr>
        <w:spacing w:after="0" w:line="11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Furthermore, the U.S. Supreme Court and the U.S. Court of Appeals for the Federal Circuit have made, and will likely continue to make, changes in how patent laws in the U.S. are interpreted. The U.S. Supreme Court has ruled on several patent cases in recent years, either narrowing the scope of patent protection available in certain circumstances or weakening the rights of patent owners in certain situations. Similarly, foreign courts have made and will continue to make changes in how the patent laws in their respective jurisdictions are interpreted. We cannot predict future changes in the interpretation of patent laws or changes to patent laws that might be enacted into law by U.S. and foreign legislative bodies. The laws and regulations governing patents could change in unpredictable ways that would weaken our ability to obtain new patents or to enforce our existing patent and the patents we might obtain or license in the future.</w:t>
      </w:r>
    </w:p>
    <w:p>
      <w:pPr>
        <w:spacing w:after="0" w:line="18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challenging the inventorship or ownership of our owned patent applications or in-licensed patent rights and other intellectual property.</w:t>
      </w:r>
    </w:p>
    <w:p>
      <w:pPr>
        <w:spacing w:after="0" w:line="5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231F20"/>
        </w:rPr>
        <w:t>We or our licensors may be subject to claims that former employees or other third parties have an ownership interest in our owned patent applications or in-licensed patents, trade secrets or other intellectual property rights as an inventor or co-inventor. For example, we or our licensors may have inventorship disputes arise from conflicting obligations of employees, consultants or other third parties who are involved in developing our product candidates. Litigation may be necessary to defend against these and other claims challenging inventorship or ownership of our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impact our reputation or affect our ability to hire employees or contract with independent contractors.</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Patent terms may be inadequate to protect our competitive position on our product candidates for an adequate amount of time.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31F20"/>
        </w:rPr>
        <w:t>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do not obtain patent term extension for our product candidates, our business may be materially harmed.</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231F20"/>
        </w:rPr>
        <w:t>Depending upon the timing, duration and specifics of FDA marketing approval of our product candidates, one or more of our U.S. patents or those of our licensors may be eligible for limited patent term restoration under the Hatch-Waxman Amendments. Patent term extension may also be available in certain foreign countries upon regulatory approval of our product candidates.</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We may not be granted any extensions for which we apply in the U.S.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request, our competitors may obtain approval of competing products following our patent expiration, and our revenue could be reduced, possibly materially.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protect our intellectual property rights throughout the world.</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Filing, prosecuting and defending patents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even in jurisdictions where we do pursue patent protection. Consequently, we may not be able to prevent third parties from practicing our or our licensors’ inventions in all countries outside the U.S., even in jurisdictions where we or our licensors do pursue patent protection. Competitors may use our technologies in jurisdictions where we have not obtained patent protection to develop their own competing products and, further, may export otherwise infringing products to territories where we have patent protection, but enforcement is not as strong as that in the U.S.</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75"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231F20"/>
        </w:rPr>
        <w:t>European patent applications now have the option, upon grant of a patent, of becoming a Unitary Patent which will be subject to the jurisdiction of the Unified Patent Court (UPC). This is a significant change in European patent practice. As the UPC is a relatively new court system, there is limited precedent for the court, increasing the uncertainty of any litigation. As a single court system can invalidate a European patent, we, where applicable, have opted out of the UPC and as such, but for proceedings such as an opposition, each European patent would need to be challenged in each individual country.</w:t>
      </w:r>
    </w:p>
    <w:p>
      <w:pPr>
        <w:spacing w:after="0" w:line="5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Government actions may also prevent filing, prosecution and maintenance of issued patents in various jurisdictions. These actions could result in abandonment or lapse of our patents or patent applications, resulting in partial or complete loss of patent rights in such jurisdictions. If such an event were to occur, it could have a material adverse effect on our business. In addition, jurisdictions outside of the U.S. could also permit our patents to be exploited without consent or compensation. In such circumstances we would not be able to prevent third parties from practicing our inventions or from selling or importing products made using our inventions in and into such jurisdictions. Accordingly, our competitive position may be impaired, and our business, financial condition, results of operations and prospects may be adversely affected.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19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231F20"/>
        </w:rPr>
        <w:t>Periodic maintenance fees, renewal fees, annuity fees and various other governmental fees on patents and/or patent applications will be due to the USPTO and various foreign patent offices outside of the U.S. at various points over the lifetime of our potential future patents and patent applications and those of our licensors.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We intend to use registered or unregistered trademarks or trade names to brand and market ourselves and our products, but we do not yet own a U.S. registered trademark for our corporate name, “Tenaya”.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86"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231F20"/>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are unable to protect the confidentiality of our trade secrets, our business and competitive position would be harmed.</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In addition to seeking patent protection on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that these parties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will not breach such agreements and disclose our proprietary information, including our trade secrets, or that we would be able to obtain adequate remedies for such breaches should they occur. We may not be able to prevent the unauthorized disclosure or use of our trade secrets.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U.S. are less willing or unwilling to protect trade secrets.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Moreover, third parties may still derive similar information independently, and we would have no right to prevent them from using that information to compete with us. We expect know-how and information to be disseminated over time within the industry through independent development, publication of journal articles, and movement of personnel between companies and from academic to industry scientific positions. We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w:t>
      </w:r>
    </w:p>
    <w:p>
      <w:pPr>
        <w:spacing w:after="0" w:line="18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that we or our employees, consultants, advisors or contractors have wrongfully used or disclosed alleged confidential information or trade secrets.</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231F20"/>
        </w:rPr>
        <w:t>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confidential or other information proprietary of their former employers or their former or current clients.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In addition, we have entered into and may in the future enter into non-disclosure and confidentiality agreements to protect the proprietary positions of third parties, such as collaborators, CROs, third-party manufacturers, consultants, potential partners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any such claims, regardless of their merit, could involve substantial litigation expense and be a substantial diversion of resources from our business. We cannot predict whether we would prevail in any such claims.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including the loss of valuable intellectual property rights or personnel, all of which could adversely affect our business. Even if we are successful in defending against these claims, litigation could result in substantial costs and be a distraction to our management team and other employees.</w:t>
      </w:r>
    </w:p>
    <w:p>
      <w:pPr>
        <w:spacing w:after="0" w:line="190"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rights to develop and commercialize our technology and product candidates may be subject, in part, to us obtaining licenses from others and the terms and conditions of such licenses. If we fail to comply with our obligations in any agreement under which we license intellectual property rights from third parties, we could lose licensed rights that are important to our business.</w:t>
      </w:r>
    </w:p>
    <w:p>
      <w:pPr>
        <w:spacing w:after="0" w:line="6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231F20"/>
        </w:rPr>
        <w:t>We have entered into and may in the future enter into additional license agreements with third parties to advance our research or allow commercialization of product candidates. These licenses may not provide us with exclusive rights in all relevant fields of use and in all territories in which we may wish to develop or commercialize our technology and products.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In addition, we may not have the right to control the preparation, filing, prosecution, maintenance, enforcement, and defense of patents and patent applications covering the technology that we license. If our licensors fail to prosecute, maintain, enforce, and defend, or lose rights to such patents or patent applications, the rights we have licensed may be reduced or eliminated, and our right to develop and commercialize any product that is the subject of such licensed rights could be adversely affected. Even where we have the right to control patent prosecution of patents and patent applications we have licensed from third parties, we may still be adversely affected or prejudiced by actions or inactions taken by or on behalf of our licensors prior to the date upon which we assumed control over patent prosecution.</w:t>
      </w:r>
    </w:p>
    <w:p>
      <w:pPr>
        <w:spacing w:after="0" w:line="7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231F20"/>
        </w:rPr>
        <w:t>Our licensors may have relied on third-party consultants or collaborators or on funds from third parties such that our licensors are not the sole and exclusive owners of the patents we in-licensed. If other third parties have ownership rights to our in-licensed patents, our rights to use the licensed intellectual property would not be exclusive and they may be able to license such patents to our competitors, permitting our competitors to market competing products and technology. This could have a material adverse effect on our competitive position, business, financial conditions, results of operations, and prospects.</w:t>
      </w:r>
    </w:p>
    <w:p>
      <w:pPr>
        <w:spacing w:after="0" w:line="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231F20"/>
        </w:rPr>
        <w:t>For example, the intellectual property we license from the University of Texas, Southwestern (UTSW) is subject to certain non-commercial rights reserved by UTSW.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If any such event occurs, competitors or other third parties may gain the freedom to seek regulatory approval of, and to market, products identical to ours. Further, we may have to negotiate new or reinstated licenses with less favorable terms or we may not have sufficient intellectual property rights to operate our business. This could have a material adverse effect on our competitive position, business, financial condition, results of operations, and prospects.</w:t>
      </w:r>
    </w:p>
    <w:p>
      <w:pPr>
        <w:spacing w:after="0" w:line="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The agreements under which we license intellectual property or technology from third parties are complex, and certain provisions in such agreements may be susceptible to multiple interpretations. Disputes may arise between us and our current and future licensors. In spite of our efforts, our current and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8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Our licensors may also own or control intellectual property that has not been licensed to us and, as a result, we may be subject to claims, regardless of their merit, that we are infringing or otherwise violating our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179"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We have in-licensed, and we may develop, acquire or in-license in the future, certain patents, patent applications or other intellectual property generated using U.S. government funding or grants. Pursuant to the Bayh-Dole Act of 1980, the U.S. government has certain rights in inventions developed with government funding. These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w:t>
      </w:r>
    </w:p>
    <w:p>
      <w:pPr>
        <w:spacing w:after="0" w:line="3" w:lineRule="exact"/>
        <w:rPr>
          <w:sz w:val="20"/>
          <w:szCs w:val="20"/>
          <w:color w:val="auto"/>
        </w:rPr>
      </w:pPr>
    </w:p>
    <w:p>
      <w:pPr>
        <w:ind w:right="20" w:firstLine="8"/>
        <w:spacing w:after="0" w:line="251" w:lineRule="auto"/>
        <w:tabs>
          <w:tab w:leader="none" w:pos="255"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government action is necessary to meet public health or safety needs; or (3) government action is necessary to meet requirements for public use under federal regulations (also referred to as march-in rights). If the U.S. government exercises its march-in rights in our current or future intellectual property rights generated using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any of these inventions or produced through the use of any of these inventions be manufactured substantially in the U.S. This preference for U.S. industry may limit our ability to contract with non-U.S. product manufacturers for products covered by such intellectual property, and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Any failure by us to comply with federal regulations regarding intellectual property rights that were developed through the use of U.S. government funding could have a material adverse effect on our business, financial condition, results of operations, and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Dependence on Third Parties</w:t>
      </w:r>
    </w:p>
    <w:p>
      <w:pPr>
        <w:spacing w:after="0" w:line="11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The third parties upon which we rely to conduct our preclinical studies and clinical trials have a significant role in the conduct of such drug development activities and the subsequent collection and analysis of data. These third parties are not our employees, and except for remedies available to us under our agreements with such third parties, we have limited ability to control the amount or timing of resources that any such third party devotes to our preclinical studies or our clinical trials.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If we need to enter into alternative arrangements with, or replace or add any third parties, it would involve a transition period, and may require substantial cost and extensive management time and focus. Any of these events may delay our drug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development activities, increase costs, and materially impact our ability to meet our desired clinical development timelines.</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Our heavy reliance on these third parties for such drug development activities reduces our control over these activities. As a result, we have less direct control over the conduct, timing and completion of preclinical studies and clinical trials and the management of data developed through such drug development activities than if we were relying entirely upon our own staff. Nevertheless, we are responsible for ensuring that each of our preclinical studies and clinical trials is conducted in accordance with applicable protocol, legal and regulatory requirements and scientific standards, such as GCP and cGMP, and our reliance on third parties does not relieve us of these responsibilities. Regulatory authorities enforce these requirements through periodic inspections of trial sponsors, principal investigators and trial sites. If we or any of our CROs fail to comply with applicable requirements, such as GCP or cGMP,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applicable regulations. Moreover, our business may be implicated if any of these third parties violates federal or state fraud and abuse or false claims laws and regulations or healthcare privacy and security laws.</w:t>
      </w:r>
    </w:p>
    <w:p>
      <w:pPr>
        <w:spacing w:after="0" w:line="8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231F20"/>
        </w:rPr>
        <w:t>If these third parties do not successfully carry out their contractual duties, meet expected deadlines or conduct our clinical trials in accordance with regulatory requirements or our stated protocols, we will not be able, or may be delayed in, obtaining marketing approvals for our product candidates or otherwise successfully commercializing our product candidates.</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on third parties to produce certain of our product candidates. This increases the risk that we will not have sufficient quality and quantities of product candidates or such quantities at an acceptable cost, which could delay, prevent or impair our business.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We do not have long-term supply agreements, and we purchase our required drug product on a purchase order basis, which means that aside from any binding purchase orders we may have, our supplier could cease supplying to us or change the terms on which it is willing to continue supplying to us at any time. If we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 Furthermore, any decision by us to change a third-party manufacturer could result in delays in our manufacturing supply chain which could delay or otherwise impact development of our programs and result in increased costs.</w:t>
      </w:r>
    </w:p>
    <w:p>
      <w:pPr>
        <w:spacing w:after="0" w:line="7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231F20"/>
        </w:rPr>
        <w:t>We may be unable to maintain or establish required agreements with third-party manufacturers on acceptable terms. Even if we are able to do so, reliance on third-party manufacturers entails additional risks, including:</w:t>
      </w:r>
    </w:p>
    <w:p>
      <w:pPr>
        <w:spacing w:after="0" w:line="54" w:lineRule="exact"/>
        <w:rPr>
          <w:sz w:val="20"/>
          <w:szCs w:val="20"/>
          <w:color w:val="auto"/>
        </w:rPr>
      </w:pPr>
    </w:p>
    <w:p>
      <w:pPr>
        <w:ind w:left="1020" w:right="320" w:hanging="503"/>
        <w:spacing w:after="0" w:line="266" w:lineRule="auto"/>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termination or nonrenewal of arrangements or agreements by our third-party contractors at a time that is costly or inconvenient for us;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breach by the third-party contractors of our agreements with them;</w:t>
      </w:r>
    </w:p>
    <w:p>
      <w:pPr>
        <w:spacing w:after="0" w:line="117" w:lineRule="exact"/>
        <w:rPr>
          <w:rFonts w:ascii="Times New Roman" w:cs="Times New Roman" w:eastAsia="Times New Roman" w:hAnsi="Times New Roman"/>
          <w:sz w:val="18"/>
          <w:szCs w:val="18"/>
          <w:color w:val="231F20"/>
        </w:rPr>
      </w:pPr>
    </w:p>
    <w:p>
      <w:pPr>
        <w:ind w:left="1020" w:right="620" w:hanging="503"/>
        <w:spacing w:after="0" w:line="282" w:lineRule="auto"/>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failure of third-party contractors to manufacture our product candidates according to our specifications or comply with applicable regulatory requirements, including cGMP;</w:t>
      </w:r>
    </w:p>
    <w:p>
      <w:pPr>
        <w:spacing w:after="0" w:line="53" w:lineRule="exact"/>
        <w:rPr>
          <w:rFonts w:ascii="Times New Roman" w:cs="Times New Roman" w:eastAsia="Times New Roman" w:hAnsi="Times New Roman"/>
          <w:sz w:val="18"/>
          <w:szCs w:val="18"/>
          <w:color w:val="231F20"/>
        </w:rPr>
      </w:pPr>
    </w:p>
    <w:p>
      <w:pPr>
        <w:ind w:left="1020" w:right="520" w:hanging="503"/>
        <w:spacing w:after="0" w:line="282" w:lineRule="auto"/>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mislabeling of clinical supplies, potentially resulting in the wrong dose amounts being supplied or active drug or placebo not being properly identified;</w:t>
      </w:r>
    </w:p>
    <w:p>
      <w:pPr>
        <w:spacing w:after="0" w:line="53"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infringement, misappropriation or other violation of our intellectual property or proprietary information.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do not have complete control over all aspects of the manufacturing process of our CDMOs and are dependent on these CDMOs for compliance with cGMP regulations for manufacturing API, drug substance and finished drug products. We are in the process of developing our supply chain for each of our product candidates and intend to put in place framework agreements under which CDMOs will provide us with necessary quantities of API, drug substance and drug product based on our development needs. As we advance our product candidates through development, we will consider our lack of redundant supply for each of our product candidates to protect against any potential supply disruptions. However, we may be unsuccessful in putting in place such framework agreements or protecting against potential supply disruptions.</w:t>
      </w:r>
    </w:p>
    <w:p>
      <w:pPr>
        <w:spacing w:after="0" w:line="7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231F20"/>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We rely on third-party suppliers for the raw materials required for the production of our product candidates for all of our programs.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spacing w:after="0" w:line="81"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231F20"/>
        </w:rPr>
        <w:t>Our dependence upon others for the manufacture of our product candidates may adversely affect our future profit margins and our ability to commercialize any product candidates that receive marketing approval on a timely and competitive basis.</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engage in future acquisitions or strategic partnerships,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231F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5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increased operating expenses and cash requirements;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assumption of additional indebtedness or contingent liabilities;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issuance of our equity securities;</w:t>
      </w:r>
    </w:p>
    <w:p>
      <w:pPr>
        <w:spacing w:after="0" w:line="117" w:lineRule="exact"/>
        <w:rPr>
          <w:rFonts w:ascii="Times New Roman" w:cs="Times New Roman" w:eastAsia="Times New Roman" w:hAnsi="Times New Roman"/>
          <w:sz w:val="18"/>
          <w:szCs w:val="18"/>
          <w:color w:val="231F20"/>
        </w:rPr>
      </w:pPr>
    </w:p>
    <w:p>
      <w:pPr>
        <w:ind w:left="1020" w:right="160" w:hanging="503"/>
        <w:spacing w:after="0" w:line="282"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diversion of our management’s attention from our existing programs and initiatives in pursuing such a strategic partnership or acquisition;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unauthorized use or disclosure of our confidential information accessed in connection with partnership activities;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risks and uncertainties associated with the other party to such a transaction, including the prospects of that party and their existing products or product candidates and marketing approvals;</w:t>
      </w:r>
    </w:p>
    <w:p>
      <w:pPr>
        <w:spacing w:after="0" w:line="53"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inability to generate revenue from acquired technology and/or products sufficient to meet our objectives in undertaking the acquisition or even to offset the associated acquisition and maintenance costs;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inability to realize anticipated efficiencies and strategic benefits from such acquisitions or strategic partnerships.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8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231F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58"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enter into collaborations with third parties for the development and commercialization of product candidates. If we are not able to establish those collaborations on commercially reasonable terms or those collaborations are not successful, we may not be able to capitalize on the market potential of these product candidates.</w:t>
      </w:r>
    </w:p>
    <w:p>
      <w:pPr>
        <w:spacing w:after="0" w:line="6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We strategically evaluate collaborations and partnerships with biopharmaceutical companies that may have more robust and complementary capabilities and resources to accelerate the development and maximize the availability and potential of our product candidates. The collaboration negotiation process is time-consuming and complex. If and when we seek to enter into collaborations, we may not be able to negotiate collaborations on a timely basis, on acceptable terms, or at all. Whether we reach a definitive agreement for a collaboration will depend, among other things, upon our assessment of the collaborator’s resources and expertise, the terms and conditions of the proposed collaboration and the proposed collaborator’s evaluation of a number of factors regarding our business, the applicable product candidate or technology subject to the collaboration negotiation and the related market potential.</w:t>
      </w:r>
    </w:p>
    <w:p>
      <w:pPr>
        <w:spacing w:after="0" w:line="8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231F20"/>
        </w:rPr>
        <w:t>If we are unable to reach a definitive agreement,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7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72" w:lineRule="exact"/>
        <w:rPr>
          <w:sz w:val="20"/>
          <w:szCs w:val="20"/>
          <w:color w:val="auto"/>
        </w:rPr>
      </w:pPr>
    </w:p>
    <w:p>
      <w:pPr>
        <w:ind w:left="1020" w:right="560" w:hanging="503"/>
        <w:spacing w:after="0" w:line="282" w:lineRule="auto"/>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53" w:lineRule="exact"/>
        <w:rPr>
          <w:rFonts w:ascii="Times New Roman" w:cs="Times New Roman" w:eastAsia="Times New Roman" w:hAnsi="Times New Roman"/>
          <w:sz w:val="18"/>
          <w:szCs w:val="18"/>
          <w:color w:val="231F20"/>
        </w:rPr>
      </w:pPr>
    </w:p>
    <w:p>
      <w:pPr>
        <w:ind w:left="1020" w:right="140" w:hanging="503"/>
        <w:spacing w:after="0" w:line="282" w:lineRule="auto"/>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relationship may require us to incur non-recurring and other charges, increase our near- and long-term expenditures, issue securities that dilute our existing stockholders, or disrupt our management and business;</w:t>
      </w:r>
    </w:p>
    <w:p>
      <w:pPr>
        <w:spacing w:after="0" w:line="53" w:lineRule="exact"/>
        <w:rPr>
          <w:rFonts w:ascii="Times New Roman" w:cs="Times New Roman" w:eastAsia="Times New Roman" w:hAnsi="Times New Roman"/>
          <w:sz w:val="18"/>
          <w:szCs w:val="18"/>
          <w:color w:val="231F20"/>
        </w:rPr>
      </w:pPr>
    </w:p>
    <w:p>
      <w:pPr>
        <w:ind w:left="1020" w:right="40" w:hanging="503"/>
        <w:spacing w:after="0" w:line="261" w:lineRule="auto"/>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71" w:lineRule="exact"/>
        <w:rPr>
          <w:rFonts w:ascii="Times New Roman" w:cs="Times New Roman" w:eastAsia="Times New Roman" w:hAnsi="Times New Roman"/>
          <w:sz w:val="18"/>
          <w:szCs w:val="18"/>
          <w:color w:val="231F20"/>
        </w:rPr>
      </w:pPr>
    </w:p>
    <w:p>
      <w:pPr>
        <w:ind w:left="1020" w:right="440" w:hanging="503"/>
        <w:spacing w:after="0" w:line="282" w:lineRule="auto"/>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231F20"/>
        </w:rPr>
      </w:pPr>
    </w:p>
    <w:p>
      <w:pPr>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231F20"/>
        </w:rPr>
      </w:pPr>
    </w:p>
    <w:p>
      <w:pPr>
        <w:ind w:left="1020" w:right="740" w:hanging="503"/>
        <w:spacing w:after="0" w:line="282" w:lineRule="auto"/>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collaborator with marketing and distribution rights to multiple products may not commit sufficient resources to the marketing and distribution of our product relative to other products;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grant exclusive rights to our collaborators that would prevent us from collaborating with others;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86" w:lineRule="exact"/>
        <w:rPr>
          <w:sz w:val="20"/>
          <w:szCs w:val="20"/>
          <w:color w:val="auto"/>
        </w:rPr>
      </w:pPr>
    </w:p>
    <w:p>
      <w:pPr>
        <w:ind w:left="1020" w:right="60" w:hanging="503"/>
        <w:spacing w:after="0" w:line="261"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spacing w:after="0" w:line="71" w:lineRule="exact"/>
        <w:rPr>
          <w:rFonts w:ascii="Times New Roman" w:cs="Times New Roman" w:eastAsia="Times New Roman" w:hAnsi="Times New Roman"/>
          <w:sz w:val="18"/>
          <w:szCs w:val="18"/>
          <w:color w:val="231F20"/>
        </w:rPr>
      </w:pPr>
    </w:p>
    <w:p>
      <w:pPr>
        <w:ind w:left="1020" w:right="40" w:hanging="503"/>
        <w:spacing w:after="0" w:line="282"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231F20"/>
        </w:rPr>
      </w:pPr>
    </w:p>
    <w:p>
      <w:pPr>
        <w:ind w:left="1020" w:right="980" w:hanging="503"/>
        <w:spacing w:after="0" w:line="282"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collaborations may be terminated and, if terminated, may result in a need for additional capital to pursue further development or commercialization of the applicable product candidates;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collaboration agreements may not lead to development or commercialization of product candidates in the most efficient manner or at all;</w:t>
      </w:r>
    </w:p>
    <w:p>
      <w:pPr>
        <w:spacing w:after="0" w:line="117" w:lineRule="exact"/>
        <w:rPr>
          <w:rFonts w:ascii="Times New Roman" w:cs="Times New Roman" w:eastAsia="Times New Roman" w:hAnsi="Times New Roman"/>
          <w:sz w:val="18"/>
          <w:szCs w:val="18"/>
          <w:color w:val="231F20"/>
        </w:rPr>
      </w:pPr>
    </w:p>
    <w:p>
      <w:pPr>
        <w:jc w:val="both"/>
        <w:ind w:left="1020" w:right="40" w:hanging="503"/>
        <w:spacing w:after="0" w:line="266"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6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collaborator’s sales and marketing activities or other operations may not be in compliance with applicable laws resulting in civil or criminal proceedings.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If an agreement with a collaborator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5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231F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There are risks involved with both establishing our own commercial capabilities and entering into arrangements with third parties to perform these services. If the commercial launch of a product candidate for which we recruit a sales force and establish marketing and other commercialization capabilities is delayed or does not occur, we would have prematurely or unnecessarily incurred these commercialization expenses. This may be costly, and our investment would be lost if we cannot retain or reposition our commercialization personnel.</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90" w:lineRule="exact"/>
        <w:rPr>
          <w:sz w:val="20"/>
          <w:szCs w:val="20"/>
          <w:color w:val="auto"/>
        </w:rPr>
      </w:pPr>
    </w:p>
    <w:p>
      <w:pPr>
        <w:ind w:right="5100"/>
        <w:spacing w:after="0" w:line="377" w:lineRule="auto"/>
        <w:rPr>
          <w:sz w:val="20"/>
          <w:szCs w:val="20"/>
          <w:color w:val="auto"/>
        </w:rPr>
      </w:pPr>
      <w:r>
        <w:rPr>
          <w:rFonts w:ascii="Times New Roman" w:cs="Times New Roman" w:eastAsia="Times New Roman" w:hAnsi="Times New Roman"/>
          <w:sz w:val="18"/>
          <w:szCs w:val="18"/>
          <w:b w:val="1"/>
          <w:bCs w:val="1"/>
          <w:color w:val="231F20"/>
        </w:rPr>
        <w:t xml:space="preserve">Risks Related to the Securities Market and Ownership of Our Common Stock </w:t>
      </w:r>
      <w:r>
        <w:rPr>
          <w:rFonts w:ascii="Times New Roman" w:cs="Times New Roman" w:eastAsia="Times New Roman" w:hAnsi="Times New Roman"/>
          <w:sz w:val="18"/>
          <w:szCs w:val="18"/>
          <w:b w:val="1"/>
          <w:bCs w:val="1"/>
          <w:i w:val="1"/>
          <w:iCs w:val="1"/>
          <w:color w:val="231F20"/>
        </w:rPr>
        <w:t>The price of our stock is volatile, and you could lose all or part of your investment.</w:t>
      </w:r>
    </w:p>
    <w:p>
      <w:pPr>
        <w:spacing w:after="0" w:line="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231F20"/>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spacing w:after="0" w:line="75"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of achievement of our research, clinical, regulatory and other milestones for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results of preclinical studies and clinical trials of our product candidates, those conducted by third parties or those of our competitors;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success of competitive products or announcements by potential competitors of their product development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actions with respect to our product candidates or those of our competitors;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changes in our growth rate relative to our competitors;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or legal developments in the U.S. and other countries;</w:t>
      </w:r>
    </w:p>
    <w:p>
      <w:pPr>
        <w:spacing w:after="0" w:line="117" w:lineRule="exact"/>
        <w:rPr>
          <w:rFonts w:ascii="Times New Roman" w:cs="Times New Roman" w:eastAsia="Times New Roman" w:hAnsi="Times New Roman"/>
          <w:sz w:val="18"/>
          <w:szCs w:val="18"/>
          <w:color w:val="231F20"/>
        </w:rPr>
      </w:pPr>
    </w:p>
    <w:p>
      <w:pPr>
        <w:ind w:left="1020" w:right="420" w:hanging="503"/>
        <w:spacing w:after="0" w:line="282" w:lineRule="auto"/>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litigation, including developments or disputes concerning patent applications, issued patents or other intellectual property or proprietary rights;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recruitment or departure of key personnel;</w:t>
      </w:r>
    </w:p>
    <w:p>
      <w:pPr>
        <w:spacing w:after="0" w:line="117" w:lineRule="exact"/>
        <w:rPr>
          <w:rFonts w:ascii="Times New Roman" w:cs="Times New Roman" w:eastAsia="Times New Roman" w:hAnsi="Times New Roman"/>
          <w:sz w:val="18"/>
          <w:szCs w:val="18"/>
          <w:color w:val="231F20"/>
        </w:rPr>
      </w:pPr>
    </w:p>
    <w:p>
      <w:pPr>
        <w:ind w:left="1020" w:right="700" w:hanging="503"/>
        <w:spacing w:after="0" w:line="282" w:lineRule="auto"/>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announcements by us or our competitors of significant acquisitions, strategic collaborations, joint ventures, collaborations or capital commitments;</w:t>
      </w:r>
    </w:p>
    <w:p>
      <w:pPr>
        <w:spacing w:after="0" w:line="53" w:lineRule="exact"/>
        <w:rPr>
          <w:rFonts w:ascii="Times New Roman" w:cs="Times New Roman" w:eastAsia="Times New Roman" w:hAnsi="Times New Roman"/>
          <w:sz w:val="18"/>
          <w:szCs w:val="18"/>
          <w:color w:val="231F20"/>
        </w:rPr>
      </w:pPr>
    </w:p>
    <w:p>
      <w:pPr>
        <w:ind w:left="1020" w:right="260" w:hanging="503"/>
        <w:spacing w:after="0" w:line="282" w:lineRule="auto"/>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changes in estimates as to financial results, development timelines or coverage and/or recommendations by securities analysts;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market conditions in the pharmaceutical and biotechnology sector;</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structure of healthcare payment systems;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 or expectation of additional financing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sales of our common stock by us, our insiders or our other stockholders;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expiration of market stand-off or lock-up agreements;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any natural disasters or public health emergencies, such as the COVID-19 pandemic;</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fluctuations in interest rates and inflation rates;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general economic, political, industry and market conditions.</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The realization of any of the above risks or any of a broad range of other risks, including those described in this “Risk Factors” section, could have a dramatic and adverse impact on the market price of our common stock.</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operating results may fluctuate significantly, which makes our future operating results difficult to predict and could cause our operating results to fall below expectations or our guidance.</w:t>
      </w:r>
    </w:p>
    <w:p>
      <w:pPr>
        <w:spacing w:after="0" w:line="5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231F20"/>
        </w:rPr>
        <w:t>Our quarterly and annual operating results may fluctuate significantly in the future due to a variety of factors, many of which are outside of our control and may be difficult to predict. The cumulative effect of these factors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31F20"/>
        </w:rPr>
        <w:t>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principal stockholders and management own a significant percentage of our stock and will be able to exert significant control over matters subject to stockholder approval.</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As of September 30, 2024, our executive officers, directors, holders of 5% or more of our capital stock and their respective affiliates beneficially owned approximately 62% of our common stock. These stockholders, acting together, may be able to control matters requiring stockholder approval. For example, they may be able to control elections of directors, amendments of our organizational documents or approval of any merger or other major corporate transactions. This concentration of ownership may delay, discourage or prevent a change of control, including unsolicited acquisition proposals or offers for our common stock that you may feel are in your best interest as a stockholder, entrench our management and board of directors or delay or prevent a merger,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and might affect the prevailing market price for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Sales of a substantial number of shares of our common stock in the public market could cause our stock price to fall.</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31F20"/>
        </w:rPr>
        <w:t>Sales of a substantial number of shares of our common stock in the public market could occur at any time. For example, we filed a shelf registration statement on Form S-3 that became effective on August 17, 2022, which allows us to undertake various equity and debt offerings up to $300.0 million (the Shelf Registration), and as of September 30, 2024, we have sold 34,854,373 shares of our common stock and pre-funded warrants to purchase 8,458,964 shares of our common stock pursuant to the Shelf Registration</w:t>
      </w:r>
      <w:r>
        <w:rPr>
          <w:rFonts w:ascii="Times New Roman" w:cs="Times New Roman" w:eastAsia="Times New Roman" w:hAnsi="Times New Roman"/>
          <w:sz w:val="18"/>
          <w:szCs w:val="18"/>
          <w:color w:val="000000"/>
        </w:rPr>
        <w:t>.</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31F20"/>
        </w:rPr>
        <w:t>Moreover, c</w:t>
      </w:r>
      <w:r>
        <w:rPr>
          <w:rFonts w:ascii="Times New Roman" w:cs="Times New Roman" w:eastAsia="Times New Roman" w:hAnsi="Times New Roman"/>
          <w:sz w:val="18"/>
          <w:szCs w:val="18"/>
          <w:color w:val="000000"/>
        </w:rPr>
        <w:t>ertain holders of our common stock have rights, subject to certain conditions, to require us to file registration statements covering their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these shares are sold, or if it is perceived that they will be sold, in the public market, the trading price of our common stock could decline.</w:t>
      </w:r>
    </w:p>
    <w:p>
      <w:pPr>
        <w:spacing w:after="0" w:line="17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will incur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spacing w:after="0" w:line="6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231F20"/>
        </w:rPr>
        <w:t>As a public company, we are subject to the reporting requirements of the Exchange Act, the Sarbanes-Oxley Act, the Dodd-Frank Wall Street Reform and Protection Act, as well as rules adopted, and to be adopted, by the SEC and the Nasdaq Stock Market LLC (Nasdaq). As a result of our initiatives to comply with such regulatory requirements, we incur significant legal, accounting and other expenses which may increase after we are no longer an “emerging growth company.” Moreover, our management and other personnel need to devote a substantial amount of time to these compliance initiatives.</w:t>
      </w:r>
    </w:p>
    <w:p>
      <w:pPr>
        <w:spacing w:after="0" w:line="75"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231F20"/>
        </w:rPr>
        <w:t>In particular, as a public company we are required to comply with SEC rules that implement Section 404 of the Sarbanes-Oxley Act. Under these rules,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unless we continue to qualify as a “smaller reporting company” at such time. To achieve compliance with Section 404 within the prescribed periods, we engage in a process to document and evaluate our internal control over financial reporting, which is both costly and challenging. In this regard, we will need to continue to dedicate internal resources, potentially continue to engage outside consultants and adopt a detailed work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8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231F20"/>
        </w:rPr>
        <w:t>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deadlines imposed by the Sarbanes-Oxley Act.</w:t>
      </w:r>
    </w:p>
    <w:p>
      <w:pPr>
        <w:spacing w:after="0" w:line="6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Our internal control over financial reporting will not prevent or detect all errors and all fraud or prevent material weaknesses from being identified in such reporting.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subject to securities litigation, which is expensive and could divert management attention.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The market price of our common stock may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Provisions in our certificate of incorporation and bylaws and Delaware law might discourage, delay or prevent a change in control of our company or changes in our management and, therefore, depress the market price of our common stock.</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These provisions, among other things:</w:t>
      </w:r>
    </w:p>
    <w:p>
      <w:pPr>
        <w:spacing w:after="0" w:line="75"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provide that directors may only be removed “for cause”;</w:t>
      </w:r>
    </w:p>
    <w:p>
      <w:pPr>
        <w:spacing w:after="0" w:line="117" w:lineRule="exact"/>
        <w:rPr>
          <w:rFonts w:ascii="Times New Roman" w:cs="Times New Roman" w:eastAsia="Times New Roman" w:hAnsi="Times New Roman"/>
          <w:sz w:val="18"/>
          <w:szCs w:val="18"/>
          <w:color w:val="231F20"/>
        </w:rPr>
      </w:pPr>
    </w:p>
    <w:p>
      <w:pPr>
        <w:ind w:left="1020" w:right="38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authorize the issuance of “blank check” preferred stock that our board could use to implement a stockholder rights plan (also known as a poison pill);</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prohibit cumulative voting;</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authorize our board of directors to amend the bylaws;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86" w:lineRule="exact"/>
        <w:rPr>
          <w:sz w:val="20"/>
          <w:szCs w:val="20"/>
          <w:color w:val="auto"/>
        </w:rPr>
      </w:pPr>
    </w:p>
    <w:p>
      <w:pPr>
        <w:ind w:left="1020" w:right="800" w:hanging="503"/>
        <w:spacing w:after="0" w:line="282" w:lineRule="auto"/>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advance notice requirements for nominations for election to our board or for proposing matters that can be acted upon by stockholders at annual stockholder meetings;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require a super-majority vote of stockholders to amend or repeal specified provisions of our certificate of incorporation and bylaws.</w:t>
      </w:r>
    </w:p>
    <w:p>
      <w:pPr>
        <w:spacing w:after="0" w:line="11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31F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or certain other conditions are met.</w:t>
      </w:r>
    </w:p>
    <w:p>
      <w:pPr>
        <w:spacing w:after="0" w:line="7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231F20"/>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Our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75"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derivative action or proceeding brought on our behalf;</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of breach of fiduciary duty;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arising under the DGCL, our certificate of incorporation or our bylaws;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that is governed by the internal-affairs doctrine.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This provision would not apply to suits brought to enforce a duty or liability created by the Exchange Act or any other claim for which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federal courts have exclusive jurisdiction.</w:t>
      </w:r>
    </w:p>
    <w:p>
      <w:pPr>
        <w:spacing w:after="0" w:line="9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231F20"/>
        </w:rPr>
        <w:t>Our bylaws further provide that the federal district courts of the United States of America will be the exclusive forum for resolving any complaint asserting a cause of action arising under the Securities Act.</w:t>
      </w:r>
    </w:p>
    <w:p>
      <w:pPr>
        <w:spacing w:after="0" w:line="5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231F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In addition, these exclusive-forum provisions may impose additional litigation costs for stockholders who determine to pursue any such lawsuits against us.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bylaws to be inapplicable or unenforceable in an action, we may incur additional costs associated with resolving the dispute in other jurisdictions,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0" w:name="page81"/>
    <w:bookmarkEnd w:id="8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Sales of Unregistered Securities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had no sales of unregistered equity securities during the period covered by this report that were not previously reported in a Quarterly Report on Form 10-Q or a Current Report on Form 8-K.</w:t>
      </w:r>
    </w:p>
    <w:p>
      <w:pPr>
        <w:spacing w:after="0" w:line="158" w:lineRule="exact"/>
        <w:rPr>
          <w:sz w:val="20"/>
          <w:szCs w:val="20"/>
          <w:color w:val="auto"/>
        </w:rPr>
      </w:pPr>
    </w:p>
    <w:p>
      <w:pPr>
        <w:ind w:left="520" w:right="6360" w:hanging="512"/>
        <w:spacing w:after="0" w:line="412" w:lineRule="auto"/>
        <w:tabs>
          <w:tab w:leader="none" w:pos="5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Public Offering of Common Stock </w:t>
      </w:r>
      <w:r>
        <w:rPr>
          <w:rFonts w:ascii="Times New Roman" w:cs="Times New Roman" w:eastAsia="Times New Roman" w:hAnsi="Times New Roman"/>
          <w:sz w:val="18"/>
          <w:szCs w:val="18"/>
          <w:color w:val="auto"/>
        </w:rPr>
        <w:t>None.</w:t>
      </w:r>
    </w:p>
    <w:p>
      <w:pPr>
        <w:spacing w:after="0" w:line="45" w:lineRule="exact"/>
        <w:rPr>
          <w:rFonts w:ascii="Times New Roman" w:cs="Times New Roman" w:eastAsia="Times New Roman" w:hAnsi="Times New Roman"/>
          <w:sz w:val="18"/>
          <w:szCs w:val="18"/>
          <w:b w:val="1"/>
          <w:bCs w:val="1"/>
          <w:color w:val="auto"/>
        </w:rPr>
      </w:pPr>
    </w:p>
    <w:p>
      <w:pPr>
        <w:ind w:left="520" w:right="7800" w:hanging="512"/>
        <w:spacing w:after="0" w:line="412" w:lineRule="auto"/>
        <w:tabs>
          <w:tab w:leader="none" w:pos="5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2024, no director or officer, as defined in Rule 16a-1(f), adopted or terminated a “Rule 10b5-1 trading arrangement” or a “non-Rule 10b5-1 trading arrangement,” each as defined in Regulation S-K Item 408.</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1" w:name="page82"/>
    <w:bookmarkEnd w:id="81"/>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15"/>
        </w:trPr>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4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Filing</w:t>
            </w:r>
          </w:p>
        </w:tc>
      </w:tr>
      <w:tr>
        <w:trPr>
          <w:trHeight w:val="245"/>
        </w:trPr>
        <w:tc>
          <w:tcPr>
            <w:tcW w:w="13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18"/>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97"/>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35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Composite Amended and Restated Certificate of</w:t>
              </w:r>
            </w:hyperlink>
          </w:p>
        </w:tc>
        <w:tc>
          <w:tcPr>
            <w:tcW w:w="260" w:type="dxa"/>
            <w:vAlign w:val="bottom"/>
            <w:gridSpan w:val="7"/>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10-Q</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001-40656</w:t>
            </w:r>
          </w:p>
        </w:tc>
        <w:tc>
          <w:tcPr>
            <w:tcW w:w="14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8-9-2023</w:t>
            </w:r>
          </w:p>
        </w:tc>
      </w:tr>
      <w:tr>
        <w:trPr>
          <w:trHeight w:val="196"/>
        </w:trPr>
        <w:tc>
          <w:tcPr>
            <w:tcW w:w="1380" w:type="dxa"/>
            <w:vAlign w:val="bottom"/>
          </w:tcPr>
          <w:p>
            <w:pPr>
              <w:spacing w:after="0"/>
              <w:rPr>
                <w:sz w:val="17"/>
                <w:szCs w:val="17"/>
                <w:color w:val="auto"/>
              </w:rPr>
            </w:pPr>
          </w:p>
        </w:tc>
        <w:tc>
          <w:tcPr>
            <w:tcW w:w="33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Incorporation of Tenaya Therapeutics, Inc., as</w:t>
              </w:r>
            </w:hyperlink>
          </w:p>
        </w:tc>
        <w:tc>
          <w:tcPr>
            <w:tcW w:w="440" w:type="dxa"/>
            <w:vAlign w:val="bottom"/>
            <w:gridSpan w:val="11"/>
          </w:tcPr>
          <w:p>
            <w:pPr>
              <w:spacing w:after="0"/>
              <w:rPr>
                <w:sz w:val="17"/>
                <w:szCs w:val="17"/>
                <w:color w:val="auto"/>
              </w:rPr>
            </w:pPr>
          </w:p>
        </w:tc>
        <w:tc>
          <w:tcPr>
            <w:tcW w:w="1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6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283">
              <w:r>
                <w:rPr>
                  <w:rFonts w:ascii="Times New Roman" w:cs="Times New Roman" w:eastAsia="Times New Roman" w:hAnsi="Times New Roman"/>
                  <w:sz w:val="18"/>
                  <w:szCs w:val="18"/>
                  <w:color w:val="0000FF"/>
                  <w:w w:val="98"/>
                </w:rPr>
                <w:t>amended</w:t>
              </w:r>
            </w:hyperlink>
          </w:p>
        </w:tc>
        <w:tc>
          <w:tcPr>
            <w:tcW w:w="20" w:type="dxa"/>
            <w:vAlign w:val="bottom"/>
            <w:tcBorders>
              <w:bottom w:val="single" w:sz="8" w:color="0000EE"/>
            </w:tcBorders>
          </w:tcPr>
          <w:p>
            <w:pPr>
              <w:spacing w:after="0"/>
              <w:rPr>
                <w:sz w:val="17"/>
                <w:szCs w:val="17"/>
                <w:color w:val="auto"/>
              </w:rPr>
            </w:pPr>
          </w:p>
        </w:tc>
        <w:tc>
          <w:tcPr>
            <w:tcW w:w="3120" w:type="dxa"/>
            <w:vAlign w:val="bottom"/>
            <w:gridSpan w:val="20"/>
          </w:tcPr>
          <w:p>
            <w:pPr>
              <w:spacing w:after="0"/>
              <w:rPr>
                <w:sz w:val="17"/>
                <w:szCs w:val="17"/>
                <w:color w:val="auto"/>
              </w:rPr>
            </w:pPr>
          </w:p>
        </w:tc>
        <w:tc>
          <w:tcPr>
            <w:tcW w:w="1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331"/>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30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Amended and Restated Bylaws of Tenaya</w:t>
              </w:r>
            </w:hyperlink>
          </w:p>
        </w:tc>
        <w:tc>
          <w:tcPr>
            <w:tcW w:w="740" w:type="dxa"/>
            <w:vAlign w:val="bottom"/>
            <w:gridSpan w:val="12"/>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001-40656</w:t>
            </w:r>
          </w:p>
        </w:tc>
        <w:tc>
          <w:tcPr>
            <w:tcW w:w="14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3-21-2023</w:t>
            </w:r>
          </w:p>
        </w:tc>
      </w:tr>
      <w:tr>
        <w:trPr>
          <w:trHeight w:val="196"/>
        </w:trPr>
        <w:tc>
          <w:tcPr>
            <w:tcW w:w="1380" w:type="dxa"/>
            <w:vAlign w:val="bottom"/>
          </w:tcPr>
          <w:p>
            <w:pPr>
              <w:spacing w:after="0"/>
              <w:rPr>
                <w:sz w:val="17"/>
                <w:szCs w:val="17"/>
                <w:color w:val="auto"/>
              </w:rPr>
            </w:pPr>
          </w:p>
        </w:tc>
        <w:tc>
          <w:tcPr>
            <w:tcW w:w="13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284">
              <w:r>
                <w:rPr>
                  <w:rFonts w:ascii="Times New Roman" w:cs="Times New Roman" w:eastAsia="Times New Roman" w:hAnsi="Times New Roman"/>
                  <w:sz w:val="18"/>
                  <w:szCs w:val="18"/>
                  <w:color w:val="0000FF"/>
                  <w:w w:val="98"/>
                </w:rPr>
                <w:t>Therapeutics, Inc.</w:t>
              </w:r>
            </w:hyperlink>
          </w:p>
        </w:tc>
        <w:tc>
          <w:tcPr>
            <w:tcW w:w="20" w:type="dxa"/>
            <w:vAlign w:val="bottom"/>
            <w:tcBorders>
              <w:bottom w:val="single" w:sz="8" w:color="0000EE"/>
            </w:tcBorders>
          </w:tcPr>
          <w:p>
            <w:pPr>
              <w:spacing w:after="0"/>
              <w:rPr>
                <w:sz w:val="17"/>
                <w:szCs w:val="17"/>
                <w:color w:val="auto"/>
              </w:rPr>
            </w:pPr>
          </w:p>
        </w:tc>
        <w:tc>
          <w:tcPr>
            <w:tcW w:w="2480" w:type="dxa"/>
            <w:vAlign w:val="bottom"/>
            <w:gridSpan w:val="18"/>
          </w:tcPr>
          <w:p>
            <w:pPr>
              <w:spacing w:after="0"/>
              <w:rPr>
                <w:sz w:val="17"/>
                <w:szCs w:val="17"/>
                <w:color w:val="auto"/>
              </w:rPr>
            </w:pPr>
          </w:p>
        </w:tc>
        <w:tc>
          <w:tcPr>
            <w:tcW w:w="1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331"/>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9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Warrant to Purchase Stock</w:t>
            </w:r>
          </w:p>
        </w:tc>
        <w:tc>
          <w:tcPr>
            <w:tcW w:w="20" w:type="dxa"/>
            <w:vAlign w:val="bottom"/>
            <w:tcBorders>
              <w:bottom w:val="single" w:sz="8" w:color="0000EE"/>
            </w:tcBorders>
          </w:tcPr>
          <w:p>
            <w:pPr>
              <w:spacing w:after="0"/>
              <w:rPr>
                <w:sz w:val="24"/>
                <w:szCs w:val="24"/>
                <w:color w:val="auto"/>
              </w:rPr>
            </w:pPr>
          </w:p>
        </w:tc>
        <w:tc>
          <w:tcPr>
            <w:tcW w:w="1860" w:type="dxa"/>
            <w:vAlign w:val="bottom"/>
            <w:gridSpan w:val="16"/>
          </w:tcPr>
          <w:p>
            <w:pPr>
              <w:spacing w:after="0"/>
              <w:rPr>
                <w:sz w:val="24"/>
                <w:szCs w:val="24"/>
                <w:color w:val="auto"/>
              </w:rPr>
            </w:pPr>
          </w:p>
        </w:tc>
        <w:tc>
          <w:tcPr>
            <w:tcW w:w="1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44"/>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3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Loan and Security Agreement by and between</w:t>
            </w:r>
          </w:p>
        </w:tc>
        <w:tc>
          <w:tcPr>
            <w:tcW w:w="420" w:type="dxa"/>
            <w:vAlign w:val="bottom"/>
            <w:gridSpan w:val="10"/>
          </w:tcPr>
          <w:p>
            <w:pPr>
              <w:spacing w:after="0"/>
              <w:rPr>
                <w:sz w:val="24"/>
                <w:szCs w:val="24"/>
                <w:color w:val="auto"/>
              </w:rPr>
            </w:pPr>
          </w:p>
        </w:tc>
        <w:tc>
          <w:tcPr>
            <w:tcW w:w="1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350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Silicon Valley Bank, a division of First-Citizens</w:t>
            </w:r>
          </w:p>
        </w:tc>
        <w:tc>
          <w:tcPr>
            <w:tcW w:w="300" w:type="dxa"/>
            <w:vAlign w:val="bottom"/>
            <w:gridSpan w:val="8"/>
          </w:tcPr>
          <w:p>
            <w:pPr>
              <w:spacing w:after="0"/>
              <w:rPr>
                <w:sz w:val="17"/>
                <w:szCs w:val="17"/>
                <w:color w:val="auto"/>
              </w:rPr>
            </w:pPr>
          </w:p>
        </w:tc>
        <w:tc>
          <w:tcPr>
            <w:tcW w:w="1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68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Bank &amp; Trust Company and Tenaya Therapeutics,</w:t>
            </w:r>
          </w:p>
        </w:tc>
        <w:tc>
          <w:tcPr>
            <w:tcW w:w="120" w:type="dxa"/>
            <w:vAlign w:val="bottom"/>
            <w:gridSpan w:val="4"/>
          </w:tcPr>
          <w:p>
            <w:pPr>
              <w:spacing w:after="0"/>
              <w:rPr>
                <w:sz w:val="17"/>
                <w:szCs w:val="17"/>
                <w:color w:val="auto"/>
              </w:rPr>
            </w:pPr>
          </w:p>
        </w:tc>
        <w:tc>
          <w:tcPr>
            <w:tcW w:w="1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Inc.</w:t>
            </w:r>
          </w:p>
        </w:tc>
        <w:tc>
          <w:tcPr>
            <w:tcW w:w="20" w:type="dxa"/>
            <w:vAlign w:val="bottom"/>
            <w:tcBorders>
              <w:bottom w:val="single" w:sz="8" w:color="0000EE"/>
            </w:tcBorders>
          </w:tcPr>
          <w:p>
            <w:pPr>
              <w:spacing w:after="0"/>
              <w:rPr>
                <w:sz w:val="17"/>
                <w:szCs w:val="17"/>
                <w:color w:val="auto"/>
              </w:rPr>
            </w:pPr>
          </w:p>
        </w:tc>
        <w:tc>
          <w:tcPr>
            <w:tcW w:w="3500" w:type="dxa"/>
            <w:vAlign w:val="bottom"/>
            <w:gridSpan w:val="22"/>
          </w:tcPr>
          <w:p>
            <w:pPr>
              <w:spacing w:after="0"/>
              <w:rPr>
                <w:sz w:val="17"/>
                <w:szCs w:val="17"/>
                <w:color w:val="auto"/>
              </w:rPr>
            </w:pPr>
          </w:p>
        </w:tc>
        <w:tc>
          <w:tcPr>
            <w:tcW w:w="1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331"/>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37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Tenaya Therapeutics, Inc. 2024 Inducement Equity</w:t>
              </w:r>
            </w:hyperlink>
          </w:p>
        </w:tc>
        <w:tc>
          <w:tcPr>
            <w:tcW w:w="60" w:type="dxa"/>
            <w:vAlign w:val="bottom"/>
            <w:gridSpan w:val="2"/>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001-40656</w:t>
            </w:r>
          </w:p>
        </w:tc>
        <w:tc>
          <w:tcPr>
            <w:tcW w:w="14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10.1</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9-16-2024</w:t>
            </w:r>
          </w:p>
        </w:tc>
      </w:tr>
      <w:tr>
        <w:trPr>
          <w:trHeight w:val="196"/>
        </w:trPr>
        <w:tc>
          <w:tcPr>
            <w:tcW w:w="1380" w:type="dxa"/>
            <w:vAlign w:val="bottom"/>
          </w:tcPr>
          <w:p>
            <w:pPr>
              <w:spacing w:after="0"/>
              <w:rPr>
                <w:sz w:val="17"/>
                <w:szCs w:val="17"/>
                <w:color w:val="auto"/>
              </w:rPr>
            </w:pPr>
          </w:p>
        </w:tc>
        <w:tc>
          <w:tcPr>
            <w:tcW w:w="38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Incentive Plan and related forms of stock option and</w:t>
              </w:r>
            </w:hyperlink>
          </w:p>
        </w:tc>
        <w:tc>
          <w:tcPr>
            <w:tcW w:w="1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800" w:type="dxa"/>
            <w:vAlign w:val="bottom"/>
            <w:gridSpan w:val="24"/>
          </w:tcPr>
          <w:p>
            <w:pPr>
              <w:spacing w:after="0" w:line="19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restricted stock unit agreements</w:t>
              </w:r>
            </w:hyperlink>
          </w:p>
        </w:tc>
        <w:tc>
          <w:tcPr>
            <w:tcW w:w="1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300" w:type="dxa"/>
            <w:vAlign w:val="bottom"/>
            <w:tcBorders>
              <w:right w:val="single" w:sz="8" w:color="0000EE"/>
            </w:tcBorders>
            <w:gridSpan w:val="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31"/>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4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w:t>
            </w:r>
          </w:p>
        </w:tc>
        <w:tc>
          <w:tcPr>
            <w:tcW w:w="320" w:type="dxa"/>
            <w:vAlign w:val="bottom"/>
            <w:gridSpan w:val="9"/>
          </w:tcPr>
          <w:p>
            <w:pPr>
              <w:spacing w:after="0"/>
              <w:rPr>
                <w:sz w:val="24"/>
                <w:szCs w:val="24"/>
                <w:color w:val="auto"/>
              </w:rPr>
            </w:pPr>
          </w:p>
        </w:tc>
        <w:tc>
          <w:tcPr>
            <w:tcW w:w="1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38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Principal Financial Officer Pursuant to Rules 13a-</w:t>
            </w:r>
          </w:p>
        </w:tc>
        <w:tc>
          <w:tcPr>
            <w:tcW w:w="1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380" w:type="dxa"/>
            <w:vAlign w:val="bottom"/>
            <w:tcBorders>
              <w:right w:val="single" w:sz="8" w:color="0000FF"/>
            </w:tcBorders>
            <w:gridSpan w:val="10"/>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372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14(a) and 15d-14(a) under the Securities Exchange</w:t>
            </w:r>
          </w:p>
        </w:tc>
        <w:tc>
          <w:tcPr>
            <w:tcW w:w="8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76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Act of 1934, as Adopted Pursuant to Section 302 of</w:t>
            </w: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8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1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380" w:type="dxa"/>
            <w:vAlign w:val="bottom"/>
            <w:tcBorders>
              <w:right w:val="single" w:sz="8" w:color="0000EE"/>
            </w:tcBorders>
            <w:gridSpan w:val="10"/>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31"/>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4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w:t>
            </w:r>
          </w:p>
        </w:tc>
        <w:tc>
          <w:tcPr>
            <w:tcW w:w="320" w:type="dxa"/>
            <w:vAlign w:val="bottom"/>
            <w:gridSpan w:val="9"/>
          </w:tcPr>
          <w:p>
            <w:pPr>
              <w:spacing w:after="0"/>
              <w:rPr>
                <w:sz w:val="24"/>
                <w:szCs w:val="24"/>
                <w:color w:val="auto"/>
              </w:rPr>
            </w:pPr>
          </w:p>
        </w:tc>
        <w:tc>
          <w:tcPr>
            <w:tcW w:w="1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360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Principal Financial Officer Pursuant to 18 U.S.C.</w:t>
            </w:r>
          </w:p>
        </w:tc>
        <w:tc>
          <w:tcPr>
            <w:tcW w:w="200" w:type="dxa"/>
            <w:vAlign w:val="bottom"/>
            <w:gridSpan w:val="6"/>
          </w:tcPr>
          <w:p>
            <w:pPr>
              <w:spacing w:after="0"/>
              <w:rPr>
                <w:sz w:val="17"/>
                <w:szCs w:val="17"/>
                <w:color w:val="auto"/>
              </w:rPr>
            </w:pPr>
          </w:p>
        </w:tc>
        <w:tc>
          <w:tcPr>
            <w:tcW w:w="1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66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w:t>
            </w:r>
          </w:p>
        </w:tc>
        <w:tc>
          <w:tcPr>
            <w:tcW w:w="140" w:type="dxa"/>
            <w:vAlign w:val="bottom"/>
            <w:gridSpan w:val="5"/>
          </w:tcPr>
          <w:p>
            <w:pPr>
              <w:spacing w:after="0"/>
              <w:rPr>
                <w:sz w:val="17"/>
                <w:szCs w:val="17"/>
                <w:color w:val="auto"/>
              </w:rPr>
            </w:pPr>
          </w:p>
        </w:tc>
        <w:tc>
          <w:tcPr>
            <w:tcW w:w="1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8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1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560" w:type="dxa"/>
            <w:vAlign w:val="bottom"/>
            <w:gridSpan w:val="11"/>
            <w:shd w:val="clear" w:color="auto" w:fill="0000FF"/>
          </w:tcPr>
          <w:p>
            <w:pPr>
              <w:spacing w:after="0" w:line="20" w:lineRule="exact"/>
              <w:rPr>
                <w:sz w:val="1"/>
                <w:szCs w:val="1"/>
                <w:color w:val="auto"/>
              </w:rPr>
            </w:pPr>
          </w:p>
        </w:tc>
        <w:tc>
          <w:tcPr>
            <w:tcW w:w="1240" w:type="dxa"/>
            <w:vAlign w:val="bottom"/>
            <w:gridSpan w:val="1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5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8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Document–the instance</w:t>
            </w:r>
          </w:p>
        </w:tc>
        <w:tc>
          <w:tcPr>
            <w:tcW w:w="1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w:t>
            </w:r>
          </w:p>
        </w:tc>
        <w:tc>
          <w:tcPr>
            <w:tcW w:w="1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File as its XBRL tags are embedded within the</w:t>
            </w:r>
          </w:p>
        </w:tc>
        <w:tc>
          <w:tcPr>
            <w:tcW w:w="1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1380" w:type="dxa"/>
            <w:vAlign w:val="bottom"/>
          </w:tcPr>
          <w:p>
            <w:pPr>
              <w:spacing w:after="0"/>
              <w:rPr>
                <w:sz w:val="20"/>
                <w:szCs w:val="20"/>
                <w:color w:val="auto"/>
              </w:rPr>
            </w:pPr>
          </w:p>
        </w:tc>
        <w:tc>
          <w:tcPr>
            <w:tcW w:w="38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1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8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c>
          <w:tcPr>
            <w:tcW w:w="1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1380" w:type="dxa"/>
            <w:vAlign w:val="bottom"/>
          </w:tcPr>
          <w:p>
            <w:pPr>
              <w:spacing w:after="0"/>
              <w:rPr>
                <w:sz w:val="20"/>
                <w:szCs w:val="20"/>
                <w:color w:val="auto"/>
              </w:rPr>
            </w:pPr>
          </w:p>
        </w:tc>
        <w:tc>
          <w:tcPr>
            <w:tcW w:w="38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Embedded Linkbase Documents.</w:t>
            </w:r>
          </w:p>
        </w:tc>
        <w:tc>
          <w:tcPr>
            <w:tcW w:w="1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8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Cover page formatted as Inline XBRL and</w:t>
            </w:r>
          </w:p>
        </w:tc>
        <w:tc>
          <w:tcPr>
            <w:tcW w:w="1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1380" w:type="dxa"/>
            <w:vAlign w:val="bottom"/>
          </w:tcPr>
          <w:p>
            <w:pPr>
              <w:spacing w:after="0"/>
              <w:rPr>
                <w:sz w:val="20"/>
                <w:szCs w:val="20"/>
                <w:color w:val="auto"/>
              </w:rPr>
            </w:pPr>
          </w:p>
        </w:tc>
        <w:tc>
          <w:tcPr>
            <w:tcW w:w="38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1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right="20" w:firstLine="8"/>
        <w:spacing w:after="0" w:line="250" w:lineRule="auto"/>
        <w:tabs>
          <w:tab w:leader="none" w:pos="1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have been omitted pursuant to Item 601(b)(10)(iv) of Regulation S-K. A copy of any omitted portions will be furnished to the SEC upon request.</w:t>
      </w:r>
    </w:p>
    <w:p>
      <w:pPr>
        <w:ind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Tenaya Therapeutics, Inc.</w:t>
            </w:r>
          </w:p>
        </w:tc>
      </w:tr>
      <w:tr>
        <w:trPr>
          <w:trHeight w:val="47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6, 2024</w:t>
            </w:r>
          </w:p>
        </w:tc>
        <w:tc>
          <w:tcPr>
            <w:tcW w:w="758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Faraz Ali, M.B.A.</w:t>
            </w:r>
          </w:p>
        </w:tc>
      </w:tr>
      <w:tr>
        <w:trPr>
          <w:trHeight w:val="205"/>
        </w:trPr>
        <w:tc>
          <w:tcPr>
            <w:tcW w:w="36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28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Faraz Ali, M.B.A.</w:t>
            </w:r>
          </w:p>
        </w:tc>
      </w:tr>
      <w:tr>
        <w:trPr>
          <w:trHeight w:val="216"/>
        </w:trPr>
        <w:tc>
          <w:tcPr>
            <w:tcW w:w="3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 and Interim Principal Financial Officer)</w:t>
            </w:r>
          </w:p>
        </w:tc>
      </w:tr>
      <w:tr>
        <w:trPr>
          <w:trHeight w:val="878"/>
        </w:trPr>
        <w:tc>
          <w:tcPr>
            <w:tcW w:w="3660" w:type="dxa"/>
            <w:vAlign w:val="bottom"/>
          </w:tcPr>
          <w:p>
            <w:pPr>
              <w:spacing w:after="0"/>
              <w:rPr>
                <w:sz w:val="24"/>
                <w:szCs w:val="24"/>
                <w:color w:val="auto"/>
              </w:rPr>
            </w:pPr>
          </w:p>
        </w:tc>
        <w:tc>
          <w:tcPr>
            <w:tcW w:w="2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83</w:t>
            </w:r>
          </w:p>
        </w:tc>
        <w:tc>
          <w:tcPr>
            <w:tcW w:w="5280" w:type="dxa"/>
            <w:vAlign w:val="bottom"/>
          </w:tcPr>
          <w:p>
            <w:pPr>
              <w:spacing w:after="0"/>
              <w:rPr>
                <w:sz w:val="24"/>
                <w:szCs w:val="24"/>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WARRANT AND THE SHARES ISSUABLE HEREUNDER HAVE NOT BEEN REGISTERED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OR THE SECURITIES LAWS OF ANY STATE AND, EXCEPT AS SET FORTH IN SECTIONS 6.3 AND 6.4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STOCK</w:t>
      </w:r>
    </w:p>
    <w:p>
      <w:pPr>
        <w:spacing w:after="0" w:line="200" w:lineRule="exact"/>
        <w:rPr>
          <w:sz w:val="20"/>
          <w:szCs w:val="20"/>
          <w:color w:val="auto"/>
        </w:rPr>
      </w:pPr>
    </w:p>
    <w:p>
      <w:pPr>
        <w:spacing w:after="0" w:line="21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This WARRANT TO PURCHASE STOCK (as amended and in effect from time to time, this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is issued as of the issue date set forth on Schedule I hereto (the “</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by the company set forth on Schedule I hereto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SILICON VALLEY BANK, A DIVISION OF FIRST-CITIZENS BANK &amp; TRUST COMPANY, in connection with that certain Loan and Security Agreement of even date herewith between them (as amended and/or modified and in effect from time to time,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The parties agree as follows:</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2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SCHEDULE I. WARRANT PROVISIONS.</w:t>
            </w:r>
          </w:p>
        </w:tc>
      </w:tr>
      <w:tr>
        <w:trPr>
          <w:trHeight w:val="213"/>
        </w:trPr>
        <w:tc>
          <w:tcPr>
            <w:tcW w:w="1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r>
      <w:tr>
        <w:trPr>
          <w:trHeight w:val="166"/>
        </w:trPr>
        <w:tc>
          <w:tcPr>
            <w:tcW w:w="1260" w:type="dxa"/>
            <w:vAlign w:val="bottom"/>
            <w:tcBorders>
              <w:left w:val="single" w:sz="8" w:color="auto"/>
            </w:tcBorders>
          </w:tcPr>
          <w:p>
            <w:pPr>
              <w:spacing w:after="0"/>
              <w:rPr>
                <w:sz w:val="14"/>
                <w:szCs w:val="14"/>
                <w:color w:val="auto"/>
              </w:rPr>
            </w:pPr>
          </w:p>
        </w:tc>
        <w:tc>
          <w:tcPr>
            <w:tcW w:w="2560" w:type="dxa"/>
            <w:vAlign w:val="bottom"/>
            <w:tcBorders>
              <w:right w:val="single" w:sz="8" w:color="auto"/>
            </w:tcBorders>
            <w:gridSpan w:val="2"/>
          </w:tcPr>
          <w:p>
            <w:pPr>
              <w:spacing w:after="0" w:line="166" w:lineRule="exact"/>
              <w:rPr>
                <w:sz w:val="20"/>
                <w:szCs w:val="20"/>
                <w:color w:val="auto"/>
              </w:rPr>
            </w:pPr>
            <w:r>
              <w:rPr>
                <w:rFonts w:ascii="Times New Roman" w:cs="Times New Roman" w:eastAsia="Times New Roman" w:hAnsi="Times New Roman"/>
                <w:sz w:val="18"/>
                <w:szCs w:val="18"/>
                <w:b w:val="1"/>
                <w:bCs w:val="1"/>
                <w:color w:val="auto"/>
              </w:rPr>
              <w:t>Warrant Section</w:t>
            </w:r>
          </w:p>
        </w:tc>
        <w:tc>
          <w:tcPr>
            <w:tcW w:w="1360" w:type="dxa"/>
            <w:vAlign w:val="bottom"/>
          </w:tcPr>
          <w:p>
            <w:pPr>
              <w:spacing w:after="0"/>
              <w:rPr>
                <w:sz w:val="14"/>
                <w:szCs w:val="14"/>
                <w:color w:val="auto"/>
              </w:rPr>
            </w:pPr>
          </w:p>
        </w:tc>
        <w:tc>
          <w:tcPr>
            <w:tcW w:w="6060" w:type="dxa"/>
            <w:vAlign w:val="bottom"/>
            <w:tcBorders>
              <w:right w:val="single" w:sz="8" w:color="auto"/>
            </w:tcBorders>
            <w:gridSpan w:val="4"/>
          </w:tcPr>
          <w:p>
            <w:pPr>
              <w:ind w:left="1600"/>
              <w:spacing w:after="0" w:line="166" w:lineRule="exact"/>
              <w:rPr>
                <w:sz w:val="20"/>
                <w:szCs w:val="20"/>
                <w:color w:val="auto"/>
              </w:rPr>
            </w:pPr>
            <w:r>
              <w:rPr>
                <w:rFonts w:ascii="Times New Roman" w:cs="Times New Roman" w:eastAsia="Times New Roman" w:hAnsi="Times New Roman"/>
                <w:sz w:val="18"/>
                <w:szCs w:val="18"/>
                <w:b w:val="1"/>
                <w:bCs w:val="1"/>
                <w:color w:val="auto"/>
              </w:rPr>
              <w:t>Warrant Provision</w:t>
            </w:r>
          </w:p>
        </w:tc>
      </w:tr>
      <w:tr>
        <w:trPr>
          <w:trHeight w:val="226"/>
        </w:trPr>
        <w:tc>
          <w:tcPr>
            <w:tcW w:w="1260" w:type="dxa"/>
            <w:vAlign w:val="bottom"/>
            <w:tcBorders>
              <w:left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spacing w:after="0"/>
              <w:rPr>
                <w:sz w:val="19"/>
                <w:szCs w:val="19"/>
                <w:color w:val="auto"/>
              </w:rPr>
            </w:pPr>
          </w:p>
        </w:tc>
      </w:tr>
      <w:tr>
        <w:trPr>
          <w:trHeight w:val="214"/>
        </w:trPr>
        <w:tc>
          <w:tcPr>
            <w:tcW w:w="38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Recitals – “Issue Date”</w:t>
            </w: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August 6, 2024.</w:t>
            </w:r>
          </w:p>
        </w:tc>
      </w:tr>
      <w:tr>
        <w:trPr>
          <w:trHeight w:val="181"/>
        </w:trPr>
        <w:tc>
          <w:tcPr>
            <w:tcW w:w="1260" w:type="dxa"/>
            <w:vAlign w:val="bottom"/>
            <w:tcBorders>
              <w:left w:val="single" w:sz="8" w:color="auto"/>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020" w:type="dxa"/>
            <w:vAlign w:val="bottom"/>
            <w:tcBorders>
              <w:bottom w:val="single" w:sz="8" w:color="auto"/>
              <w:right w:val="single" w:sz="8" w:color="auto"/>
            </w:tcBorders>
          </w:tcPr>
          <w:p>
            <w:pPr>
              <w:spacing w:after="0"/>
              <w:rPr>
                <w:sz w:val="15"/>
                <w:szCs w:val="15"/>
                <w:color w:val="auto"/>
              </w:rPr>
            </w:pPr>
          </w:p>
        </w:tc>
      </w:tr>
      <w:tr>
        <w:trPr>
          <w:trHeight w:val="232"/>
        </w:trPr>
        <w:tc>
          <w:tcPr>
            <w:tcW w:w="38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Recitals – “Company”</w:t>
            </w: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TENAYA THERAPEUTICS, INC.</w:t>
            </w:r>
            <w:r>
              <w:rPr>
                <w:rFonts w:ascii="Times New Roman" w:cs="Times New Roman" w:eastAsia="Times New Roman" w:hAnsi="Times New Roman"/>
                <w:sz w:val="18"/>
                <w:szCs w:val="18"/>
                <w:color w:val="auto"/>
              </w:rPr>
              <w:t>, a Delaware corporation</w:t>
            </w:r>
          </w:p>
        </w:tc>
      </w:tr>
      <w:tr>
        <w:trPr>
          <w:trHeight w:val="180"/>
        </w:trPr>
        <w:tc>
          <w:tcPr>
            <w:tcW w:w="1260" w:type="dxa"/>
            <w:vAlign w:val="bottom"/>
            <w:tcBorders>
              <w:left w:val="single" w:sz="8" w:color="auto"/>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020" w:type="dxa"/>
            <w:vAlign w:val="bottom"/>
            <w:tcBorders>
              <w:bottom w:val="single" w:sz="8" w:color="auto"/>
              <w:right w:val="single" w:sz="8" w:color="auto"/>
            </w:tcBorders>
          </w:tcPr>
          <w:p>
            <w:pPr>
              <w:spacing w:after="0"/>
              <w:rPr>
                <w:sz w:val="15"/>
                <w:szCs w:val="15"/>
                <w:color w:val="auto"/>
              </w:rPr>
            </w:pPr>
          </w:p>
        </w:tc>
      </w:tr>
      <w:tr>
        <w:trPr>
          <w:trHeight w:val="228"/>
        </w:trPr>
        <w:tc>
          <w:tcPr>
            <w:tcW w:w="38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1.1 – “Class”</w:t>
            </w: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Common Stock, $0.0001 par value per share.</w:t>
            </w:r>
          </w:p>
        </w:tc>
      </w:tr>
      <w:tr>
        <w:trPr>
          <w:trHeight w:val="184"/>
        </w:trPr>
        <w:tc>
          <w:tcPr>
            <w:tcW w:w="1260" w:type="dxa"/>
            <w:vAlign w:val="bottom"/>
            <w:tcBorders>
              <w:left w:val="single" w:sz="8" w:color="auto"/>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r>
      <w:tr>
        <w:trPr>
          <w:trHeight w:val="228"/>
        </w:trPr>
        <w:tc>
          <w:tcPr>
            <w:tcW w:w="38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1.1 – “Exercise Price”</w:t>
            </w: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$2.55 per Share.</w:t>
            </w:r>
          </w:p>
        </w:tc>
      </w:tr>
      <w:tr>
        <w:trPr>
          <w:trHeight w:val="184"/>
        </w:trPr>
        <w:tc>
          <w:tcPr>
            <w:tcW w:w="1260" w:type="dxa"/>
            <w:vAlign w:val="bottom"/>
            <w:tcBorders>
              <w:left w:val="single" w:sz="8" w:color="auto"/>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r>
      <w:tr>
        <w:trPr>
          <w:trHeight w:val="228"/>
        </w:trPr>
        <w:tc>
          <w:tcPr>
            <w:tcW w:w="38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1.2 – “Initial Shares”</w:t>
            </w: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73,649.</w:t>
            </w:r>
          </w:p>
        </w:tc>
        <w:tc>
          <w:tcPr>
            <w:tcW w:w="1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20" w:type="dxa"/>
            <w:vAlign w:val="bottom"/>
            <w:tcBorders>
              <w:right w:val="single" w:sz="8" w:color="auto"/>
            </w:tcBorders>
          </w:tcPr>
          <w:p>
            <w:pPr>
              <w:spacing w:after="0"/>
              <w:rPr>
                <w:sz w:val="19"/>
                <w:szCs w:val="19"/>
                <w:color w:val="auto"/>
              </w:rPr>
            </w:pPr>
          </w:p>
        </w:tc>
      </w:tr>
      <w:tr>
        <w:trPr>
          <w:trHeight w:val="184"/>
        </w:trPr>
        <w:tc>
          <w:tcPr>
            <w:tcW w:w="1260" w:type="dxa"/>
            <w:vAlign w:val="bottom"/>
            <w:tcBorders>
              <w:left w:val="single" w:sz="8" w:color="auto"/>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r>
      <w:tr>
        <w:trPr>
          <w:trHeight w:val="205"/>
        </w:trPr>
        <w:tc>
          <w:tcPr>
            <w:tcW w:w="3820" w:type="dxa"/>
            <w:vAlign w:val="bottom"/>
            <w:tcBorders>
              <w:left w:val="single" w:sz="8" w:color="auto"/>
              <w:right w:val="single" w:sz="8" w:color="auto"/>
            </w:tcBorders>
            <w:gridSpan w:val="3"/>
          </w:tcPr>
          <w:p>
            <w:pPr>
              <w:ind w:left="120"/>
              <w:spacing w:after="0" w:line="205" w:lineRule="exact"/>
              <w:rPr>
                <w:sz w:val="20"/>
                <w:szCs w:val="20"/>
                <w:color w:val="auto"/>
              </w:rPr>
            </w:pPr>
            <w:r>
              <w:rPr>
                <w:rFonts w:ascii="Times New Roman" w:cs="Times New Roman" w:eastAsia="Times New Roman" w:hAnsi="Times New Roman"/>
                <w:sz w:val="18"/>
                <w:szCs w:val="18"/>
                <w:color w:val="auto"/>
              </w:rPr>
              <w:t>1.3(a) – “Tranche A Additional Shares”</w:t>
            </w:r>
          </w:p>
        </w:tc>
        <w:tc>
          <w:tcPr>
            <w:tcW w:w="7420" w:type="dxa"/>
            <w:vAlign w:val="bottom"/>
            <w:tcBorders>
              <w:right w:val="single" w:sz="8" w:color="auto"/>
            </w:tcBorders>
            <w:gridSpan w:val="5"/>
          </w:tcPr>
          <w:p>
            <w:pPr>
              <w:ind w:left="60"/>
              <w:spacing w:after="0" w:line="205" w:lineRule="exact"/>
              <w:rPr>
                <w:sz w:val="20"/>
                <w:szCs w:val="20"/>
                <w:color w:val="auto"/>
              </w:rPr>
            </w:pPr>
            <w:r>
              <w:rPr>
                <w:rFonts w:ascii="Times New Roman" w:cs="Times New Roman" w:eastAsia="Times New Roman" w:hAnsi="Times New Roman"/>
                <w:sz w:val="18"/>
                <w:szCs w:val="18"/>
                <w:color w:val="auto"/>
              </w:rPr>
              <w:t>The Tranche A Additional Shares Pool, multiplied by (x) the amount of the Tranche A Term Loan</w:t>
            </w:r>
          </w:p>
        </w:tc>
      </w:tr>
      <w:tr>
        <w:trPr>
          <w:trHeight w:val="234"/>
        </w:trPr>
        <w:tc>
          <w:tcPr>
            <w:tcW w:w="1260" w:type="dxa"/>
            <w:vAlign w:val="bottom"/>
            <w:tcBorders>
              <w:lef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Advance (as defined in the Loan Agreement), divided by (y) $15,000,000.</w:t>
            </w:r>
          </w:p>
        </w:tc>
      </w:tr>
      <w:tr>
        <w:trPr>
          <w:trHeight w:val="189"/>
        </w:trPr>
        <w:tc>
          <w:tcPr>
            <w:tcW w:w="1260" w:type="dxa"/>
            <w:vAlign w:val="bottom"/>
            <w:tcBorders>
              <w:left w:val="single" w:sz="8" w:color="auto"/>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r>
      <w:tr>
        <w:trPr>
          <w:trHeight w:val="205"/>
        </w:trPr>
        <w:tc>
          <w:tcPr>
            <w:tcW w:w="3820" w:type="dxa"/>
            <w:vAlign w:val="bottom"/>
            <w:tcBorders>
              <w:left w:val="single" w:sz="8" w:color="auto"/>
              <w:right w:val="single" w:sz="8" w:color="auto"/>
            </w:tcBorders>
            <w:gridSpan w:val="3"/>
          </w:tcPr>
          <w:p>
            <w:pPr>
              <w:ind w:left="120"/>
              <w:spacing w:after="0" w:line="205" w:lineRule="exact"/>
              <w:rPr>
                <w:sz w:val="20"/>
                <w:szCs w:val="20"/>
                <w:color w:val="auto"/>
              </w:rPr>
            </w:pPr>
            <w:r>
              <w:rPr>
                <w:rFonts w:ascii="Times New Roman" w:cs="Times New Roman" w:eastAsia="Times New Roman" w:hAnsi="Times New Roman"/>
                <w:sz w:val="18"/>
                <w:szCs w:val="18"/>
                <w:color w:val="auto"/>
              </w:rPr>
              <w:t>1.3(a) – Conditions for issuance of Tranche A</w:t>
            </w:r>
          </w:p>
        </w:tc>
        <w:tc>
          <w:tcPr>
            <w:tcW w:w="7420" w:type="dxa"/>
            <w:vAlign w:val="bottom"/>
            <w:tcBorders>
              <w:right w:val="single" w:sz="8" w:color="auto"/>
            </w:tcBorders>
            <w:gridSpan w:val="5"/>
          </w:tcPr>
          <w:p>
            <w:pPr>
              <w:ind w:left="60"/>
              <w:spacing w:after="0" w:line="205" w:lineRule="exact"/>
              <w:rPr>
                <w:sz w:val="20"/>
                <w:szCs w:val="20"/>
                <w:color w:val="auto"/>
              </w:rPr>
            </w:pPr>
            <w:r>
              <w:rPr>
                <w:rFonts w:ascii="Times New Roman" w:cs="Times New Roman" w:eastAsia="Times New Roman" w:hAnsi="Times New Roman"/>
                <w:sz w:val="18"/>
                <w:szCs w:val="18"/>
                <w:color w:val="auto"/>
              </w:rPr>
              <w:t>The making of each Tranche A Term Loan Advance (as defined in the Loan Agreement) to the</w:t>
            </w:r>
          </w:p>
        </w:tc>
      </w:tr>
      <w:tr>
        <w:trPr>
          <w:trHeight w:val="234"/>
        </w:trPr>
        <w:tc>
          <w:tcPr>
            <w:tcW w:w="38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Additional Shares</w:t>
            </w: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Company in any amount.</w:t>
            </w:r>
          </w:p>
        </w:tc>
      </w:tr>
      <w:tr>
        <w:trPr>
          <w:trHeight w:val="189"/>
        </w:trPr>
        <w:tc>
          <w:tcPr>
            <w:tcW w:w="1260" w:type="dxa"/>
            <w:vAlign w:val="bottom"/>
            <w:tcBorders>
              <w:left w:val="single" w:sz="8" w:color="auto"/>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r>
      <w:tr>
        <w:trPr>
          <w:trHeight w:val="228"/>
        </w:trPr>
        <w:tc>
          <w:tcPr>
            <w:tcW w:w="38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1.3(a) – “Tranche A Additional Shares Pool”</w:t>
            </w: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49,099.</w:t>
            </w:r>
          </w:p>
        </w:tc>
        <w:tc>
          <w:tcPr>
            <w:tcW w:w="1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20" w:type="dxa"/>
            <w:vAlign w:val="bottom"/>
            <w:tcBorders>
              <w:right w:val="single" w:sz="8" w:color="auto"/>
            </w:tcBorders>
          </w:tcPr>
          <w:p>
            <w:pPr>
              <w:spacing w:after="0"/>
              <w:rPr>
                <w:sz w:val="19"/>
                <w:szCs w:val="19"/>
                <w:color w:val="auto"/>
              </w:rPr>
            </w:pPr>
          </w:p>
        </w:tc>
      </w:tr>
      <w:tr>
        <w:trPr>
          <w:trHeight w:val="184"/>
        </w:trPr>
        <w:tc>
          <w:tcPr>
            <w:tcW w:w="1260" w:type="dxa"/>
            <w:vAlign w:val="bottom"/>
            <w:tcBorders>
              <w:left w:val="single" w:sz="8" w:color="auto"/>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r>
      <w:tr>
        <w:trPr>
          <w:trHeight w:val="205"/>
        </w:trPr>
        <w:tc>
          <w:tcPr>
            <w:tcW w:w="3820" w:type="dxa"/>
            <w:vAlign w:val="bottom"/>
            <w:tcBorders>
              <w:left w:val="single" w:sz="8" w:color="auto"/>
              <w:right w:val="single" w:sz="8" w:color="auto"/>
            </w:tcBorders>
            <w:gridSpan w:val="3"/>
          </w:tcPr>
          <w:p>
            <w:pPr>
              <w:ind w:left="120"/>
              <w:spacing w:after="0" w:line="205" w:lineRule="exact"/>
              <w:rPr>
                <w:sz w:val="20"/>
                <w:szCs w:val="20"/>
                <w:color w:val="auto"/>
              </w:rPr>
            </w:pPr>
            <w:r>
              <w:rPr>
                <w:rFonts w:ascii="Times New Roman" w:cs="Times New Roman" w:eastAsia="Times New Roman" w:hAnsi="Times New Roman"/>
                <w:sz w:val="18"/>
                <w:szCs w:val="18"/>
                <w:color w:val="auto"/>
              </w:rPr>
              <w:t>1.3(b) – “Tranche B Additional Shares”</w:t>
            </w:r>
          </w:p>
        </w:tc>
        <w:tc>
          <w:tcPr>
            <w:tcW w:w="7420" w:type="dxa"/>
            <w:vAlign w:val="bottom"/>
            <w:tcBorders>
              <w:right w:val="single" w:sz="8" w:color="auto"/>
            </w:tcBorders>
            <w:gridSpan w:val="5"/>
          </w:tcPr>
          <w:p>
            <w:pPr>
              <w:ind w:left="60"/>
              <w:spacing w:after="0" w:line="205" w:lineRule="exact"/>
              <w:rPr>
                <w:sz w:val="20"/>
                <w:szCs w:val="20"/>
                <w:color w:val="auto"/>
              </w:rPr>
            </w:pPr>
            <w:r>
              <w:rPr>
                <w:rFonts w:ascii="Times New Roman" w:cs="Times New Roman" w:eastAsia="Times New Roman" w:hAnsi="Times New Roman"/>
                <w:sz w:val="18"/>
                <w:szCs w:val="18"/>
                <w:color w:val="auto"/>
              </w:rPr>
              <w:t>The Tranche B Additional Shares Pool, multiplied by (x) the amount of the Tranche B Term Loan</w:t>
            </w:r>
          </w:p>
        </w:tc>
      </w:tr>
      <w:tr>
        <w:trPr>
          <w:trHeight w:val="234"/>
        </w:trPr>
        <w:tc>
          <w:tcPr>
            <w:tcW w:w="1260" w:type="dxa"/>
            <w:vAlign w:val="bottom"/>
            <w:tcBorders>
              <w:lef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Advance (as defined in the Loan Agreement), divided by (y) $5,000,000.</w:t>
            </w:r>
          </w:p>
        </w:tc>
      </w:tr>
      <w:tr>
        <w:trPr>
          <w:trHeight w:val="189"/>
        </w:trPr>
        <w:tc>
          <w:tcPr>
            <w:tcW w:w="1260" w:type="dxa"/>
            <w:vAlign w:val="bottom"/>
            <w:tcBorders>
              <w:left w:val="single" w:sz="8" w:color="auto"/>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r>
      <w:tr>
        <w:trPr>
          <w:trHeight w:val="205"/>
        </w:trPr>
        <w:tc>
          <w:tcPr>
            <w:tcW w:w="3820" w:type="dxa"/>
            <w:vAlign w:val="bottom"/>
            <w:tcBorders>
              <w:left w:val="single" w:sz="8" w:color="auto"/>
              <w:right w:val="single" w:sz="8" w:color="auto"/>
            </w:tcBorders>
            <w:gridSpan w:val="3"/>
          </w:tcPr>
          <w:p>
            <w:pPr>
              <w:ind w:left="120"/>
              <w:spacing w:after="0" w:line="205" w:lineRule="exact"/>
              <w:rPr>
                <w:sz w:val="20"/>
                <w:szCs w:val="20"/>
                <w:color w:val="auto"/>
              </w:rPr>
            </w:pPr>
            <w:r>
              <w:rPr>
                <w:rFonts w:ascii="Times New Roman" w:cs="Times New Roman" w:eastAsia="Times New Roman" w:hAnsi="Times New Roman"/>
                <w:sz w:val="18"/>
                <w:szCs w:val="18"/>
                <w:color w:val="auto"/>
              </w:rPr>
              <w:t>1.3(b) – Conditions for issuance of Tranche B</w:t>
            </w:r>
          </w:p>
        </w:tc>
        <w:tc>
          <w:tcPr>
            <w:tcW w:w="7420" w:type="dxa"/>
            <w:vAlign w:val="bottom"/>
            <w:tcBorders>
              <w:right w:val="single" w:sz="8" w:color="auto"/>
            </w:tcBorders>
            <w:gridSpan w:val="5"/>
          </w:tcPr>
          <w:p>
            <w:pPr>
              <w:ind w:left="60"/>
              <w:spacing w:after="0" w:line="205" w:lineRule="exact"/>
              <w:rPr>
                <w:sz w:val="20"/>
                <w:szCs w:val="20"/>
                <w:color w:val="auto"/>
              </w:rPr>
            </w:pPr>
            <w:r>
              <w:rPr>
                <w:rFonts w:ascii="Times New Roman" w:cs="Times New Roman" w:eastAsia="Times New Roman" w:hAnsi="Times New Roman"/>
                <w:sz w:val="18"/>
                <w:szCs w:val="18"/>
                <w:color w:val="auto"/>
              </w:rPr>
              <w:t>The making of each Tranche B Term Loan Advance (as defined in the Loan Agreement) to the</w:t>
            </w:r>
          </w:p>
        </w:tc>
      </w:tr>
      <w:tr>
        <w:trPr>
          <w:trHeight w:val="234"/>
        </w:trPr>
        <w:tc>
          <w:tcPr>
            <w:tcW w:w="38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Additional Shares</w:t>
            </w: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Company in any amount.</w:t>
            </w:r>
          </w:p>
        </w:tc>
      </w:tr>
      <w:tr>
        <w:trPr>
          <w:trHeight w:val="189"/>
        </w:trPr>
        <w:tc>
          <w:tcPr>
            <w:tcW w:w="1260" w:type="dxa"/>
            <w:vAlign w:val="bottom"/>
            <w:tcBorders>
              <w:left w:val="single" w:sz="8" w:color="auto"/>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r>
      <w:tr>
        <w:trPr>
          <w:trHeight w:val="228"/>
        </w:trPr>
        <w:tc>
          <w:tcPr>
            <w:tcW w:w="38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1.3(a) – “Tranche B Additional Shares Pool”</w:t>
            </w: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24,550.</w:t>
            </w:r>
          </w:p>
        </w:tc>
        <w:tc>
          <w:tcPr>
            <w:tcW w:w="1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20" w:type="dxa"/>
            <w:vAlign w:val="bottom"/>
            <w:tcBorders>
              <w:right w:val="single" w:sz="8" w:color="auto"/>
            </w:tcBorders>
          </w:tcPr>
          <w:p>
            <w:pPr>
              <w:spacing w:after="0"/>
              <w:rPr>
                <w:sz w:val="19"/>
                <w:szCs w:val="19"/>
                <w:color w:val="auto"/>
              </w:rPr>
            </w:pPr>
          </w:p>
        </w:tc>
      </w:tr>
      <w:tr>
        <w:trPr>
          <w:trHeight w:val="184"/>
        </w:trPr>
        <w:tc>
          <w:tcPr>
            <w:tcW w:w="1260" w:type="dxa"/>
            <w:vAlign w:val="bottom"/>
            <w:tcBorders>
              <w:left w:val="single" w:sz="8" w:color="auto"/>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r>
      <w:tr>
        <w:trPr>
          <w:trHeight w:val="205"/>
        </w:trPr>
        <w:tc>
          <w:tcPr>
            <w:tcW w:w="3820" w:type="dxa"/>
            <w:vAlign w:val="bottom"/>
            <w:tcBorders>
              <w:left w:val="single" w:sz="8" w:color="auto"/>
              <w:right w:val="single" w:sz="8" w:color="auto"/>
            </w:tcBorders>
            <w:gridSpan w:val="3"/>
          </w:tcPr>
          <w:p>
            <w:pPr>
              <w:ind w:left="120"/>
              <w:spacing w:after="0" w:line="205" w:lineRule="exact"/>
              <w:rPr>
                <w:sz w:val="20"/>
                <w:szCs w:val="20"/>
                <w:color w:val="auto"/>
              </w:rPr>
            </w:pPr>
            <w:r>
              <w:rPr>
                <w:rFonts w:ascii="Times New Roman" w:cs="Times New Roman" w:eastAsia="Times New Roman" w:hAnsi="Times New Roman"/>
                <w:sz w:val="18"/>
                <w:szCs w:val="18"/>
                <w:color w:val="auto"/>
              </w:rPr>
              <w:t>1.3(c) – “Tranche C Additional Shares”</w:t>
            </w:r>
          </w:p>
        </w:tc>
        <w:tc>
          <w:tcPr>
            <w:tcW w:w="7420" w:type="dxa"/>
            <w:vAlign w:val="bottom"/>
            <w:tcBorders>
              <w:right w:val="single" w:sz="8" w:color="auto"/>
            </w:tcBorders>
            <w:gridSpan w:val="5"/>
          </w:tcPr>
          <w:p>
            <w:pPr>
              <w:ind w:left="60"/>
              <w:spacing w:after="0" w:line="205" w:lineRule="exact"/>
              <w:rPr>
                <w:sz w:val="20"/>
                <w:szCs w:val="20"/>
                <w:color w:val="auto"/>
              </w:rPr>
            </w:pPr>
            <w:r>
              <w:rPr>
                <w:rFonts w:ascii="Times New Roman" w:cs="Times New Roman" w:eastAsia="Times New Roman" w:hAnsi="Times New Roman"/>
                <w:sz w:val="18"/>
                <w:szCs w:val="18"/>
                <w:color w:val="auto"/>
              </w:rPr>
              <w:t>The Tranche C Additional Shares Pool, multiplied by (x) the amount of the Tranche C Term Loan</w:t>
            </w:r>
          </w:p>
        </w:tc>
      </w:tr>
      <w:tr>
        <w:trPr>
          <w:trHeight w:val="234"/>
        </w:trPr>
        <w:tc>
          <w:tcPr>
            <w:tcW w:w="1260" w:type="dxa"/>
            <w:vAlign w:val="bottom"/>
            <w:tcBorders>
              <w:lef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Advance (as defined in the Loan Agreement), divided by (y) $2,500,000.</w:t>
            </w:r>
          </w:p>
        </w:tc>
      </w:tr>
      <w:tr>
        <w:trPr>
          <w:trHeight w:val="189"/>
        </w:trPr>
        <w:tc>
          <w:tcPr>
            <w:tcW w:w="1260" w:type="dxa"/>
            <w:vAlign w:val="bottom"/>
            <w:tcBorders>
              <w:left w:val="single" w:sz="8" w:color="auto"/>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r>
      <w:tr>
        <w:trPr>
          <w:trHeight w:val="205"/>
        </w:trPr>
        <w:tc>
          <w:tcPr>
            <w:tcW w:w="3820" w:type="dxa"/>
            <w:vAlign w:val="bottom"/>
            <w:tcBorders>
              <w:left w:val="single" w:sz="8" w:color="auto"/>
              <w:right w:val="single" w:sz="8" w:color="auto"/>
            </w:tcBorders>
            <w:gridSpan w:val="3"/>
          </w:tcPr>
          <w:p>
            <w:pPr>
              <w:ind w:left="120"/>
              <w:spacing w:after="0" w:line="205" w:lineRule="exact"/>
              <w:rPr>
                <w:sz w:val="20"/>
                <w:szCs w:val="20"/>
                <w:color w:val="auto"/>
              </w:rPr>
            </w:pPr>
            <w:r>
              <w:rPr>
                <w:rFonts w:ascii="Times New Roman" w:cs="Times New Roman" w:eastAsia="Times New Roman" w:hAnsi="Times New Roman"/>
                <w:sz w:val="18"/>
                <w:szCs w:val="18"/>
                <w:color w:val="auto"/>
              </w:rPr>
              <w:t>1.3(c) – Conditions for issuance of Tranche C</w:t>
            </w:r>
          </w:p>
        </w:tc>
        <w:tc>
          <w:tcPr>
            <w:tcW w:w="7420" w:type="dxa"/>
            <w:vAlign w:val="bottom"/>
            <w:tcBorders>
              <w:right w:val="single" w:sz="8" w:color="auto"/>
            </w:tcBorders>
            <w:gridSpan w:val="5"/>
          </w:tcPr>
          <w:p>
            <w:pPr>
              <w:ind w:left="60"/>
              <w:spacing w:after="0" w:line="205" w:lineRule="exact"/>
              <w:rPr>
                <w:sz w:val="20"/>
                <w:szCs w:val="20"/>
                <w:color w:val="auto"/>
              </w:rPr>
            </w:pPr>
            <w:r>
              <w:rPr>
                <w:rFonts w:ascii="Times New Roman" w:cs="Times New Roman" w:eastAsia="Times New Roman" w:hAnsi="Times New Roman"/>
                <w:sz w:val="18"/>
                <w:szCs w:val="18"/>
                <w:color w:val="auto"/>
              </w:rPr>
              <w:t>The making of each Tranche C Term Loan Advance (as defined in the Loan Agreement) to the</w:t>
            </w:r>
          </w:p>
        </w:tc>
      </w:tr>
      <w:tr>
        <w:trPr>
          <w:trHeight w:val="234"/>
        </w:trPr>
        <w:tc>
          <w:tcPr>
            <w:tcW w:w="38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Additional Shares</w:t>
            </w: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Company in any amount.</w:t>
            </w:r>
          </w:p>
        </w:tc>
      </w:tr>
      <w:tr>
        <w:trPr>
          <w:trHeight w:val="189"/>
        </w:trPr>
        <w:tc>
          <w:tcPr>
            <w:tcW w:w="1260" w:type="dxa"/>
            <w:vAlign w:val="bottom"/>
            <w:tcBorders>
              <w:left w:val="single" w:sz="8" w:color="auto"/>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1611752662.4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4" w:name="page85"/>
    <w:bookmarkEnd w:id="84"/>
    <w:tbl>
      <w:tblPr>
        <w:tblLayout w:type="fixed"/>
        <w:tblInd w:w="10" w:type="dxa"/>
        <w:tblCellMar>
          <w:top w:w="0" w:type="dxa"/>
          <w:left w:w="0" w:type="dxa"/>
          <w:bottom w:w="0" w:type="dxa"/>
          <w:right w:w="0" w:type="dxa"/>
        </w:tblCellMar>
      </w:tblPr>
      <w:tr>
        <w:trPr>
          <w:trHeight w:val="206"/>
        </w:trPr>
        <w:tc>
          <w:tcPr>
            <w:tcW w:w="1260" w:type="dxa"/>
            <w:vAlign w:val="bottom"/>
            <w:tcBorders>
              <w:top w:val="single" w:sz="8" w:color="auto"/>
              <w:left w:val="single" w:sz="8" w:color="auto"/>
            </w:tcBorders>
          </w:tcPr>
          <w:p>
            <w:pPr>
              <w:spacing w:after="0"/>
              <w:rPr>
                <w:sz w:val="17"/>
                <w:szCs w:val="17"/>
                <w:color w:val="auto"/>
              </w:rPr>
            </w:pPr>
          </w:p>
        </w:tc>
        <w:tc>
          <w:tcPr>
            <w:tcW w:w="2560" w:type="dxa"/>
            <w:vAlign w:val="bottom"/>
            <w:tcBorders>
              <w:top w:val="single" w:sz="8" w:color="auto"/>
              <w:right w:val="single" w:sz="8" w:color="auto"/>
            </w:tcBorders>
            <w:gridSpan w:val="2"/>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Warrant Section</w:t>
            </w:r>
          </w:p>
        </w:tc>
        <w:tc>
          <w:tcPr>
            <w:tcW w:w="1020" w:type="dxa"/>
            <w:vAlign w:val="bottom"/>
            <w:tcBorders>
              <w:top w:val="single" w:sz="8" w:color="auto"/>
            </w:tcBorders>
          </w:tcPr>
          <w:p>
            <w:pPr>
              <w:spacing w:after="0"/>
              <w:rPr>
                <w:sz w:val="17"/>
                <w:szCs w:val="17"/>
                <w:color w:val="auto"/>
              </w:rPr>
            </w:pPr>
          </w:p>
        </w:tc>
        <w:tc>
          <w:tcPr>
            <w:tcW w:w="6400" w:type="dxa"/>
            <w:vAlign w:val="bottom"/>
            <w:tcBorders>
              <w:top w:val="single" w:sz="8" w:color="auto"/>
              <w:right w:val="single" w:sz="8" w:color="auto"/>
            </w:tcBorders>
            <w:gridSpan w:val="4"/>
          </w:tcPr>
          <w:p>
            <w:pPr>
              <w:ind w:left="1940"/>
              <w:spacing w:after="0" w:line="206" w:lineRule="exact"/>
              <w:rPr>
                <w:sz w:val="20"/>
                <w:szCs w:val="20"/>
                <w:color w:val="auto"/>
              </w:rPr>
            </w:pPr>
            <w:r>
              <w:rPr>
                <w:rFonts w:ascii="Times New Roman" w:cs="Times New Roman" w:eastAsia="Times New Roman" w:hAnsi="Times New Roman"/>
                <w:sz w:val="18"/>
                <w:szCs w:val="18"/>
                <w:b w:val="1"/>
                <w:bCs w:val="1"/>
                <w:color w:val="auto"/>
              </w:rPr>
              <w:t>Warrant Provision</w:t>
            </w:r>
          </w:p>
        </w:tc>
      </w:tr>
      <w:tr>
        <w:trPr>
          <w:trHeight w:val="226"/>
        </w:trPr>
        <w:tc>
          <w:tcPr>
            <w:tcW w:w="1260" w:type="dxa"/>
            <w:vAlign w:val="bottom"/>
            <w:tcBorders>
              <w:left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spacing w:after="0"/>
              <w:rPr>
                <w:sz w:val="19"/>
                <w:szCs w:val="19"/>
                <w:color w:val="auto"/>
              </w:rPr>
            </w:pPr>
          </w:p>
        </w:tc>
      </w:tr>
      <w:tr>
        <w:trPr>
          <w:trHeight w:val="214"/>
        </w:trPr>
        <w:tc>
          <w:tcPr>
            <w:tcW w:w="38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1.3(c) – “Tranche C Additional Shares Pool”</w:t>
            </w:r>
          </w:p>
        </w:tc>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12,275.</w:t>
            </w:r>
          </w:p>
        </w:tc>
        <w:tc>
          <w:tcPr>
            <w:tcW w:w="1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20" w:type="dxa"/>
            <w:vAlign w:val="bottom"/>
            <w:tcBorders>
              <w:right w:val="single" w:sz="8" w:color="auto"/>
            </w:tcBorders>
          </w:tcPr>
          <w:p>
            <w:pPr>
              <w:spacing w:after="0"/>
              <w:rPr>
                <w:sz w:val="18"/>
                <w:szCs w:val="18"/>
                <w:color w:val="auto"/>
              </w:rPr>
            </w:pPr>
          </w:p>
        </w:tc>
      </w:tr>
      <w:tr>
        <w:trPr>
          <w:trHeight w:val="181"/>
        </w:trPr>
        <w:tc>
          <w:tcPr>
            <w:tcW w:w="1260" w:type="dxa"/>
            <w:vAlign w:val="bottom"/>
            <w:tcBorders>
              <w:left w:val="single" w:sz="8" w:color="auto"/>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020" w:type="dxa"/>
            <w:vAlign w:val="bottom"/>
            <w:tcBorders>
              <w:bottom w:val="single" w:sz="8" w:color="auto"/>
              <w:right w:val="single" w:sz="8" w:color="auto"/>
            </w:tcBorders>
          </w:tcPr>
          <w:p>
            <w:pPr>
              <w:spacing w:after="0"/>
              <w:rPr>
                <w:sz w:val="15"/>
                <w:szCs w:val="15"/>
                <w:color w:val="auto"/>
              </w:rPr>
            </w:pPr>
          </w:p>
        </w:tc>
      </w:tr>
      <w:tr>
        <w:trPr>
          <w:trHeight w:val="205"/>
        </w:trPr>
        <w:tc>
          <w:tcPr>
            <w:tcW w:w="3820" w:type="dxa"/>
            <w:vAlign w:val="bottom"/>
            <w:tcBorders>
              <w:left w:val="single" w:sz="8" w:color="auto"/>
              <w:right w:val="single" w:sz="8" w:color="auto"/>
            </w:tcBorders>
            <w:gridSpan w:val="3"/>
          </w:tcPr>
          <w:p>
            <w:pPr>
              <w:ind w:left="120"/>
              <w:spacing w:after="0" w:line="205" w:lineRule="exact"/>
              <w:rPr>
                <w:sz w:val="20"/>
                <w:szCs w:val="20"/>
                <w:color w:val="auto"/>
              </w:rPr>
            </w:pPr>
            <w:r>
              <w:rPr>
                <w:rFonts w:ascii="Times New Roman" w:cs="Times New Roman" w:eastAsia="Times New Roman" w:hAnsi="Times New Roman"/>
                <w:sz w:val="18"/>
                <w:szCs w:val="18"/>
                <w:color w:val="auto"/>
              </w:rPr>
              <w:t>1.3(d) – “Tranche D Additional Shares”</w:t>
            </w:r>
          </w:p>
        </w:tc>
        <w:tc>
          <w:tcPr>
            <w:tcW w:w="7420" w:type="dxa"/>
            <w:vAlign w:val="bottom"/>
            <w:tcBorders>
              <w:right w:val="single" w:sz="8" w:color="auto"/>
            </w:tcBorders>
            <w:gridSpan w:val="5"/>
          </w:tcPr>
          <w:p>
            <w:pPr>
              <w:ind w:left="60"/>
              <w:spacing w:after="0" w:line="205" w:lineRule="exact"/>
              <w:rPr>
                <w:sz w:val="20"/>
                <w:szCs w:val="20"/>
                <w:color w:val="auto"/>
              </w:rPr>
            </w:pPr>
            <w:r>
              <w:rPr>
                <w:rFonts w:ascii="Times New Roman" w:cs="Times New Roman" w:eastAsia="Times New Roman" w:hAnsi="Times New Roman"/>
                <w:sz w:val="18"/>
                <w:szCs w:val="18"/>
                <w:color w:val="auto"/>
              </w:rPr>
              <w:t>The Tranche D Additional Shares Pool, multiplied by (x) the amount of the Tranche D Term Loan</w:t>
            </w:r>
          </w:p>
        </w:tc>
      </w:tr>
      <w:tr>
        <w:trPr>
          <w:trHeight w:val="234"/>
        </w:trPr>
        <w:tc>
          <w:tcPr>
            <w:tcW w:w="1260" w:type="dxa"/>
            <w:vAlign w:val="bottom"/>
            <w:tcBorders>
              <w:lef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Advance (as defined in the Loan Agreement), divided by (y) $2,500,000.</w:t>
            </w:r>
          </w:p>
        </w:tc>
      </w:tr>
      <w:tr>
        <w:trPr>
          <w:trHeight w:val="189"/>
        </w:trPr>
        <w:tc>
          <w:tcPr>
            <w:tcW w:w="1260" w:type="dxa"/>
            <w:vAlign w:val="bottom"/>
            <w:tcBorders>
              <w:left w:val="single" w:sz="8" w:color="auto"/>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r>
      <w:tr>
        <w:trPr>
          <w:trHeight w:val="205"/>
        </w:trPr>
        <w:tc>
          <w:tcPr>
            <w:tcW w:w="3820" w:type="dxa"/>
            <w:vAlign w:val="bottom"/>
            <w:tcBorders>
              <w:left w:val="single" w:sz="8" w:color="auto"/>
              <w:right w:val="single" w:sz="8" w:color="auto"/>
            </w:tcBorders>
            <w:gridSpan w:val="3"/>
          </w:tcPr>
          <w:p>
            <w:pPr>
              <w:ind w:left="120"/>
              <w:spacing w:after="0" w:line="205" w:lineRule="exact"/>
              <w:rPr>
                <w:sz w:val="20"/>
                <w:szCs w:val="20"/>
                <w:color w:val="auto"/>
              </w:rPr>
            </w:pPr>
            <w:r>
              <w:rPr>
                <w:rFonts w:ascii="Times New Roman" w:cs="Times New Roman" w:eastAsia="Times New Roman" w:hAnsi="Times New Roman"/>
                <w:sz w:val="18"/>
                <w:szCs w:val="18"/>
                <w:color w:val="auto"/>
              </w:rPr>
              <w:t>1.3(d) – Conditions for issuance of Tranche D</w:t>
            </w:r>
          </w:p>
        </w:tc>
        <w:tc>
          <w:tcPr>
            <w:tcW w:w="7420" w:type="dxa"/>
            <w:vAlign w:val="bottom"/>
            <w:tcBorders>
              <w:right w:val="single" w:sz="8" w:color="auto"/>
            </w:tcBorders>
            <w:gridSpan w:val="5"/>
          </w:tcPr>
          <w:p>
            <w:pPr>
              <w:ind w:left="60"/>
              <w:spacing w:after="0" w:line="205" w:lineRule="exact"/>
              <w:rPr>
                <w:sz w:val="20"/>
                <w:szCs w:val="20"/>
                <w:color w:val="auto"/>
              </w:rPr>
            </w:pPr>
            <w:r>
              <w:rPr>
                <w:rFonts w:ascii="Times New Roman" w:cs="Times New Roman" w:eastAsia="Times New Roman" w:hAnsi="Times New Roman"/>
                <w:sz w:val="18"/>
                <w:szCs w:val="18"/>
                <w:color w:val="auto"/>
              </w:rPr>
              <w:t>The making of each Tranche D Term Loan Advance (as defined in the Loan Agreement) to the</w:t>
            </w:r>
          </w:p>
        </w:tc>
      </w:tr>
      <w:tr>
        <w:trPr>
          <w:trHeight w:val="234"/>
        </w:trPr>
        <w:tc>
          <w:tcPr>
            <w:tcW w:w="38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Additional Shares</w:t>
            </w: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Company in any amount.</w:t>
            </w:r>
          </w:p>
        </w:tc>
      </w:tr>
      <w:tr>
        <w:trPr>
          <w:trHeight w:val="189"/>
        </w:trPr>
        <w:tc>
          <w:tcPr>
            <w:tcW w:w="1260" w:type="dxa"/>
            <w:vAlign w:val="bottom"/>
            <w:tcBorders>
              <w:left w:val="single" w:sz="8" w:color="auto"/>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r>
      <w:tr>
        <w:trPr>
          <w:trHeight w:val="228"/>
        </w:trPr>
        <w:tc>
          <w:tcPr>
            <w:tcW w:w="38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1.3(d) – “Tranche D Additional Shares Pool”</w:t>
            </w:r>
          </w:p>
        </w:tc>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12,275.</w:t>
            </w:r>
          </w:p>
        </w:tc>
        <w:tc>
          <w:tcPr>
            <w:tcW w:w="1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20" w:type="dxa"/>
            <w:vAlign w:val="bottom"/>
            <w:tcBorders>
              <w:right w:val="single" w:sz="8" w:color="auto"/>
            </w:tcBorders>
          </w:tcPr>
          <w:p>
            <w:pPr>
              <w:spacing w:after="0"/>
              <w:rPr>
                <w:sz w:val="19"/>
                <w:szCs w:val="19"/>
                <w:color w:val="auto"/>
              </w:rPr>
            </w:pPr>
          </w:p>
        </w:tc>
      </w:tr>
      <w:tr>
        <w:trPr>
          <w:trHeight w:val="184"/>
        </w:trPr>
        <w:tc>
          <w:tcPr>
            <w:tcW w:w="1260" w:type="dxa"/>
            <w:vAlign w:val="bottom"/>
            <w:tcBorders>
              <w:left w:val="single" w:sz="8" w:color="auto"/>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r>
      <w:tr>
        <w:trPr>
          <w:trHeight w:val="228"/>
        </w:trPr>
        <w:tc>
          <w:tcPr>
            <w:tcW w:w="38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4.1(b) – Share Percentage</w:t>
            </w:r>
          </w:p>
        </w:tc>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0.175%.</w:t>
            </w:r>
          </w:p>
        </w:tc>
        <w:tc>
          <w:tcPr>
            <w:tcW w:w="1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20" w:type="dxa"/>
            <w:vAlign w:val="bottom"/>
            <w:tcBorders>
              <w:right w:val="single" w:sz="8" w:color="auto"/>
            </w:tcBorders>
          </w:tcPr>
          <w:p>
            <w:pPr>
              <w:spacing w:after="0"/>
              <w:rPr>
                <w:sz w:val="19"/>
                <w:szCs w:val="19"/>
                <w:color w:val="auto"/>
              </w:rPr>
            </w:pPr>
          </w:p>
        </w:tc>
      </w:tr>
      <w:tr>
        <w:trPr>
          <w:trHeight w:val="184"/>
        </w:trPr>
        <w:tc>
          <w:tcPr>
            <w:tcW w:w="1260" w:type="dxa"/>
            <w:vAlign w:val="bottom"/>
            <w:tcBorders>
              <w:left w:val="single" w:sz="8" w:color="auto"/>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r>
      <w:tr>
        <w:trPr>
          <w:trHeight w:val="228"/>
        </w:trPr>
        <w:tc>
          <w:tcPr>
            <w:tcW w:w="38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6.1(a) – “Expiration Date”</w:t>
            </w: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August 6, 2034.</w:t>
            </w:r>
          </w:p>
        </w:tc>
      </w:tr>
      <w:tr>
        <w:trPr>
          <w:trHeight w:val="184"/>
        </w:trPr>
        <w:tc>
          <w:tcPr>
            <w:tcW w:w="1260" w:type="dxa"/>
            <w:vAlign w:val="bottom"/>
            <w:tcBorders>
              <w:left w:val="single" w:sz="8" w:color="auto"/>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r>
      <w:tr>
        <w:trPr>
          <w:trHeight w:val="205"/>
        </w:trPr>
        <w:tc>
          <w:tcPr>
            <w:tcW w:w="3820" w:type="dxa"/>
            <w:vAlign w:val="bottom"/>
            <w:tcBorders>
              <w:left w:val="single" w:sz="8" w:color="auto"/>
              <w:right w:val="single" w:sz="8" w:color="auto"/>
            </w:tcBorders>
            <w:gridSpan w:val="3"/>
          </w:tcPr>
          <w:p>
            <w:pPr>
              <w:ind w:left="120"/>
              <w:spacing w:after="0" w:line="205" w:lineRule="exact"/>
              <w:rPr>
                <w:sz w:val="20"/>
                <w:szCs w:val="20"/>
                <w:color w:val="auto"/>
              </w:rPr>
            </w:pPr>
            <w:r>
              <w:rPr>
                <w:rFonts w:ascii="Times New Roman" w:cs="Times New Roman" w:eastAsia="Times New Roman" w:hAnsi="Times New Roman"/>
                <w:sz w:val="18"/>
                <w:szCs w:val="18"/>
                <w:color w:val="auto"/>
              </w:rPr>
              <w:t>6.5 – “Holder Notice Address”</w:t>
            </w:r>
          </w:p>
        </w:tc>
        <w:tc>
          <w:tcPr>
            <w:tcW w:w="7420" w:type="dxa"/>
            <w:vAlign w:val="bottom"/>
            <w:tcBorders>
              <w:right w:val="single" w:sz="8" w:color="auto"/>
            </w:tcBorders>
            <w:gridSpan w:val="5"/>
          </w:tcPr>
          <w:p>
            <w:pPr>
              <w:ind w:left="60"/>
              <w:spacing w:after="0" w:line="205" w:lineRule="exact"/>
              <w:rPr>
                <w:sz w:val="20"/>
                <w:szCs w:val="20"/>
                <w:color w:val="auto"/>
              </w:rPr>
            </w:pPr>
            <w:r>
              <w:rPr>
                <w:rFonts w:ascii="Times New Roman" w:cs="Times New Roman" w:eastAsia="Times New Roman" w:hAnsi="Times New Roman"/>
                <w:sz w:val="18"/>
                <w:szCs w:val="18"/>
                <w:color w:val="auto"/>
              </w:rPr>
              <w:t>First-Citizens Bank &amp; Trust Company</w:t>
            </w:r>
          </w:p>
        </w:tc>
      </w:tr>
      <w:tr>
        <w:trPr>
          <w:trHeight w:val="216"/>
        </w:trPr>
        <w:tc>
          <w:tcPr>
            <w:tcW w:w="126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FCC07 Warrant Investment Team</w:t>
            </w:r>
          </w:p>
        </w:tc>
      </w:tr>
      <w:tr>
        <w:trPr>
          <w:trHeight w:val="216"/>
        </w:trPr>
        <w:tc>
          <w:tcPr>
            <w:tcW w:w="126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4300 Six Forks Road</w:t>
            </w:r>
          </w:p>
        </w:tc>
      </w:tr>
      <w:tr>
        <w:trPr>
          <w:trHeight w:val="216"/>
        </w:trPr>
        <w:tc>
          <w:tcPr>
            <w:tcW w:w="126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Raleigh, NC 27609</w:t>
            </w:r>
          </w:p>
        </w:tc>
      </w:tr>
      <w:tr>
        <w:trPr>
          <w:trHeight w:val="216"/>
        </w:trPr>
        <w:tc>
          <w:tcPr>
            <w:tcW w:w="126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Telephone: [***]</w:t>
            </w:r>
          </w:p>
        </w:tc>
      </w:tr>
      <w:tr>
        <w:trPr>
          <w:trHeight w:val="234"/>
        </w:trPr>
        <w:tc>
          <w:tcPr>
            <w:tcW w:w="1260" w:type="dxa"/>
            <w:vAlign w:val="bottom"/>
            <w:tcBorders>
              <w:lef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Email: [***]</w:t>
            </w:r>
          </w:p>
        </w:tc>
      </w:tr>
      <w:tr>
        <w:trPr>
          <w:trHeight w:val="189"/>
        </w:trPr>
        <w:tc>
          <w:tcPr>
            <w:tcW w:w="1260" w:type="dxa"/>
            <w:vAlign w:val="bottom"/>
            <w:tcBorders>
              <w:left w:val="single" w:sz="8" w:color="auto"/>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r>
      <w:tr>
        <w:trPr>
          <w:trHeight w:val="205"/>
        </w:trPr>
        <w:tc>
          <w:tcPr>
            <w:tcW w:w="3820" w:type="dxa"/>
            <w:vAlign w:val="bottom"/>
            <w:tcBorders>
              <w:left w:val="single" w:sz="8" w:color="auto"/>
              <w:right w:val="single" w:sz="8" w:color="auto"/>
            </w:tcBorders>
            <w:gridSpan w:val="3"/>
          </w:tcPr>
          <w:p>
            <w:pPr>
              <w:ind w:left="120"/>
              <w:spacing w:after="0" w:line="205" w:lineRule="exact"/>
              <w:rPr>
                <w:sz w:val="20"/>
                <w:szCs w:val="20"/>
                <w:color w:val="auto"/>
              </w:rPr>
            </w:pPr>
            <w:r>
              <w:rPr>
                <w:rFonts w:ascii="Times New Roman" w:cs="Times New Roman" w:eastAsia="Times New Roman" w:hAnsi="Times New Roman"/>
                <w:sz w:val="18"/>
                <w:szCs w:val="18"/>
                <w:color w:val="auto"/>
              </w:rPr>
              <w:t>6.5 – “Company Notice Address”</w:t>
            </w:r>
          </w:p>
        </w:tc>
        <w:tc>
          <w:tcPr>
            <w:tcW w:w="7420" w:type="dxa"/>
            <w:vAlign w:val="bottom"/>
            <w:tcBorders>
              <w:right w:val="single" w:sz="8" w:color="auto"/>
            </w:tcBorders>
            <w:gridSpan w:val="5"/>
          </w:tcPr>
          <w:p>
            <w:pPr>
              <w:ind w:left="60"/>
              <w:spacing w:after="0" w:line="205" w:lineRule="exact"/>
              <w:rPr>
                <w:sz w:val="20"/>
                <w:szCs w:val="20"/>
                <w:color w:val="auto"/>
              </w:rPr>
            </w:pPr>
            <w:r>
              <w:rPr>
                <w:rFonts w:ascii="Times New Roman" w:cs="Times New Roman" w:eastAsia="Times New Roman" w:hAnsi="Times New Roman"/>
                <w:sz w:val="18"/>
                <w:szCs w:val="18"/>
                <w:color w:val="auto"/>
              </w:rPr>
              <w:t>Tenaya Therapeutics, Inc.</w:t>
            </w:r>
          </w:p>
        </w:tc>
      </w:tr>
      <w:tr>
        <w:trPr>
          <w:trHeight w:val="216"/>
        </w:trPr>
        <w:tc>
          <w:tcPr>
            <w:tcW w:w="126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171 Oyster Point Blvd., Suite 500</w:t>
            </w:r>
          </w:p>
        </w:tc>
      </w:tr>
      <w:tr>
        <w:trPr>
          <w:trHeight w:val="216"/>
        </w:trPr>
        <w:tc>
          <w:tcPr>
            <w:tcW w:w="126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South San Francisco, CA 94080</w:t>
            </w:r>
          </w:p>
        </w:tc>
      </w:tr>
      <w:tr>
        <w:trPr>
          <w:trHeight w:val="216"/>
        </w:trPr>
        <w:tc>
          <w:tcPr>
            <w:tcW w:w="126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Attn: [***]</w:t>
            </w:r>
          </w:p>
        </w:tc>
      </w:tr>
      <w:tr>
        <w:trPr>
          <w:trHeight w:val="234"/>
        </w:trPr>
        <w:tc>
          <w:tcPr>
            <w:tcW w:w="1260" w:type="dxa"/>
            <w:vAlign w:val="bottom"/>
            <w:tcBorders>
              <w:lef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Email: [***]</w:t>
            </w:r>
          </w:p>
        </w:tc>
      </w:tr>
      <w:tr>
        <w:trPr>
          <w:trHeight w:val="391"/>
        </w:trPr>
        <w:tc>
          <w:tcPr>
            <w:tcW w:w="1260" w:type="dxa"/>
            <w:vAlign w:val="bottom"/>
            <w:tcBorders>
              <w:left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r>
      <w:tr>
        <w:trPr>
          <w:trHeight w:val="387"/>
        </w:trPr>
        <w:tc>
          <w:tcPr>
            <w:tcW w:w="1260" w:type="dxa"/>
            <w:vAlign w:val="bottom"/>
            <w:tcBorders>
              <w:left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Wilson Sonsini Goodrich &amp; Rosati, P.C.</w:t>
            </w:r>
          </w:p>
        </w:tc>
      </w:tr>
      <w:tr>
        <w:trPr>
          <w:trHeight w:val="216"/>
        </w:trPr>
        <w:tc>
          <w:tcPr>
            <w:tcW w:w="126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650 Page Mill Road</w:t>
            </w:r>
          </w:p>
        </w:tc>
      </w:tr>
      <w:tr>
        <w:trPr>
          <w:trHeight w:val="216"/>
        </w:trPr>
        <w:tc>
          <w:tcPr>
            <w:tcW w:w="126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Palo Alto, CA 94304</w:t>
            </w:r>
          </w:p>
        </w:tc>
      </w:tr>
      <w:tr>
        <w:trPr>
          <w:trHeight w:val="216"/>
        </w:trPr>
        <w:tc>
          <w:tcPr>
            <w:tcW w:w="126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Attention: [***]</w:t>
            </w:r>
          </w:p>
        </w:tc>
      </w:tr>
      <w:tr>
        <w:trPr>
          <w:trHeight w:val="216"/>
        </w:trPr>
        <w:tc>
          <w:tcPr>
            <w:tcW w:w="126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Telephone: [***]</w:t>
            </w:r>
          </w:p>
        </w:tc>
      </w:tr>
      <w:tr>
        <w:trPr>
          <w:trHeight w:val="234"/>
        </w:trPr>
        <w:tc>
          <w:tcPr>
            <w:tcW w:w="1260" w:type="dxa"/>
            <w:vAlign w:val="bottom"/>
            <w:tcBorders>
              <w:lef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7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Email: [***]</w:t>
            </w:r>
          </w:p>
        </w:tc>
      </w:tr>
      <w:tr>
        <w:trPr>
          <w:trHeight w:val="189"/>
        </w:trPr>
        <w:tc>
          <w:tcPr>
            <w:tcW w:w="1260" w:type="dxa"/>
            <w:vAlign w:val="bottom"/>
            <w:tcBorders>
              <w:left w:val="single" w:sz="8" w:color="auto"/>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020" w:type="dxa"/>
            <w:vAlign w:val="bottom"/>
            <w:tcBorders>
              <w:bottom w:val="single" w:sz="8" w:color="auto"/>
              <w:right w:val="single" w:sz="8" w:color="auto"/>
            </w:tcBorders>
          </w:tcPr>
          <w:p>
            <w:pPr>
              <w:spacing w:after="0"/>
              <w:rPr>
                <w:sz w:val="16"/>
                <w:szCs w:val="16"/>
                <w:color w:val="auto"/>
              </w:rPr>
            </w:pPr>
          </w:p>
        </w:tc>
      </w:tr>
      <w:tr>
        <w:trPr>
          <w:trHeight w:val="399"/>
        </w:trPr>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SECTION 1.</w:t>
            </w:r>
            <w:r>
              <w:rPr>
                <w:rFonts w:ascii="Times New Roman" w:cs="Times New Roman" w:eastAsia="Times New Roman" w:hAnsi="Times New Roman"/>
                <w:sz w:val="17"/>
                <w:szCs w:val="17"/>
                <w:color w:val="auto"/>
              </w:rPr>
              <w:t>RIGHT TO PURCHASE SHARES.</w:t>
            </w:r>
          </w:p>
        </w:tc>
      </w:tr>
      <w:tr>
        <w:trPr>
          <w:trHeight w:val="20"/>
        </w:trPr>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u w:val="single" w:color="auto"/>
          <w:color w:val="auto"/>
        </w:rPr>
        <w:t>1.1 Grant of Right</w:t>
      </w:r>
      <w:r>
        <w:rPr>
          <w:rFonts w:ascii="Times New Roman" w:cs="Times New Roman" w:eastAsia="Times New Roman" w:hAnsi="Times New Roman"/>
          <w:sz w:val="18"/>
          <w:szCs w:val="18"/>
          <w:color w:val="auto"/>
        </w:rPr>
        <w:t>. For good and valuable consideration, the Company hereby grants to SILICON VALLEY BANK, A DIVISION OF FIRST-CITIZENS BANK &amp; TRUST COMPANY (together with any successor or permitted assignee or transferee of this Warrant or of any shares issued upon exercise hereof,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the right, and Holder is entitled, to purchase from the Company up to the number of fully paid and non-assessable shares (as determined pursuant to Section 1.2 below) of the class set forth on Schedule I hereto (the “</w:t>
      </w: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18"/>
          <w:szCs w:val="18"/>
          <w:color w:val="auto"/>
        </w:rPr>
        <w:t>”), at a purchase price per Share set forth on Schedule I hereto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subject to the provisions and upon the terms and conditions set forth in this Warrant.</w:t>
      </w:r>
    </w:p>
    <w:p>
      <w:pPr>
        <w:spacing w:after="0" w:line="15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u w:val="single" w:color="auto"/>
          <w:color w:val="auto"/>
        </w:rPr>
        <w:t>1.2 Number of Shares</w:t>
      </w:r>
      <w:r>
        <w:rPr>
          <w:rFonts w:ascii="Times New Roman" w:cs="Times New Roman" w:eastAsia="Times New Roman" w:hAnsi="Times New Roman"/>
          <w:sz w:val="18"/>
          <w:szCs w:val="18"/>
          <w:color w:val="auto"/>
        </w:rPr>
        <w:t>. This Warrant shall be exercisable for the number of initial shares of the Class as set forth on Schedule I hereto (the “</w:t>
      </w:r>
      <w:r>
        <w:rPr>
          <w:rFonts w:ascii="Times New Roman" w:cs="Times New Roman" w:eastAsia="Times New Roman" w:hAnsi="Times New Roman"/>
          <w:sz w:val="18"/>
          <w:szCs w:val="18"/>
          <w:b w:val="1"/>
          <w:bCs w:val="1"/>
          <w:color w:val="auto"/>
        </w:rPr>
        <w:t>Initial Shares</w:t>
      </w:r>
      <w:r>
        <w:rPr>
          <w:rFonts w:ascii="Times New Roman" w:cs="Times New Roman" w:eastAsia="Times New Roman" w:hAnsi="Times New Roman"/>
          <w:sz w:val="18"/>
          <w:szCs w:val="18"/>
          <w:color w:val="auto"/>
        </w:rPr>
        <w:t>”), plus the Additional Shares (as hereinafter defined), if any (collectively, and as may be adjusted from time to time in accordance with the provisions of this Warrant,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1611752662.4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5" w:name="page86"/>
    <w:bookmarkEnd w:id="85"/>
    <w:p>
      <w:pPr>
        <w:jc w:val="both"/>
        <w:ind w:right="100" w:firstLine="749"/>
        <w:spacing w:after="0" w:line="266" w:lineRule="auto"/>
        <w:rPr>
          <w:sz w:val="20"/>
          <w:szCs w:val="20"/>
          <w:color w:val="auto"/>
        </w:rPr>
      </w:pPr>
      <w:r>
        <w:rPr>
          <w:rFonts w:ascii="Times New Roman" w:cs="Times New Roman" w:eastAsia="Times New Roman" w:hAnsi="Times New Roman"/>
          <w:sz w:val="18"/>
          <w:szCs w:val="18"/>
          <w:u w:val="single" w:color="auto"/>
          <w:color w:val="auto"/>
        </w:rPr>
        <w:t>1.3 Additional Shares</w:t>
      </w:r>
      <w:r>
        <w:rPr>
          <w:rFonts w:ascii="Times New Roman" w:cs="Times New Roman" w:eastAsia="Times New Roman" w:hAnsi="Times New Roman"/>
          <w:sz w:val="18"/>
          <w:szCs w:val="18"/>
          <w:color w:val="auto"/>
        </w:rPr>
        <w:t>. This Warrant shall automatically become exercisable for the number of additional shares of the Class as set forth on Schedule I hereto (cumulatively and collectively, and as may be adjusted from time to time in accordance with the provisions of this Warrant,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upon the occurrence of events set forth on Schedule I hereto.</w:t>
      </w:r>
    </w:p>
    <w:p>
      <w:pPr>
        <w:spacing w:after="0" w:line="131" w:lineRule="exact"/>
        <w:rPr>
          <w:sz w:val="20"/>
          <w:szCs w:val="20"/>
          <w:color w:val="auto"/>
        </w:rPr>
      </w:pPr>
    </w:p>
    <w:p>
      <w:pPr>
        <w:jc w:val="both"/>
        <w:ind w:right="100" w:firstLine="1505"/>
        <w:spacing w:after="0" w:line="268" w:lineRule="auto"/>
        <w:tabs>
          <w:tab w:leader="none" w:pos="2036" w:val="left"/>
        </w:tabs>
        <w:numPr>
          <w:ilvl w:val="0"/>
          <w:numId w:val="4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 Additional Shares Pool</w:t>
      </w:r>
      <w:r>
        <w:rPr>
          <w:rFonts w:ascii="Times New Roman" w:cs="Times New Roman" w:eastAsia="Times New Roman" w:hAnsi="Times New Roman"/>
          <w:sz w:val="18"/>
          <w:szCs w:val="18"/>
          <w:color w:val="auto"/>
        </w:rPr>
        <w:t>” shall have the meaning set forth on Schedule I hereto, as such number may be adjusted from time to time in accordance with the provisions of this Warrant (as if the Tranche A Additional Shares Pool constituted “Shares” hereunder for such purpose at all times from the Issue Date).</w:t>
      </w:r>
    </w:p>
    <w:p>
      <w:pPr>
        <w:spacing w:after="0" w:line="143" w:lineRule="exact"/>
        <w:rPr>
          <w:rFonts w:ascii="Times New Roman" w:cs="Times New Roman" w:eastAsia="Times New Roman" w:hAnsi="Times New Roman"/>
          <w:sz w:val="18"/>
          <w:szCs w:val="18"/>
          <w:u w:val="single" w:color="auto"/>
          <w:color w:val="auto"/>
        </w:rPr>
      </w:pPr>
    </w:p>
    <w:p>
      <w:pPr>
        <w:jc w:val="both"/>
        <w:ind w:right="100" w:firstLine="1505"/>
        <w:spacing w:after="0" w:line="268" w:lineRule="auto"/>
        <w:tabs>
          <w:tab w:leader="none" w:pos="2036" w:val="left"/>
        </w:tabs>
        <w:numPr>
          <w:ilvl w:val="0"/>
          <w:numId w:val="4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Additional Shares Pool</w:t>
      </w:r>
      <w:r>
        <w:rPr>
          <w:rFonts w:ascii="Times New Roman" w:cs="Times New Roman" w:eastAsia="Times New Roman" w:hAnsi="Times New Roman"/>
          <w:sz w:val="18"/>
          <w:szCs w:val="18"/>
          <w:color w:val="auto"/>
        </w:rPr>
        <w:t>” shall have the meaning set forth on Schedule I hereto, as such number may be adjusted from time to time in accordance with the provisions of this Warrant (as if the Tranche B Additional Shares Pool constituted “Shares” hereunder for such purpose at all times from the Issue Date).</w:t>
      </w:r>
    </w:p>
    <w:p>
      <w:pPr>
        <w:spacing w:after="0" w:line="130" w:lineRule="exact"/>
        <w:rPr>
          <w:rFonts w:ascii="Times New Roman" w:cs="Times New Roman" w:eastAsia="Times New Roman" w:hAnsi="Times New Roman"/>
          <w:sz w:val="18"/>
          <w:szCs w:val="18"/>
          <w:u w:val="single" w:color="auto"/>
          <w:color w:val="auto"/>
        </w:rPr>
      </w:pPr>
    </w:p>
    <w:p>
      <w:pPr>
        <w:jc w:val="both"/>
        <w:ind w:right="100" w:firstLine="1505"/>
        <w:spacing w:after="0" w:line="268" w:lineRule="auto"/>
        <w:tabs>
          <w:tab w:leader="none" w:pos="2036" w:val="left"/>
        </w:tabs>
        <w:numPr>
          <w:ilvl w:val="0"/>
          <w:numId w:val="4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C Additional Shares Pool</w:t>
      </w:r>
      <w:r>
        <w:rPr>
          <w:rFonts w:ascii="Times New Roman" w:cs="Times New Roman" w:eastAsia="Times New Roman" w:hAnsi="Times New Roman"/>
          <w:sz w:val="18"/>
          <w:szCs w:val="18"/>
          <w:color w:val="auto"/>
        </w:rPr>
        <w:t>” shall have the meaning set forth on Schedule I hereto, as such number may be adjusted from time to time in accordance with the provisions of this Warrant (as if the Tranche C Additional Shares Pool constituted “Shares” hereunder for such purpose at all times from the Issue Date).</w:t>
      </w:r>
    </w:p>
    <w:p>
      <w:pPr>
        <w:spacing w:after="0" w:line="130" w:lineRule="exact"/>
        <w:rPr>
          <w:rFonts w:ascii="Times New Roman" w:cs="Times New Roman" w:eastAsia="Times New Roman" w:hAnsi="Times New Roman"/>
          <w:sz w:val="18"/>
          <w:szCs w:val="18"/>
          <w:u w:val="single" w:color="auto"/>
          <w:color w:val="auto"/>
        </w:rPr>
      </w:pPr>
    </w:p>
    <w:p>
      <w:pPr>
        <w:jc w:val="both"/>
        <w:ind w:right="100" w:firstLine="1505"/>
        <w:spacing w:after="0" w:line="268" w:lineRule="auto"/>
        <w:tabs>
          <w:tab w:leader="none" w:pos="2036" w:val="left"/>
        </w:tabs>
        <w:numPr>
          <w:ilvl w:val="0"/>
          <w:numId w:val="4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D Additional Shares Pool</w:t>
      </w:r>
      <w:r>
        <w:rPr>
          <w:rFonts w:ascii="Times New Roman" w:cs="Times New Roman" w:eastAsia="Times New Roman" w:hAnsi="Times New Roman"/>
          <w:sz w:val="18"/>
          <w:szCs w:val="18"/>
          <w:color w:val="auto"/>
        </w:rPr>
        <w:t>” shall have the meaning set forth on Schedule I hereto, as such number may be adjusted from time to time in accordance with the provisions of this Warrant (as if the Tranche D Additional Shares Pool constituted “Shares” hereunder for such purpose at all times from the Issue Date).</w:t>
      </w:r>
    </w:p>
    <w:p>
      <w:pPr>
        <w:spacing w:after="0" w:line="1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jc w:val="both"/>
        <w:ind w:right="100" w:firstLine="749"/>
        <w:spacing w:after="0" w:line="255" w:lineRule="auto"/>
        <w:rPr>
          <w:sz w:val="20"/>
          <w:szCs w:val="20"/>
          <w:color w:val="auto"/>
        </w:rPr>
      </w:pPr>
      <w:r>
        <w:rPr>
          <w:rFonts w:ascii="Times New Roman" w:cs="Times New Roman" w:eastAsia="Times New Roman" w:hAnsi="Times New Roman"/>
          <w:sz w:val="18"/>
          <w:szCs w:val="18"/>
          <w:u w:val="single" w:color="auto"/>
          <w:color w:val="auto"/>
        </w:rPr>
        <w:t>2.1 Method of Exercise</w:t>
      </w:r>
      <w:r>
        <w:rPr>
          <w:rFonts w:ascii="Times New Roman" w:cs="Times New Roman" w:eastAsia="Times New Roman" w:hAnsi="Times New Roman"/>
          <w:sz w:val="18"/>
          <w:szCs w:val="18"/>
          <w:color w:val="auto"/>
        </w:rPr>
        <w:t xml:space="preserve">. Holder may exercise this Warrant in whole or in part at any time and from time to time prior to the expiration or earlier termination of this Warrant, by delivering to the Company the original of this Warrant together with a duly executed Notice of Exercise in substantially the form attached hereto as </w:t>
      </w:r>
      <w:r>
        <w:rPr>
          <w:rFonts w:ascii="Times New Roman" w:cs="Times New Roman" w:eastAsia="Times New Roman" w:hAnsi="Times New Roman"/>
          <w:sz w:val="18"/>
          <w:szCs w:val="18"/>
          <w:u w:val="single" w:color="auto"/>
          <w:color w:val="auto"/>
        </w:rPr>
        <w:t>Appendix 1</w:t>
      </w:r>
      <w:r>
        <w:rPr>
          <w:rFonts w:ascii="Times New Roman" w:cs="Times New Roman" w:eastAsia="Times New Roman" w:hAnsi="Times New Roman"/>
          <w:sz w:val="18"/>
          <w:szCs w:val="18"/>
          <w:color w:val="auto"/>
        </w:rPr>
        <w:t xml:space="preserve"> and, unless Holder is exercising this Warrant pursuant to a cashless exercise set forth in Section 2.2 below, a check, wire transfer of same-day funds (to an account designated by the Company), or other form of payment acceptable to the Company for the aggregate Exercise Price for the Shares being purchased. Notwithstanding any contrary provision herein, to the extent that the original of this Warrant is an electronic original, in no event shall an original ink-signed paper copy of this Warrant be required for any exercise of a Holder’s rights hereunder, nor shall this Warrant or any physical copy hereof be required to be physically surrendered at the time of any exercise hereof.</w:t>
      </w:r>
    </w:p>
    <w:p>
      <w:pPr>
        <w:spacing w:after="0" w:line="148" w:lineRule="exact"/>
        <w:rPr>
          <w:sz w:val="20"/>
          <w:szCs w:val="20"/>
          <w:color w:val="auto"/>
        </w:rPr>
      </w:pPr>
    </w:p>
    <w:p>
      <w:pPr>
        <w:jc w:val="both"/>
        <w:ind w:right="100" w:firstLine="749"/>
        <w:spacing w:after="0" w:line="261" w:lineRule="auto"/>
        <w:rPr>
          <w:sz w:val="20"/>
          <w:szCs w:val="20"/>
          <w:color w:val="auto"/>
        </w:rPr>
      </w:pPr>
      <w:r>
        <w:rPr>
          <w:rFonts w:ascii="Times New Roman" w:cs="Times New Roman" w:eastAsia="Times New Roman" w:hAnsi="Times New Roman"/>
          <w:sz w:val="18"/>
          <w:szCs w:val="18"/>
          <w:u w:val="single" w:color="auto"/>
          <w:color w:val="auto"/>
        </w:rPr>
        <w:t>2.2 Cashless Exercise</w:t>
      </w:r>
      <w:r>
        <w:rPr>
          <w:rFonts w:ascii="Times New Roman" w:cs="Times New Roman" w:eastAsia="Times New Roman" w:hAnsi="Times New Roman"/>
          <w:sz w:val="18"/>
          <w:szCs w:val="18"/>
          <w:color w:val="auto"/>
        </w:rPr>
        <w:t>. On any exercise of this Warrant, in lieu of payment of the aggregate Exercise Price in the manner specified in Section 2.1 above, Holder may elect to surrender to the Company Shares having an aggregate value equal to the aggregate Exercise Price. If Holder makes such election, the Company shall issue to Holder such number of fully paid and non-assessable Shares, subject to the BHCA Limits (as hereinafter defined), determined by the following formula:</w:t>
      </w:r>
    </w:p>
    <w:p>
      <w:pPr>
        <w:spacing w:after="0" w:line="18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X = Y(A-B)/A</w:t>
      </w:r>
    </w:p>
    <w:p>
      <w:pPr>
        <w:spacing w:after="0" w:line="21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1340"/>
          </w:cols>
          <w:pgMar w:left="320" w:top="1417" w:right="239" w:bottom="1440" w:gutter="0" w:footer="0" w:header="0"/>
        </w:sectPr>
      </w:pPr>
    </w:p>
    <w:p>
      <w:pPr>
        <w:spacing w:after="0" w:line="21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X =</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to be issued to Holder;</w:t>
      </w:r>
    </w:p>
    <w:p>
      <w:pPr>
        <w:spacing w:after="0" w:line="211" w:lineRule="exact"/>
        <w:rPr>
          <w:sz w:val="20"/>
          <w:szCs w:val="20"/>
          <w:color w:val="auto"/>
        </w:rPr>
      </w:pPr>
    </w:p>
    <w:p>
      <w:pPr>
        <w:sectPr>
          <w:pgSz w:w="11900" w:h="16838" w:orient="portrait"/>
          <w:cols w:equalWidth="0" w:num="2">
            <w:col w:w="1460" w:space="380"/>
            <w:col w:w="9500"/>
          </w:cols>
          <w:pgMar w:left="320" w:top="1417" w:right="239" w:bottom="1440" w:gutter="0" w:footer="0" w:header="0"/>
          <w:type w:val="continuous"/>
        </w:sectPr>
      </w:pPr>
    </w:p>
    <w:p>
      <w:pPr>
        <w:spacing w:after="0" w:line="25" w:lineRule="exact"/>
        <w:rPr>
          <w:sz w:val="20"/>
          <w:szCs w:val="20"/>
          <w:color w:val="auto"/>
        </w:rPr>
      </w:pPr>
    </w:p>
    <w:p>
      <w:pPr>
        <w:ind w:left="1180"/>
        <w:spacing w:after="0"/>
        <w:tabs>
          <w:tab w:leader="none" w:pos="1820" w:val="left"/>
        </w:tabs>
        <w:rPr>
          <w:sz w:val="20"/>
          <w:szCs w:val="20"/>
          <w:color w:val="auto"/>
        </w:rPr>
      </w:pPr>
      <w:r>
        <w:rPr>
          <w:rFonts w:ascii="Times New Roman" w:cs="Times New Roman" w:eastAsia="Times New Roman" w:hAnsi="Times New Roman"/>
          <w:sz w:val="18"/>
          <w:szCs w:val="18"/>
          <w:color w:val="auto"/>
        </w:rPr>
        <w:t>Y =</w:t>
      </w:r>
      <w:r>
        <w:rPr>
          <w:sz w:val="20"/>
          <w:szCs w:val="20"/>
          <w:color w:val="auto"/>
        </w:rPr>
        <w:tab/>
      </w:r>
      <w:r>
        <w:rPr>
          <w:rFonts w:ascii="Times New Roman" w:cs="Times New Roman" w:eastAsia="Times New Roman" w:hAnsi="Times New Roman"/>
          <w:sz w:val="18"/>
          <w:szCs w:val="18"/>
          <w:color w:val="auto"/>
        </w:rPr>
        <w:t>the number of Shares with respect to which this Warrant is being exercised (inclusive of the Shares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surrendered to the Compan</w:t>
      </w:r>
    </w:p>
    <w:p>
      <w:pPr>
        <w:spacing w:after="0" w:line="38" w:lineRule="exact"/>
        <w:rPr>
          <w:sz w:val="20"/>
          <w:szCs w:val="20"/>
          <w:color w:val="auto"/>
        </w:rPr>
      </w:pPr>
    </w:p>
    <w:p>
      <w:pPr>
        <w:sectPr>
          <w:pgSz w:w="11900" w:h="16838" w:orient="portrait"/>
          <w:cols w:equalWidth="0" w:num="2">
            <w:col w:w="9060" w:space="340"/>
            <w:col w:w="1940"/>
          </w:cols>
          <w:pgMar w:left="320" w:top="1417" w:right="2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8"/>
          <w:szCs w:val="18"/>
          <w:color w:val="auto"/>
        </w:rPr>
        <w:t>in payment of the aggregate Exercise Price);</w:t>
      </w:r>
    </w:p>
    <w:p>
      <w:pPr>
        <w:spacing w:after="0" w:line="193" w:lineRule="exact"/>
        <w:rPr>
          <w:sz w:val="20"/>
          <w:szCs w:val="20"/>
          <w:color w:val="auto"/>
        </w:rPr>
      </w:pPr>
    </w:p>
    <w:p>
      <w:pPr>
        <w:ind w:left="1180"/>
        <w:spacing w:after="0"/>
        <w:tabs>
          <w:tab w:leader="none" w:pos="182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7"/>
          <w:szCs w:val="17"/>
          <w:color w:val="auto"/>
        </w:rPr>
        <w:t>the fair market value (as determined pursuant to Section 2.3 below) of one Share; and</w:t>
      </w:r>
    </w:p>
    <w:p>
      <w:pPr>
        <w:spacing w:after="0" w:line="212" w:lineRule="exact"/>
        <w:rPr>
          <w:sz w:val="20"/>
          <w:szCs w:val="20"/>
          <w:color w:val="auto"/>
        </w:rPr>
      </w:pPr>
    </w:p>
    <w:p>
      <w:pPr>
        <w:ind w:left="1180"/>
        <w:spacing w:after="0"/>
        <w:tabs>
          <w:tab w:leader="none" w:pos="1820" w:val="left"/>
        </w:tabs>
        <w:rPr>
          <w:sz w:val="20"/>
          <w:szCs w:val="20"/>
          <w:color w:val="auto"/>
        </w:rPr>
      </w:pPr>
      <w:r>
        <w:rPr>
          <w:rFonts w:ascii="Times New Roman" w:cs="Times New Roman" w:eastAsia="Times New Roman" w:hAnsi="Times New Roman"/>
          <w:sz w:val="18"/>
          <w:szCs w:val="18"/>
          <w:color w:val="auto"/>
        </w:rPr>
        <w:t>B =</w:t>
      </w:r>
      <w:r>
        <w:rPr>
          <w:sz w:val="20"/>
          <w:szCs w:val="20"/>
          <w:color w:val="auto"/>
        </w:rPr>
        <w:tab/>
      </w:r>
      <w:r>
        <w:rPr>
          <w:rFonts w:ascii="Times New Roman" w:cs="Times New Roman" w:eastAsia="Times New Roman" w:hAnsi="Times New Roman"/>
          <w:sz w:val="17"/>
          <w:szCs w:val="17"/>
          <w:color w:val="auto"/>
        </w:rPr>
        <w:t>the Exercise Price.</w:t>
      </w:r>
    </w:p>
    <w:p>
      <w:pPr>
        <w:spacing w:after="0" w:line="198" w:lineRule="exact"/>
        <w:rPr>
          <w:sz w:val="20"/>
          <w:szCs w:val="20"/>
          <w:color w:val="auto"/>
        </w:rPr>
      </w:pPr>
    </w:p>
    <w:p>
      <w:pPr>
        <w:jc w:val="both"/>
        <w:ind w:right="100" w:firstLine="749"/>
        <w:spacing w:after="0" w:line="258" w:lineRule="auto"/>
        <w:rPr>
          <w:sz w:val="20"/>
          <w:szCs w:val="20"/>
          <w:color w:val="auto"/>
        </w:rPr>
      </w:pPr>
      <w:r>
        <w:rPr>
          <w:rFonts w:ascii="Times New Roman" w:cs="Times New Roman" w:eastAsia="Times New Roman" w:hAnsi="Times New Roman"/>
          <w:sz w:val="18"/>
          <w:szCs w:val="18"/>
          <w:u w:val="single" w:color="auto"/>
          <w:color w:val="auto"/>
        </w:rPr>
        <w:t>2.3 Fair Market Value</w:t>
      </w:r>
      <w:r>
        <w:rPr>
          <w:rFonts w:ascii="Times New Roman" w:cs="Times New Roman" w:eastAsia="Times New Roman" w:hAnsi="Times New Roman"/>
          <w:sz w:val="18"/>
          <w:szCs w:val="18"/>
          <w:color w:val="auto"/>
        </w:rPr>
        <w:t>. If shares of the Company’s common stock are then traded or quoted on a nationally recognized securities exchange, inter-dealer quotation system or over-the-counter market (a “</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and the Class is common stock, the fair market value of a Share shall be the closing price or last sale price of a share of the Company’s common stock reported for the Business Day immediately before the date on which Holder delivers this Warrant together with its Notice of Exercise to the Company (provided that solely for the purpose of determining the closing price or last sale price of a share pursuant to this Section 2.3, any Notice of Exercise</w:t>
      </w:r>
    </w:p>
    <w:p>
      <w:pPr>
        <w:spacing w:after="0" w:line="200" w:lineRule="exact"/>
        <w:rPr>
          <w:sz w:val="20"/>
          <w:szCs w:val="20"/>
          <w:color w:val="auto"/>
        </w:rPr>
      </w:pPr>
    </w:p>
    <w:p>
      <w:pPr>
        <w:spacing w:after="0" w:line="2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1611752662.4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17" w:right="239" w:bottom="1440" w:gutter="0" w:footer="0" w:header="0"/>
          <w:type w:val="continuous"/>
        </w:sectPr>
      </w:pPr>
    </w:p>
    <w:bookmarkStart w:id="86" w:name="page87"/>
    <w:bookmarkEnd w:id="86"/>
    <w:p>
      <w:pPr>
        <w:jc w:val="both"/>
        <w:spacing w:after="0" w:line="282" w:lineRule="auto"/>
        <w:rPr>
          <w:sz w:val="20"/>
          <w:szCs w:val="20"/>
          <w:color w:val="auto"/>
        </w:rPr>
      </w:pPr>
      <w:r>
        <w:rPr>
          <w:rFonts w:ascii="Times New Roman" w:cs="Times New Roman" w:eastAsia="Times New Roman" w:hAnsi="Times New Roman"/>
          <w:sz w:val="18"/>
          <w:szCs w:val="18"/>
          <w:color w:val="auto"/>
        </w:rPr>
        <w:t>delivered pursuant to Section 6.5(iii) below will not give effect to the proviso contained therein). If shares of the Company’s common stock are not then traded in a Trading Market, the Board of Directors of the Company shall determine the fair market value of a Share in its reasonable good faith judgment.</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u w:val="single" w:color="auto"/>
          <w:color w:val="auto"/>
        </w:rPr>
        <w:t>2.4 Delivery of Certificate and New Warrant</w:t>
      </w:r>
      <w:r>
        <w:rPr>
          <w:rFonts w:ascii="Times New Roman" w:cs="Times New Roman" w:eastAsia="Times New Roman" w:hAnsi="Times New Roman"/>
          <w:sz w:val="18"/>
          <w:szCs w:val="18"/>
          <w:color w:val="auto"/>
        </w:rPr>
        <w:t>. Within a reasonable time after Holder exercises this Warrant in the manner set forth in Sections 2.1 or 2.2 above, the Company shall deliver to Holder a certificate (or, in the case of uncertificated securities, provide notice of book entry) representing the Shares issued to Holder upon such exercise and, if this Warrant has not been fully exercised and has not expired, a new warrant of like tenor representing the Shares not so acquired (or surrendered in payment of the aggregate Exercise Price).</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2.5 Replacement of Warrant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505"/>
        <w:spacing w:after="0" w:line="258" w:lineRule="auto"/>
        <w:tabs>
          <w:tab w:leader="none" w:pos="2036" w:val="left"/>
        </w:tabs>
        <w:numPr>
          <w:ilvl w:val="0"/>
          <w:numId w:val="4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Paper Original Warrant</w:t>
      </w:r>
      <w:r>
        <w:rPr>
          <w:rFonts w:ascii="Times New Roman" w:cs="Times New Roman" w:eastAsia="Times New Roman" w:hAnsi="Times New Roman"/>
          <w:sz w:val="18"/>
          <w:szCs w:val="18"/>
          <w:color w:val="auto"/>
        </w:rPr>
        <w:t>. To the extent that the original of this Warrant is a paper original,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42" w:lineRule="exact"/>
        <w:rPr>
          <w:rFonts w:ascii="Times New Roman" w:cs="Times New Roman" w:eastAsia="Times New Roman" w:hAnsi="Times New Roman"/>
          <w:sz w:val="18"/>
          <w:szCs w:val="18"/>
          <w:u w:val="single" w:color="auto"/>
          <w:color w:val="auto"/>
        </w:rPr>
      </w:pPr>
    </w:p>
    <w:p>
      <w:pPr>
        <w:jc w:val="both"/>
        <w:ind w:firstLine="1505"/>
        <w:spacing w:after="0" w:line="258" w:lineRule="auto"/>
        <w:tabs>
          <w:tab w:leader="none" w:pos="2036" w:val="left"/>
        </w:tabs>
        <w:numPr>
          <w:ilvl w:val="0"/>
          <w:numId w:val="4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Electronic Original Warrant</w:t>
      </w:r>
      <w:r>
        <w:rPr>
          <w:rFonts w:ascii="Times New Roman" w:cs="Times New Roman" w:eastAsia="Times New Roman" w:hAnsi="Times New Roman"/>
          <w:sz w:val="18"/>
          <w:szCs w:val="18"/>
          <w:color w:val="auto"/>
        </w:rPr>
        <w:t>. To the extent that the original of this Warrant is an electronic original, if at any time this Warrant is rejected by any person (including, but not limited to, paying or escrow agents) or any such person fails to comply with the terms of this Warrant based on this Warrant being presented to such person as an electronic record or a printout hereof, or any signature hereto being in electronic form, the Company shall, promptly upon Holder’s request and without indemnity, execute and deliver to Holder, in lieu of electronic original versions of this Warrant, a new warrant of like tenor and amount in paper form with original ink signatures.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2.6 Treatment of Warrant Upon Acquisition of Company</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1505"/>
        <w:spacing w:after="0" w:line="254" w:lineRule="auto"/>
        <w:tabs>
          <w:tab w:leader="none" w:pos="2036" w:val="left"/>
        </w:tabs>
        <w:numPr>
          <w:ilvl w:val="0"/>
          <w:numId w:val="4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 For the avoidance of doubt, “Acquisition” shall not include any sale and issuance by the Company of shares of its capital stock or of securities or instruments exercisable for or convertible into, or otherwise representing the right to acquire, shares of its capital stock to one or more investors for cash in a transaction or series of related transactions the primary purpose of which is a bona fide equity financing of the Company.</w:t>
      </w:r>
    </w:p>
    <w:p>
      <w:pPr>
        <w:spacing w:after="0" w:line="148" w:lineRule="exact"/>
        <w:rPr>
          <w:rFonts w:ascii="Times New Roman" w:cs="Times New Roman" w:eastAsia="Times New Roman" w:hAnsi="Times New Roman"/>
          <w:sz w:val="18"/>
          <w:szCs w:val="18"/>
          <w:u w:val="single" w:color="auto"/>
          <w:color w:val="auto"/>
        </w:rPr>
      </w:pPr>
    </w:p>
    <w:p>
      <w:pPr>
        <w:jc w:val="both"/>
        <w:ind w:firstLine="1505"/>
        <w:spacing w:after="0" w:line="253" w:lineRule="auto"/>
        <w:tabs>
          <w:tab w:leader="none" w:pos="2036" w:val="left"/>
        </w:tabs>
        <w:numPr>
          <w:ilvl w:val="0"/>
          <w:numId w:val="4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Treatment of Warrant in Cash/Public Acquisition</w:t>
      </w:r>
      <w:r>
        <w:rPr>
          <w:rFonts w:ascii="Times New Roman" w:cs="Times New Roman" w:eastAsia="Times New Roman" w:hAnsi="Times New Roman"/>
          <w:sz w:val="18"/>
          <w:szCs w:val="18"/>
          <w:color w:val="auto"/>
        </w:rPr>
        <w:t>. In the event of an Acquisition in which the consideration to be received by the holders of the outstanding shares of the Class (in their capacity as such) consists solely of cash, solely of Marketable Securities (as hereinafter defined) or a combination of cash and Marketable Securities (a “</w:t>
      </w:r>
      <w:r>
        <w:rPr>
          <w:rFonts w:ascii="Times New Roman" w:cs="Times New Roman" w:eastAsia="Times New Roman" w:hAnsi="Times New Roman"/>
          <w:sz w:val="18"/>
          <w:szCs w:val="18"/>
          <w:b w:val="1"/>
          <w:bCs w:val="1"/>
          <w:color w:val="auto"/>
        </w:rPr>
        <w:t>Cash/Public Acquisition</w:t>
      </w:r>
      <w:r>
        <w:rPr>
          <w:rFonts w:ascii="Times New Roman" w:cs="Times New Roman" w:eastAsia="Times New Roman" w:hAnsi="Times New Roman"/>
          <w:sz w:val="18"/>
          <w:szCs w:val="18"/>
          <w:color w:val="auto"/>
        </w:rPr>
        <w:t>”), and the fair market value of one Share as determined in accordance with Section 2.3 above would be greater than the Exercise Price in effect as of immediately prior to the closing of such Cash/Public Acquisition, and Holder has not previously exercised this Warrant in full, then, in lieu of Holder’s exercise of the unexercised portion of this Warrant, this Warrant shall, as of immediately prior to such closing (but subject to the occurrence thereof) automatically cease to represent the right to purchase Shares and shall, from and after such closing, represent solely the right to receive the aggregate consideration that would have been payable in such Acquisition on and in respect of all Shares for which this Warrant was exercisable as of immediately prior to the closing thereof, net of the aggregate Exercise Price therefor, as if such Shares had been issued and outstanding to Holder as of immediately prior to such closing, as and when such consideration is paid to the holders of the outstanding shares of the Class. In the event of a Cash/Public Acquisition in which the fair market value of one Share as determined in accordance with Section 2.3 above would be equal to or less than the Exercise Price in effect as of immediately prior to the closing of such Cash/Public Acquisition, then this Warrant will automatically and without further action of any party terminate as of immediately prior to such closing.</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1611752662.4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7" w:name="page88"/>
    <w:bookmarkEnd w:id="87"/>
    <w:p>
      <w:pPr>
        <w:jc w:val="both"/>
        <w:ind w:firstLine="1505"/>
        <w:spacing w:after="0" w:line="256" w:lineRule="auto"/>
        <w:tabs>
          <w:tab w:leader="none" w:pos="2036" w:val="left"/>
        </w:tabs>
        <w:numPr>
          <w:ilvl w:val="0"/>
          <w:numId w:val="4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Treatment of Warrant in non-Cash/Public Acquisition</w:t>
      </w:r>
      <w:r>
        <w:rPr>
          <w:rFonts w:ascii="Times New Roman" w:cs="Times New Roman" w:eastAsia="Times New Roman" w:hAnsi="Times New Roman"/>
          <w:sz w:val="18"/>
          <w:szCs w:val="18"/>
          <w:color w:val="auto"/>
        </w:rPr>
        <w:t>. Upon the closing of any Acquisition other than a Cash/Public Acquisition, the acquiring, surviving or successor entity shall assume this Warrant and the Company’s obligations hereunder,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at an aggregate Exercise Price equal to the aggregate Exercise Price in effect as of immediately prior to such closing, all subject to the BHCA Limits (as hereinafter defined) and further adjustment from time to time thereafter in accordance with the provisions of this Warrant.</w:t>
      </w:r>
    </w:p>
    <w:p>
      <w:pPr>
        <w:spacing w:after="0" w:line="142" w:lineRule="exact"/>
        <w:rPr>
          <w:rFonts w:ascii="Times New Roman" w:cs="Times New Roman" w:eastAsia="Times New Roman" w:hAnsi="Times New Roman"/>
          <w:sz w:val="18"/>
          <w:szCs w:val="18"/>
          <w:u w:val="single" w:color="auto"/>
          <w:color w:val="auto"/>
        </w:rPr>
      </w:pPr>
    </w:p>
    <w:p>
      <w:pPr>
        <w:jc w:val="both"/>
        <w:ind w:firstLine="1505"/>
        <w:spacing w:after="0" w:line="254" w:lineRule="auto"/>
        <w:tabs>
          <w:tab w:leader="none" w:pos="2036" w:val="left"/>
        </w:tabs>
        <w:numPr>
          <w:ilvl w:val="0"/>
          <w:numId w:val="4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Marketable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Marketable Securities</w:t>
      </w:r>
      <w:r>
        <w:rPr>
          <w:rFonts w:ascii="Times New Roman" w:cs="Times New Roman" w:eastAsia="Times New Roman" w:hAnsi="Times New Roman"/>
          <w:sz w:val="18"/>
          <w:szCs w:val="18"/>
          <w:color w:val="auto"/>
        </w:rPr>
        <w:t>” means securities meeting all of the following requirements (determined as of immediately prior to the closing of the Acquisition): (i) the issuer thereof is then subject to the reporting requirements of Section 13 or Section 15(d)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this Warrant in full on or prior to the closing of such Acquisition, except to the extent that any such restriction (x) arises solely under federal or state securities laws, rules or regulations, and (y) does not extend beyond six (6) months from the closing of such Acquisition. Notwithstanding the foregoing provisions of this Section 2.6(d), securities held in escrow or subject to holdback to cover indemnification-related claims shall be deemed to be Marketable Securities if they would otherwise be Marketable Securities but for the fact that they are held in escrow or subject to holdback to cover indemnification-related claims.</w:t>
      </w:r>
    </w:p>
    <w:p>
      <w:pPr>
        <w:spacing w:after="0" w:line="15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u w:val="single" w:color="auto"/>
          <w:color w:val="auto"/>
        </w:rPr>
        <w:t>2.7 BHCA Limitations</w:t>
      </w:r>
      <w:r>
        <w:rPr>
          <w:rFonts w:ascii="Times New Roman" w:cs="Times New Roman" w:eastAsia="Times New Roman" w:hAnsi="Times New Roman"/>
          <w:sz w:val="18"/>
          <w:szCs w:val="18"/>
          <w:color w:val="auto"/>
        </w:rPr>
        <w:t>. Notwithstanding any contrary provision herein, in no event may this Warrant be exercisable, in whole or in part, for or into a number of Shares in excess of the number of Shares that would result in Holder’s ownership of Shares, when combined with any other interest in the Company held by Holder and any FCB Affiliate, equaling:  (1) 33.32% of the Company’s “total equity”, as calculated in accordance with the Bank Holding Company Act of 1956, as amended (the “</w:t>
      </w:r>
      <w:r>
        <w:rPr>
          <w:rFonts w:ascii="Times New Roman" w:cs="Times New Roman" w:eastAsia="Times New Roman" w:hAnsi="Times New Roman"/>
          <w:sz w:val="18"/>
          <w:szCs w:val="18"/>
          <w:b w:val="1"/>
          <w:bCs w:val="1"/>
          <w:color w:val="auto"/>
        </w:rPr>
        <w:t>BHCA</w:t>
      </w:r>
      <w:r>
        <w:rPr>
          <w:rFonts w:ascii="Times New Roman" w:cs="Times New Roman" w:eastAsia="Times New Roman" w:hAnsi="Times New Roman"/>
          <w:sz w:val="18"/>
          <w:szCs w:val="18"/>
          <w:color w:val="auto"/>
        </w:rPr>
        <w:t>”), and any regulations, guidance and interpretations promulgated thereunder, including 12 CFR Part 225; or (2) 4.99% of any class of “voting securities” of the Company, as determined in accordance with the BHCA and any regulations, guidance and interpretations promulgated thereunder, including 12 CFR Part 225 (clauses (1) and (2) together, the “</w:t>
      </w:r>
      <w:r>
        <w:rPr>
          <w:rFonts w:ascii="Times New Roman" w:cs="Times New Roman" w:eastAsia="Times New Roman" w:hAnsi="Times New Roman"/>
          <w:sz w:val="18"/>
          <w:szCs w:val="18"/>
          <w:b w:val="1"/>
          <w:bCs w:val="1"/>
          <w:color w:val="auto"/>
        </w:rPr>
        <w:t>BHCA Limits</w:t>
      </w:r>
      <w:r>
        <w:rPr>
          <w:rFonts w:ascii="Times New Roman" w:cs="Times New Roman" w:eastAsia="Times New Roman" w:hAnsi="Times New Roman"/>
          <w:sz w:val="18"/>
          <w:szCs w:val="18"/>
          <w:color w:val="auto"/>
        </w:rPr>
        <w:t>”).  To the extent the Holder would be, absent this section, entitled to receive Shares under this Warrant in excess of the BHCA Limits, Holder shall receive the right to cash consideration for the excess Shares, calculated in a manner consistent with this Section 2. The BHCA Limits shall apply to any transferee in receipt of this Warrant unless any such transfer to a transferee is made in a manner described under 12 CFR §225.9(a)(3)(ii). As used herein, “</w:t>
      </w:r>
      <w:r>
        <w:rPr>
          <w:rFonts w:ascii="Times New Roman" w:cs="Times New Roman" w:eastAsia="Times New Roman" w:hAnsi="Times New Roman"/>
          <w:sz w:val="18"/>
          <w:szCs w:val="18"/>
          <w:b w:val="1"/>
          <w:bCs w:val="1"/>
          <w:color w:val="auto"/>
        </w:rPr>
        <w:t>FCB Affiliate</w:t>
      </w:r>
      <w:r>
        <w:rPr>
          <w:rFonts w:ascii="Times New Roman" w:cs="Times New Roman" w:eastAsia="Times New Roman" w:hAnsi="Times New Roman"/>
          <w:sz w:val="18"/>
          <w:szCs w:val="18"/>
          <w:color w:val="auto"/>
        </w:rPr>
        <w:t>” means any entity that is controlled by, under the control of, or under common control with the Holder, with the term “control” as defined under the BHCA and regulations, guidance and interpretations promulgated thereunder.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17"/>
          <w:szCs w:val="17"/>
          <w:u w:val="single" w:color="auto"/>
          <w:color w:val="auto"/>
        </w:rPr>
        <w:t>CERTAIN ADJUSTMENTS TO THE SHARES, CLASS AND EXERCISE PRICE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-10795</wp:posOffset>
            </wp:positionV>
            <wp:extent cx="2857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u w:val="single" w:color="auto"/>
          <w:color w:val="auto"/>
        </w:rPr>
        <w:t>3.1 Stock Dividends, Splits, Etc</w:t>
      </w:r>
      <w:r>
        <w:rPr>
          <w:rFonts w:ascii="Times New Roman" w:cs="Times New Roman" w:eastAsia="Times New Roman" w:hAnsi="Times New Roman"/>
          <w:sz w:val="18"/>
          <w:szCs w:val="18"/>
          <w:color w:val="auto"/>
        </w:rPr>
        <w:t>. If the Company declares or pays a dividend or distribution on the outstanding shares of the Class payable in additional shares of the Class (including fractional shares)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even if such number would include fractional shares, and the Exercise Price shall be proportionately decreased. If the outstanding shares of the Class are combined or consolidated, by reclassification or otherwise, into a lesser number of shares, the Exercise Price shall be proportionately increased and the number of Shares shall be proportionately decreased, even if such number would include fractional shares.</w:t>
      </w:r>
    </w:p>
    <w:p>
      <w:pPr>
        <w:spacing w:after="0" w:line="16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u w:val="single" w:color="auto"/>
          <w:color w:val="auto"/>
        </w:rPr>
        <w:t>3.2 Reclassification, Exchange, Combination or Substitution</w:t>
      </w:r>
      <w:r>
        <w:rPr>
          <w:rFonts w:ascii="Times New Roman" w:cs="Times New Roman" w:eastAsia="Times New Roman" w:hAnsi="Times New Roman"/>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“Class”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1611752662.4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8" w:name="page89"/>
    <w:bookmarkEnd w:id="88"/>
    <w:p>
      <w:pPr>
        <w:jc w:val="both"/>
        <w:spacing w:after="0" w:line="261" w:lineRule="auto"/>
        <w:rPr>
          <w:sz w:val="20"/>
          <w:szCs w:val="20"/>
          <w:color w:val="auto"/>
        </w:rPr>
      </w:pPr>
      <w:r>
        <w:rPr>
          <w:rFonts w:ascii="Times New Roman" w:cs="Times New Roman" w:eastAsia="Times New Roman" w:hAnsi="Times New Roman"/>
          <w:sz w:val="18"/>
          <w:szCs w:val="18"/>
          <w:color w:val="auto"/>
        </w:rPr>
        <w:t>shall mean such securities and this Warrant will be exercisable for the number of such securities that Holder would have received had the Shares been outstanding on and as of the consummation of such event, at an aggregate Exercise Price equal to the aggregate Exercise Price in effect as of immediately prior to such event, all subject to further adjustment thereafter from time to time in accordance with the provisions of this Warrant. The provisions of this Section 3.2 shall similarly apply to successive reclassifications, exchanges, combinations, substitutions, replacements or other similar events.</w:t>
      </w:r>
    </w:p>
    <w:p>
      <w:pPr>
        <w:spacing w:after="0" w:line="13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u w:val="single" w:color="auto"/>
          <w:color w:val="auto"/>
        </w:rPr>
        <w:t>3.3 Adjustment to Exercise Price on Cash Dividend</w:t>
      </w:r>
      <w:r>
        <w:rPr>
          <w:rFonts w:ascii="Times New Roman" w:cs="Times New Roman" w:eastAsia="Times New Roman" w:hAnsi="Times New Roman"/>
          <w:sz w:val="18"/>
          <w:szCs w:val="18"/>
          <w:color w:val="auto"/>
        </w:rPr>
        <w:t>. In the event that the Company at any time or from time to time prior to the exercise in full of this Warrant pays any cash dividend on the outstanding shares of the Class or makes any cash distribution on or in respect of all outstanding shares of the Class (other than a distribution of cash proceeds received by the Company in connection with an Acquisition described in Section 2.6(a)(i) above), then on and as of the date of each such dividend payment and/or distribution, the Exercise Price shall be reduced by an amount equal to the amount paid or distributed upon or in respect of each outstanding share of the Class; provided that in no event shall the Exercise Price be reduced below the then-par value, if any, of a share of the Class.</w:t>
      </w:r>
    </w:p>
    <w:p>
      <w:pPr>
        <w:spacing w:after="0" w:line="16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u w:val="single" w:color="auto"/>
          <w:color w:val="auto"/>
        </w:rPr>
        <w:t>3.4 No Fractional Share</w:t>
      </w:r>
      <w:r>
        <w:rPr>
          <w:rFonts w:ascii="Times New Roman" w:cs="Times New Roman" w:eastAsia="Times New Roman" w:hAnsi="Times New Roman"/>
          <w:sz w:val="18"/>
          <w:szCs w:val="18"/>
          <w:color w:val="auto"/>
        </w:rPr>
        <w:t>. No fractional Share shall be issued upon exercise of this Warrant, and the number of Shares to be issued shall be rounded down to the nearest whole Share. If a fractional Share interest arises upon any exercise of this Warrant, the Company shall eliminate such fractional Share interest by paying Holder in cash an amount equal to (a) such fractional interest, multiplied by (b)(i) the fair market value (as determined in accordance with Section 2.3 above) of a full Share, less (ii) the then-effective Exercise Price (the “</w:t>
      </w:r>
      <w:r>
        <w:rPr>
          <w:rFonts w:ascii="Times New Roman" w:cs="Times New Roman" w:eastAsia="Times New Roman" w:hAnsi="Times New Roman"/>
          <w:sz w:val="18"/>
          <w:szCs w:val="18"/>
          <w:b w:val="1"/>
          <w:bCs w:val="1"/>
          <w:color w:val="auto"/>
        </w:rPr>
        <w:t>Fractional Share Value</w:t>
      </w:r>
      <w:r>
        <w:rPr>
          <w:rFonts w:ascii="Times New Roman" w:cs="Times New Roman" w:eastAsia="Times New Roman" w:hAnsi="Times New Roman"/>
          <w:sz w:val="18"/>
          <w:szCs w:val="18"/>
          <w:color w:val="auto"/>
        </w:rPr>
        <w:t>”), unless Holder otherwise elects, in its sole discretion, to waive such payment. Notwithstanding any contrary provision herein, if this Warrant becomes exercisable for a fractional Share interest at any time or from time to time prior to the exercise in full of this Warrant, and the Company eliminates such fractional Share interest prior to any exercise of this Warrant, then the then-effective Exercise Price shall be reduced by an amount equal to the Fractional Share Value, unless Holder otherwise elects, in its sole discretion, to waive such reduction.</w:t>
      </w:r>
    </w:p>
    <w:p>
      <w:pPr>
        <w:spacing w:after="0" w:line="15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u w:val="single" w:color="auto"/>
          <w:color w:val="auto"/>
        </w:rPr>
        <w:t>3.5 Certificate as to Adjustments</w:t>
      </w:r>
      <w:r>
        <w:rPr>
          <w:rFonts w:ascii="Times New Roman" w:cs="Times New Roman" w:eastAsia="Times New Roman" w:hAnsi="Times New Roman"/>
          <w:sz w:val="18"/>
          <w:szCs w:val="18"/>
          <w:color w:val="auto"/>
        </w:rPr>
        <w:t>. Within a reasonable time following each adjustment of the Exercise Price, Class and/or number of Shares pursuant to the terms of this Warrant, the Company, at its expense, shall deliver a certificate of its Chief Financial Officer or other authorized officer to Holder setting forth the adjustments to the Exercise Price, Class and/or number of Shares and the facts upon which such adjustments are based. The Company shall, at any time and from time to time within a reasonable time following Holder’s written request and at the Company’s expense, furnish Holder with a certificate of its Chief Financial Officer or other authorized officer setting forth the then-current Exercise Price, Class and number of Shares and the computations or other determinations thereof.</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17"/>
          <w:szCs w:val="17"/>
          <w:u w:val="single" w:color="auto"/>
          <w:color w:val="auto"/>
        </w:rPr>
        <w:t>REPRESENTATIONS AND COVENANTS OF THE COMPANY</w:t>
      </w:r>
      <w:r>
        <w:rPr>
          <w:rFonts w:ascii="Times New Roman" w:cs="Times New Roman" w:eastAsia="Times New Roman" w:hAnsi="Times New Roman"/>
          <w:sz w:val="17"/>
          <w:szCs w:val="17"/>
          <w:color w:val="auto"/>
        </w:rPr>
        <w:t>.</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4.1 Representations and Warranties</w:t>
      </w:r>
      <w:r>
        <w:rPr>
          <w:rFonts w:ascii="Times New Roman" w:cs="Times New Roman" w:eastAsia="Times New Roman" w:hAnsi="Times New Roman"/>
          <w:sz w:val="18"/>
          <w:szCs w:val="18"/>
          <w:color w:val="auto"/>
        </w:rPr>
        <w:t>. The Company represents and warrants to, and agrees with, Holder as follows:</w:t>
      </w:r>
    </w:p>
    <w:p>
      <w:pPr>
        <w:spacing w:after="0" w:line="185" w:lineRule="exact"/>
        <w:rPr>
          <w:sz w:val="20"/>
          <w:szCs w:val="20"/>
          <w:color w:val="auto"/>
        </w:rPr>
      </w:pPr>
    </w:p>
    <w:p>
      <w:pPr>
        <w:ind w:left="2040" w:hanging="535"/>
        <w:spacing w:after="0"/>
        <w:tabs>
          <w:tab w:leader="none" w:pos="2040" w:val="left"/>
        </w:tabs>
        <w:numPr>
          <w:ilvl w:val="0"/>
          <w:numId w:val="4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[Intentionally Omitted.]</w:t>
      </w:r>
    </w:p>
    <w:p>
      <w:pPr>
        <w:spacing w:after="0" w:line="184" w:lineRule="exact"/>
        <w:rPr>
          <w:rFonts w:ascii="Times New Roman" w:cs="Times New Roman" w:eastAsia="Times New Roman" w:hAnsi="Times New Roman"/>
          <w:sz w:val="18"/>
          <w:szCs w:val="18"/>
          <w:u w:val="single" w:color="auto"/>
          <w:color w:val="auto"/>
        </w:rPr>
      </w:pPr>
    </w:p>
    <w:p>
      <w:pPr>
        <w:jc w:val="both"/>
        <w:ind w:firstLine="1505"/>
        <w:spacing w:after="0" w:line="253" w:lineRule="auto"/>
        <w:tabs>
          <w:tab w:leader="none" w:pos="2036" w:val="left"/>
        </w:tabs>
        <w:numPr>
          <w:ilvl w:val="0"/>
          <w:numId w:val="4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 Initial Shares together with the Tranche A Additional Shares Pool, Tranche B Additional Shares Pool, Tranche C Additional Shares Pool, and Tranche D Additional Shares Pool collectively represent not less than the share percentage set forth on Schedule I hereto (the “</w:t>
      </w:r>
      <w:r>
        <w:rPr>
          <w:rFonts w:ascii="Times New Roman" w:cs="Times New Roman" w:eastAsia="Times New Roman" w:hAnsi="Times New Roman"/>
          <w:sz w:val="18"/>
          <w:szCs w:val="18"/>
          <w:b w:val="1"/>
          <w:bCs w:val="1"/>
          <w:color w:val="auto"/>
        </w:rPr>
        <w:t>Share Percentage</w:t>
      </w:r>
      <w:r>
        <w:rPr>
          <w:rFonts w:ascii="Times New Roman" w:cs="Times New Roman" w:eastAsia="Times New Roman" w:hAnsi="Times New Roman"/>
          <w:sz w:val="18"/>
          <w:szCs w:val="18"/>
          <w:color w:val="auto"/>
        </w:rPr>
        <w:t>”), calculated on and as of the Issue Date hereof on a fully-diluted, common stock-equivalent basis (but without excluding shares of capital stock that are not convertible into shares of common stock) assuming (i) the conversion into common stock of all outstanding securities and instruments (including, without limitation, securities deemed to be outstanding pursuant to clause (ii) of this Section 4.1(b)) convertible by their terms into shares of common stock (regardless of whether such securities or instruments are by their terms now so convertible), (ii) the exercise in full of all outstanding options, warrants (including, without limitation, this Warrant) and other rights to purchase or acquire shares of common stock or securities exercisable for or convertible into shares of common stock (regardless of whether such options, warrants or other rights to purchase or acquire are by their terms now exercisable); and (iii) the inclusion of all shares of common stock currently reserved for issuance under all of the Company’s incentive stock and stock option plans as of the Issue Date and not currently subject to outstanding grants or options.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1611752662.4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9" w:name="page90"/>
    <w:bookmarkEnd w:id="89"/>
    <w:p>
      <w:pPr>
        <w:jc w:val="both"/>
        <w:ind w:firstLine="1505"/>
        <w:spacing w:after="0" w:line="256" w:lineRule="auto"/>
        <w:tabs>
          <w:tab w:leader="none" w:pos="2036" w:val="left"/>
        </w:tabs>
        <w:numPr>
          <w:ilvl w:val="0"/>
          <w:numId w:val="4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All Shares which may be issued upon the exercise of this Warrant, shall, upon issuance, be duly authorized, validly issued, fully paid and non-assessable, and free of any liens and encumbrances except for restrictions on transfer provided for herein or under the Company’s Certificate of Incorporation or Bylaws, each as amended and in effect from time to time (the “</w:t>
      </w:r>
      <w:r>
        <w:rPr>
          <w:rFonts w:ascii="Times New Roman" w:cs="Times New Roman" w:eastAsia="Times New Roman" w:hAnsi="Times New Roman"/>
          <w:sz w:val="18"/>
          <w:szCs w:val="18"/>
          <w:b w:val="1"/>
          <w:bCs w:val="1"/>
          <w:color w:val="auto"/>
        </w:rPr>
        <w:t>Charter Documents</w:t>
      </w:r>
      <w:r>
        <w:rPr>
          <w:rFonts w:ascii="Times New Roman" w:cs="Times New Roman" w:eastAsia="Times New Roman" w:hAnsi="Times New Roman"/>
          <w:sz w:val="18"/>
          <w:szCs w:val="18"/>
          <w:color w:val="auto"/>
        </w:rPr>
        <w:t>”), any stockholder agreement (to the extent Holder is then a party thereto or otherwise subject thereto in accordance with the provisions of Section 5.4 below) or applicable federal and state securities laws. The Company covenants that it shall at all times cause to be reserved and kept available out of its authorized and unissued capital stock such number of shares of the Class and other securities as will be sufficient to permit the exercise in full of this Warrant.</w:t>
      </w:r>
    </w:p>
    <w:p>
      <w:pPr>
        <w:spacing w:after="0" w:line="146" w:lineRule="exact"/>
        <w:rPr>
          <w:rFonts w:ascii="Times New Roman" w:cs="Times New Roman" w:eastAsia="Times New Roman" w:hAnsi="Times New Roman"/>
          <w:sz w:val="18"/>
          <w:szCs w:val="18"/>
          <w:u w:val="single" w:color="auto"/>
          <w:color w:val="auto"/>
        </w:rPr>
      </w:pPr>
    </w:p>
    <w:p>
      <w:pPr>
        <w:ind w:left="2040" w:hanging="535"/>
        <w:spacing w:after="0"/>
        <w:tabs>
          <w:tab w:leader="none" w:pos="2040" w:val="left"/>
        </w:tabs>
        <w:numPr>
          <w:ilvl w:val="0"/>
          <w:numId w:val="4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[Intentionally Omitted.]</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4.2 Notice of Certain Events</w:t>
      </w:r>
      <w:r>
        <w:rPr>
          <w:rFonts w:ascii="Times New Roman" w:cs="Times New Roman" w:eastAsia="Times New Roman" w:hAnsi="Times New Roman"/>
          <w:sz w:val="18"/>
          <w:szCs w:val="18"/>
          <w:color w:val="auto"/>
        </w:rPr>
        <w:t>. If the Company proposes at any time to:</w:t>
      </w:r>
    </w:p>
    <w:p>
      <w:pPr>
        <w:spacing w:after="0" w:line="185" w:lineRule="exact"/>
        <w:rPr>
          <w:sz w:val="20"/>
          <w:szCs w:val="20"/>
          <w:color w:val="auto"/>
        </w:rPr>
      </w:pPr>
    </w:p>
    <w:p>
      <w:pPr>
        <w:ind w:firstLine="1505"/>
        <w:spacing w:after="0" w:line="282" w:lineRule="auto"/>
        <w:tabs>
          <w:tab w:leader="none" w:pos="2036" w:val="left"/>
        </w:tabs>
        <w:numPr>
          <w:ilvl w:val="0"/>
          <w:numId w:val="5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declare any dividend or distribution upon the outstanding shares of the Class, whether in cash, stock or other securities or property and whether or not a regular cash dividend;</w:t>
      </w:r>
    </w:p>
    <w:p>
      <w:pPr>
        <w:spacing w:after="0" w:line="121" w:lineRule="exact"/>
        <w:rPr>
          <w:rFonts w:ascii="Times New Roman" w:cs="Times New Roman" w:eastAsia="Times New Roman" w:hAnsi="Times New Roman"/>
          <w:sz w:val="18"/>
          <w:szCs w:val="18"/>
          <w:u w:val="single" w:color="auto"/>
          <w:color w:val="auto"/>
        </w:rPr>
      </w:pPr>
    </w:p>
    <w:p>
      <w:pPr>
        <w:ind w:right="20" w:firstLine="1505"/>
        <w:spacing w:after="0" w:line="282" w:lineRule="auto"/>
        <w:tabs>
          <w:tab w:leader="none" w:pos="2036" w:val="left"/>
        </w:tabs>
        <w:numPr>
          <w:ilvl w:val="0"/>
          <w:numId w:val="5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offer for subscription or sale pro rata to all holders of the outstanding shares of the Class any additional securities of the Company (other than pursuant to contractual pre-emptive or first refusal rights);</w:t>
      </w:r>
    </w:p>
    <w:p>
      <w:pPr>
        <w:spacing w:after="0" w:line="134" w:lineRule="exact"/>
        <w:rPr>
          <w:rFonts w:ascii="Times New Roman" w:cs="Times New Roman" w:eastAsia="Times New Roman" w:hAnsi="Times New Roman"/>
          <w:sz w:val="18"/>
          <w:szCs w:val="18"/>
          <w:u w:val="single" w:color="auto"/>
          <w:color w:val="auto"/>
        </w:rPr>
      </w:pPr>
    </w:p>
    <w:p>
      <w:pPr>
        <w:ind w:firstLine="1505"/>
        <w:spacing w:after="0" w:line="282" w:lineRule="auto"/>
        <w:tabs>
          <w:tab w:leader="none" w:pos="2036" w:val="left"/>
        </w:tabs>
        <w:numPr>
          <w:ilvl w:val="0"/>
          <w:numId w:val="5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effect any redemption, reclassification, exchange, combination, substitution, reorganization or recapitalization of the outstanding shares of the Class;</w:t>
      </w:r>
    </w:p>
    <w:p>
      <w:pPr>
        <w:spacing w:after="0" w:line="121" w:lineRule="exact"/>
        <w:rPr>
          <w:rFonts w:ascii="Times New Roman" w:cs="Times New Roman" w:eastAsia="Times New Roman" w:hAnsi="Times New Roman"/>
          <w:sz w:val="18"/>
          <w:szCs w:val="18"/>
          <w:u w:val="single" w:color="auto"/>
          <w:color w:val="auto"/>
        </w:rPr>
      </w:pPr>
    </w:p>
    <w:p>
      <w:pPr>
        <w:ind w:left="2040" w:hanging="535"/>
        <w:spacing w:after="0"/>
        <w:tabs>
          <w:tab w:leader="none" w:pos="2040" w:val="left"/>
        </w:tabs>
        <w:numPr>
          <w:ilvl w:val="0"/>
          <w:numId w:val="5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effect an Acquisition, or to liquidate, dissolve or wind up the Company; or</w:t>
      </w:r>
    </w:p>
    <w:p>
      <w:pPr>
        <w:spacing w:after="0" w:line="184" w:lineRule="exact"/>
        <w:rPr>
          <w:rFonts w:ascii="Times New Roman" w:cs="Times New Roman" w:eastAsia="Times New Roman" w:hAnsi="Times New Roman"/>
          <w:sz w:val="18"/>
          <w:szCs w:val="18"/>
          <w:u w:val="single" w:color="auto"/>
          <w:color w:val="auto"/>
        </w:rPr>
      </w:pPr>
    </w:p>
    <w:p>
      <w:pPr>
        <w:ind w:left="2040" w:hanging="535"/>
        <w:spacing w:after="0"/>
        <w:tabs>
          <w:tab w:leader="none" w:pos="2040" w:val="left"/>
        </w:tabs>
        <w:numPr>
          <w:ilvl w:val="0"/>
          <w:numId w:val="5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[Intentionally Omitted];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in connection with each such event, the Company shall give Holder (pursuant to Section 6.5 below):</w:t>
      </w:r>
    </w:p>
    <w:p>
      <w:pPr>
        <w:spacing w:after="0" w:line="185" w:lineRule="exact"/>
        <w:rPr>
          <w:sz w:val="20"/>
          <w:szCs w:val="20"/>
          <w:color w:val="auto"/>
        </w:rPr>
      </w:pPr>
    </w:p>
    <w:p>
      <w:pPr>
        <w:jc w:val="both"/>
        <w:ind w:left="2260" w:hanging="755"/>
        <w:spacing w:after="0" w:line="261" w:lineRule="auto"/>
        <w:tabs>
          <w:tab w:leader="none" w:pos="2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Class will be entitled thereto) or for determining rights to vote, if any;</w:t>
      </w:r>
    </w:p>
    <w:p>
      <w:pPr>
        <w:spacing w:after="0" w:line="139" w:lineRule="exact"/>
        <w:rPr>
          <w:rFonts w:ascii="Times New Roman" w:cs="Times New Roman" w:eastAsia="Times New Roman" w:hAnsi="Times New Roman"/>
          <w:sz w:val="18"/>
          <w:szCs w:val="18"/>
          <w:color w:val="auto"/>
        </w:rPr>
      </w:pPr>
    </w:p>
    <w:p>
      <w:pPr>
        <w:jc w:val="both"/>
        <w:ind w:left="2260" w:hanging="755"/>
        <w:spacing w:after="0" w:line="258" w:lineRule="auto"/>
        <w:tabs>
          <w:tab w:leader="none" w:pos="2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 and</w:t>
      </w:r>
    </w:p>
    <w:p>
      <w:pPr>
        <w:spacing w:after="0" w:line="156"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8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u w:val="single" w:color="auto"/>
          <w:color w:val="auto"/>
        </w:rPr>
        <w:t>4.3 Certain Company Information</w:t>
      </w:r>
      <w:r>
        <w:rPr>
          <w:rFonts w:ascii="Times New Roman" w:cs="Times New Roman" w:eastAsia="Times New Roman" w:hAnsi="Times New Roman"/>
          <w:sz w:val="18"/>
          <w:szCs w:val="18"/>
          <w:color w:val="auto"/>
        </w:rPr>
        <w:t>. The Company will provide such information requested by Holder from time to time, within a reasonable time following each such request, that is reasonably necessary to enable Holder to comply with Holder’s accounting or reporting requirements.</w:t>
      </w:r>
    </w:p>
    <w:p>
      <w:pPr>
        <w:spacing w:after="0" w:line="11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17"/>
          <w:szCs w:val="17"/>
          <w:u w:val="single" w:color="auto"/>
          <w:color w:val="auto"/>
        </w:rPr>
        <w:t>REPRESENTATIONS AND COVENANTS OF HOLDER.</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Holder represents and warrants to, and agrees with, the Company as follows: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5.1 Investment Representations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2040" w:hanging="535"/>
        <w:spacing w:after="0"/>
        <w:tabs>
          <w:tab w:leader="none" w:pos="2040" w:val="left"/>
        </w:tabs>
        <w:numPr>
          <w:ilvl w:val="1"/>
          <w:numId w:val="5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Purchase for Own Account</w:t>
      </w:r>
      <w:r>
        <w:rPr>
          <w:rFonts w:ascii="Times New Roman" w:cs="Times New Roman" w:eastAsia="Times New Roman" w:hAnsi="Times New Roman"/>
          <w:sz w:val="18"/>
          <w:szCs w:val="18"/>
          <w:color w:val="auto"/>
        </w:rPr>
        <w:t>. Except for the transfer of this Warrant from Silicon Valley Bank, a division of First-Citizens Bank</w:t>
      </w:r>
    </w:p>
    <w:p>
      <w:pPr>
        <w:spacing w:after="0" w:line="27" w:lineRule="exact"/>
        <w:rPr>
          <w:rFonts w:ascii="Times New Roman" w:cs="Times New Roman" w:eastAsia="Times New Roman" w:hAnsi="Times New Roman"/>
          <w:sz w:val="18"/>
          <w:szCs w:val="18"/>
          <w:u w:val="single" w:color="auto"/>
          <w:color w:val="auto"/>
        </w:rPr>
      </w:pPr>
    </w:p>
    <w:p>
      <w:pPr>
        <w:jc w:val="both"/>
        <w:ind w:firstLine="8"/>
        <w:spacing w:after="0" w:line="255" w:lineRule="auto"/>
        <w:tabs>
          <w:tab w:leader="none" w:pos="20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Company, to an FCB Affiliate as described in Section 6.4(b) below, this Warrant and the Shares to be acquired upon exercise hereof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1611752662.4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0" w:name="page91"/>
    <w:bookmarkEnd w:id="90"/>
    <w:p>
      <w:pPr>
        <w:jc w:val="both"/>
        <w:ind w:firstLine="1505"/>
        <w:spacing w:after="0" w:line="256" w:lineRule="auto"/>
        <w:tabs>
          <w:tab w:leader="none" w:pos="2036" w:val="left"/>
        </w:tabs>
        <w:numPr>
          <w:ilvl w:val="0"/>
          <w:numId w:val="5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of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46" w:lineRule="exact"/>
        <w:rPr>
          <w:rFonts w:ascii="Times New Roman" w:cs="Times New Roman" w:eastAsia="Times New Roman" w:hAnsi="Times New Roman"/>
          <w:sz w:val="18"/>
          <w:szCs w:val="18"/>
          <w:u w:val="single" w:color="auto"/>
          <w:color w:val="auto"/>
        </w:rPr>
      </w:pPr>
    </w:p>
    <w:p>
      <w:pPr>
        <w:jc w:val="both"/>
        <w:ind w:firstLine="1505"/>
        <w:spacing w:after="0" w:line="256" w:lineRule="auto"/>
        <w:tabs>
          <w:tab w:leader="none" w:pos="2036" w:val="left"/>
        </w:tabs>
        <w:numPr>
          <w:ilvl w:val="0"/>
          <w:numId w:val="5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Investment Experience</w:t>
      </w:r>
      <w:r>
        <w:rPr>
          <w:rFonts w:ascii="Times New Roman" w:cs="Times New Roman" w:eastAsia="Times New Roman" w:hAnsi="Times New Roman"/>
          <w:sz w:val="18"/>
          <w:szCs w:val="18"/>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for an indefinite period of time,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60" w:lineRule="exact"/>
        <w:rPr>
          <w:rFonts w:ascii="Times New Roman" w:cs="Times New Roman" w:eastAsia="Times New Roman" w:hAnsi="Times New Roman"/>
          <w:sz w:val="18"/>
          <w:szCs w:val="18"/>
          <w:u w:val="single" w:color="auto"/>
          <w:color w:val="auto"/>
        </w:rPr>
      </w:pPr>
    </w:p>
    <w:p>
      <w:pPr>
        <w:ind w:left="2040" w:hanging="535"/>
        <w:spacing w:after="0"/>
        <w:tabs>
          <w:tab w:leader="none" w:pos="2040" w:val="left"/>
        </w:tabs>
        <w:numPr>
          <w:ilvl w:val="0"/>
          <w:numId w:val="5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Accredited Investor Status</w:t>
      </w:r>
      <w:r>
        <w:rPr>
          <w:rFonts w:ascii="Times New Roman" w:cs="Times New Roman" w:eastAsia="Times New Roman" w:hAnsi="Times New Roman"/>
          <w:sz w:val="18"/>
          <w:szCs w:val="18"/>
          <w:color w:val="auto"/>
        </w:rPr>
        <w:t>. Holder is an “accredited investor” within the meaning of Regulation D promulgated under the Act.</w:t>
      </w:r>
    </w:p>
    <w:p>
      <w:pPr>
        <w:spacing w:after="0" w:line="184" w:lineRule="exact"/>
        <w:rPr>
          <w:rFonts w:ascii="Times New Roman" w:cs="Times New Roman" w:eastAsia="Times New Roman" w:hAnsi="Times New Roman"/>
          <w:sz w:val="18"/>
          <w:szCs w:val="18"/>
          <w:u w:val="single" w:color="auto"/>
          <w:color w:val="auto"/>
        </w:rPr>
      </w:pPr>
    </w:p>
    <w:p>
      <w:pPr>
        <w:jc w:val="both"/>
        <w:ind w:firstLine="1505"/>
        <w:spacing w:after="0" w:line="255" w:lineRule="auto"/>
        <w:tabs>
          <w:tab w:leader="none" w:pos="2036" w:val="left"/>
        </w:tabs>
        <w:numPr>
          <w:ilvl w:val="0"/>
          <w:numId w:val="5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The Act</w:t>
      </w:r>
      <w:r>
        <w:rPr>
          <w:rFonts w:ascii="Times New Roman" w:cs="Times New Roman" w:eastAsia="Times New Roman" w:hAnsi="Times New Roman"/>
          <w:sz w:val="18"/>
          <w:szCs w:val="18"/>
          <w:color w:val="auto"/>
        </w:rPr>
        <w:t>. Holder understands that this Warrant and the Shares issuable upon exercise hereof have not been registered under the Act or registered or qualified under the securities laws of any state, and are issued in reliance upon specific exemptions therefrom, which exemptions depend upon, among other things, the bona fide nature of the Holder’s investment intent as expressed herein. Holder understands that the Company is under no obligation to so register or qualify this Warrant, the Shares or such other securities. Holder understands that this Warrant and the Shares issued upon any exercise hereof are “restricted securities” under applicable federal and state securities laws and must be held indefinitely unless subsequently registered under the Act and registered or qualified under applicable state securities laws, or unless exemptions from such registration and qualification are otherwise available. Holder is aware of the provisions of Rule 144 promulgated under the Act.</w:t>
      </w:r>
    </w:p>
    <w:p>
      <w:pPr>
        <w:spacing w:after="0" w:line="14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u w:val="single" w:color="auto"/>
          <w:color w:val="auto"/>
        </w:rPr>
        <w:t>5.2 No Stockholder Rights</w:t>
      </w:r>
      <w:r>
        <w:rPr>
          <w:rFonts w:ascii="Times New Roman" w:cs="Times New Roman" w:eastAsia="Times New Roman" w:hAnsi="Times New Roman"/>
          <w:sz w:val="18"/>
          <w:szCs w:val="18"/>
          <w:color w:val="auto"/>
        </w:rPr>
        <w:t>. Without limiting any provision of this Warrant, Holder agrees that as a Holder of this Warrant it will not have any rights (including, but not limited to, voting rights) as a stockholder of the Company with respect to the Shares issuable hereunder unless and until the exercise of this Warrant and then only with respect to the Shares issued on such exercise.</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5.3</w:t>
      </w:r>
      <w:r>
        <w:rPr>
          <w:rFonts w:ascii="Times New Roman" w:cs="Times New Roman" w:eastAsia="Times New Roman" w:hAnsi="Times New Roman"/>
          <w:sz w:val="18"/>
          <w:szCs w:val="18"/>
          <w:color w:val="auto"/>
        </w:rPr>
        <w:t xml:space="preserve"> [Intentionally Omitted.]</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5.4</w:t>
      </w:r>
      <w:r>
        <w:rPr>
          <w:rFonts w:ascii="Times New Roman" w:cs="Times New Roman" w:eastAsia="Times New Roman" w:hAnsi="Times New Roman"/>
          <w:sz w:val="18"/>
          <w:szCs w:val="18"/>
          <w:color w:val="auto"/>
        </w:rPr>
        <w:t xml:space="preserve"> [Intentionally Omitted.]</w:t>
      </w:r>
    </w:p>
    <w:p>
      <w:pPr>
        <w:spacing w:after="0" w:line="18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u w:val="single" w:color="auto"/>
          <w:color w:val="auto"/>
        </w:rPr>
        <w:t>5.5 Confidential Information</w:t>
      </w:r>
      <w:r>
        <w:rPr>
          <w:rFonts w:ascii="Times New Roman" w:cs="Times New Roman" w:eastAsia="Times New Roman" w:hAnsi="Times New Roman"/>
          <w:sz w:val="18"/>
          <w:szCs w:val="18"/>
          <w:color w:val="auto"/>
        </w:rPr>
        <w:t>. Holder agrees to treat and hold all information provided by the Company pursuant to this Warrant in confidence in accordance with the provisions of Section 11.8 of the Loan Agreement (regardless of whether the Loan Agreement shall then be in effect).</w:t>
      </w:r>
    </w:p>
    <w:p>
      <w:pPr>
        <w:spacing w:after="0" w:line="13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6.1 Term; Automatic Cashless Exercise Upon Expiration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505"/>
        <w:spacing w:after="0" w:line="258" w:lineRule="auto"/>
        <w:tabs>
          <w:tab w:leader="none" w:pos="2036" w:val="left"/>
        </w:tabs>
        <w:numPr>
          <w:ilvl w:val="0"/>
          <w:numId w:val="5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Subject to the provisions of Section 2.6 above, this Warrant is exercisable in whole or in part at any time and from time to time on or before 6:00 PM, Pacific time, on the expiration date set forth on Schedule I hereto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and shall be void thereafter; provided that if the Company does not deliver to Holder written confirmation of the fair market value of a Share pursuant to Section 6.1(b) below, then the Expiration Date shall automatically be extended until the earlier to occur of (i) such date as the Company delivers such written confirmation and (ii) one (1) year after the Expiration Date.</w:t>
      </w:r>
    </w:p>
    <w:p>
      <w:pPr>
        <w:spacing w:after="0" w:line="156" w:lineRule="exact"/>
        <w:rPr>
          <w:rFonts w:ascii="Times New Roman" w:cs="Times New Roman" w:eastAsia="Times New Roman" w:hAnsi="Times New Roman"/>
          <w:sz w:val="18"/>
          <w:szCs w:val="18"/>
          <w:u w:val="single" w:color="auto"/>
          <w:color w:val="auto"/>
        </w:rPr>
      </w:pPr>
    </w:p>
    <w:p>
      <w:pPr>
        <w:jc w:val="both"/>
        <w:ind w:firstLine="1505"/>
        <w:spacing w:after="0" w:line="266" w:lineRule="auto"/>
        <w:tabs>
          <w:tab w:leader="none" w:pos="2036" w:val="left"/>
        </w:tabs>
        <w:numPr>
          <w:ilvl w:val="0"/>
          <w:numId w:val="5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Automatic Cashless Exercise upon Expiration</w:t>
      </w:r>
      <w:r>
        <w:rPr>
          <w:rFonts w:ascii="Times New Roman" w:cs="Times New Roman" w:eastAsia="Times New Roman" w:hAnsi="Times New Roman"/>
          <w:sz w:val="18"/>
          <w:szCs w:val="18"/>
          <w:color w:val="auto"/>
        </w:rPr>
        <w:t>. In the event that, upon the Expiration Date, the fair market value of one Share as determined in accordance with Section 2.3 above is greater than the Exercise Price in effect on such date, then this Warrant shall automatically be deemed on and as of such date to be exercised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1611752662.4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1" w:name="page92"/>
    <w:bookmarkEnd w:id="91"/>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Section 2.2 above as to all Shares for which it shall not previously have been exercised, and the Company shall, within a reasonable time following Holder’s written request, deliver a certificate (or, in the case of uncertificated securities, provide notice of book entry) representing the Shares issued to Holder upon such exercise. If shares of the Company’s common stock are not then traded in a Trading Market, the Company shall deliver to Holder, prior to the Expiration Date, written confirmation of the fair market value of a Share (as determined pursuant to Section 2.3 above) to be used in determining whether this Warrant shall automatically exercise on the Expiration Date pursuant to this Section 6.1(b).</w:t>
      </w:r>
    </w:p>
    <w:p>
      <w:pPr>
        <w:spacing w:after="0" w:line="14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u w:val="single" w:color="auto"/>
          <w:color w:val="auto"/>
        </w:rPr>
        <w:t>6.2 Legends</w:t>
      </w:r>
      <w:r>
        <w:rPr>
          <w:rFonts w:ascii="Times New Roman" w:cs="Times New Roman" w:eastAsia="Times New Roman" w:hAnsi="Times New Roman"/>
          <w:sz w:val="18"/>
          <w:szCs w:val="18"/>
          <w:color w:val="auto"/>
        </w:rPr>
        <w:t>. Each certificate or notice of book entry evidencing Shares shall be imprinted with a legend in substantially the following form (together with such additional legends as may be required by the Charter Documents or under any stockholder agreement (to the extent Holder is then a party thereto or otherwise subject thereto in accordance with the provisions of Section 5.4 above)):</w:t>
      </w:r>
    </w:p>
    <w:p>
      <w:pPr>
        <w:spacing w:after="0" w:line="149" w:lineRule="exact"/>
        <w:rPr>
          <w:sz w:val="20"/>
          <w:szCs w:val="20"/>
          <w:color w:val="auto"/>
        </w:rPr>
      </w:pPr>
    </w:p>
    <w:p>
      <w:pPr>
        <w:jc w:val="both"/>
        <w:ind w:left="1500" w:right="740"/>
        <w:spacing w:after="0" w:line="255" w:lineRule="auto"/>
        <w:rPr>
          <w:sz w:val="20"/>
          <w:szCs w:val="20"/>
          <w:color w:val="auto"/>
        </w:rPr>
      </w:pPr>
      <w:r>
        <w:rPr>
          <w:rFonts w:ascii="Times New Roman" w:cs="Times New Roman" w:eastAsia="Times New Roman" w:hAnsi="Times New Roman"/>
          <w:sz w:val="18"/>
          <w:szCs w:val="18"/>
          <w:color w:val="auto"/>
        </w:rPr>
        <w:t>THE SHARES EVIDENCED BY THIS CERTIFICATE HAVE NOT BEEN REGISTERED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OR THE SECURITIES LAWS OF ANY STATE AND, EXCEPT AS SET FORTH IN THAT CERTAIN WARRANT TO PURCHASE STOCK ISSUED BY THE ISSUER TO SILICON VALLEY BANK, A DIVISION OF FIRST-CITIZENS BANK &amp; TRUST COMPANY,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then applicable, a legend in substantially the following form:</w:t>
      </w:r>
    </w:p>
    <w:p>
      <w:pPr>
        <w:spacing w:after="0" w:line="185" w:lineRule="exact"/>
        <w:rPr>
          <w:sz w:val="20"/>
          <w:szCs w:val="20"/>
          <w:color w:val="auto"/>
        </w:rPr>
      </w:pPr>
    </w:p>
    <w:p>
      <w:pPr>
        <w:jc w:val="both"/>
        <w:ind w:left="1500" w:right="760"/>
        <w:spacing w:after="0" w:line="258" w:lineRule="auto"/>
        <w:rPr>
          <w:sz w:val="20"/>
          <w:szCs w:val="20"/>
          <w:color w:val="auto"/>
        </w:rPr>
      </w:pPr>
      <w:r>
        <w:rPr>
          <w:rFonts w:ascii="Times New Roman" w:cs="Times New Roman" w:eastAsia="Times New Roman" w:hAnsi="Times New Roman"/>
          <w:sz w:val="18"/>
          <w:szCs w:val="18"/>
          <w:color w:val="auto"/>
        </w:rPr>
        <w:t>THE SECURITIES EVIDENCED BY THIS CERTIFICATE ARE SUBJECT TO CERTAIN RESTRICTIONS ON TRANSFERABILITY AND RESALE AS SET FORTH IN THAT CERTAIN WARRANT TO PURCHASE STOCK ISSUED BY THE ISSUER TO SILICON VALLEY BANK, A DIVISION OF FIRST-CITIZENS BANK &amp; TRUST COMPANY, A COPY OF WHICH MAY BE OBTAINED AT THE ISSUER’S PRINCIPAL OFFICE. SUCH RESTRICTIONS ARE BINDING ON TRANSFEREES OF THESE SECURITIES.</w:t>
      </w:r>
    </w:p>
    <w:p>
      <w:pPr>
        <w:spacing w:after="0" w:line="15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u w:val="single" w:color="auto"/>
          <w:color w:val="auto"/>
        </w:rPr>
        <w:t>6.3 Compliance with Securities Laws on Transfer</w:t>
      </w:r>
      <w:r>
        <w:rPr>
          <w:rFonts w:ascii="Times New Roman" w:cs="Times New Roman" w:eastAsia="Times New Roman" w:hAnsi="Times New Roman"/>
          <w:sz w:val="18"/>
          <w:szCs w:val="18"/>
          <w:color w:val="auto"/>
        </w:rPr>
        <w:t>. This Warrant and the Shares issued upon exercise hereof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 FCB Affiliate or any other affiliate of Holder; provided that any such transferee is an “accredited investor” as defined in Regulation D promulgated under the Act.</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6.4 Transfer Procedure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505"/>
        <w:spacing w:after="0" w:line="254" w:lineRule="auto"/>
        <w:tabs>
          <w:tab w:leader="none" w:pos="2036" w:val="left"/>
        </w:tabs>
        <w:numPr>
          <w:ilvl w:val="0"/>
          <w:numId w:val="5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Subject to the provisions of Section 6.3 and upon providing the Company with written notice, Holder (including any subsequent Holder) may transfer all or part of this Warrant or the Shares issued upon exercise of this Warrant to any transferee; provided that in connection with any such transfer: (i) Holder will give the Company notice of the portion of the Warrant and/or Shares being transferred with the name, address and taxpayer identification number of the transferee; (ii) Holder will surrender this Warrant, or the certificates or other evidence of such Shares or other securities, to the Company for reissuance to the transferee(s) (and to Holder if applicable); and (iii) any subsequent transferee shall make substantially the representations set forth in Section 5.1 above and shall agree in writing with the Company to be bound by all of the terms and conditions of this Warrant; and provided further, that the transfer of any Shares issued on exercise hereof shall be subject to the provisions of the Charter Documents and of the stockholder agreements to the extent Holder is then a party thereto or otherwise subject thereto in accordance with the provisions of Section 5.4 above.</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1611752662.4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2" w:name="page93"/>
    <w:bookmarkEnd w:id="92"/>
    <w:p>
      <w:pPr>
        <w:jc w:val="both"/>
        <w:ind w:firstLine="1505"/>
        <w:spacing w:after="0" w:line="254" w:lineRule="auto"/>
        <w:tabs>
          <w:tab w:leader="none" w:pos="2036" w:val="left"/>
        </w:tabs>
        <w:numPr>
          <w:ilvl w:val="0"/>
          <w:numId w:val="5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In the event of any transfer to an FCB Affiliate, the transfer requirements set forth in Section 6.4(a) above shall be satisfied by Holder delivering to the Company a Notice of Transfer in substantially the form attached hereto as </w:t>
      </w:r>
      <w:r>
        <w:rPr>
          <w:rFonts w:ascii="Times New Roman" w:cs="Times New Roman" w:eastAsia="Times New Roman" w:hAnsi="Times New Roman"/>
          <w:sz w:val="18"/>
          <w:szCs w:val="18"/>
          <w:u w:val="single" w:color="auto"/>
          <w:color w:val="auto"/>
        </w:rPr>
        <w:t>Appendix 2</w:t>
      </w:r>
      <w:r>
        <w:rPr>
          <w:rFonts w:ascii="Times New Roman" w:cs="Times New Roman" w:eastAsia="Times New Roman" w:hAnsi="Times New Roman"/>
          <w:sz w:val="18"/>
          <w:szCs w:val="18"/>
          <w:color w:val="auto"/>
        </w:rPr>
        <w:t>; provided that: (i) Holder will not be required to surrender this Warrant pursuant to Section 6.4(a)(ii); (ii) the Company will note such FCB Affiliate as the Holder in the Company’s records and, as applicable, with any transfer agent; and (iii) such FCB Affiliate will otherwise be deemed to be the “Holder” of this Warrant with respect to the transferred portion thereof. Such Notice of Transfer shall be deemed delivered and effective in accordance with Section 6.5 below, notwithstanding any request to confirm receipt or acknowledgment contained therein. By its acceptance of such transfer, such FCB Affiliate, on and as of the date of such transfer, hereby makes to the Company each of the representations and warranties set forth in Section 5.1 above and agrees to be bound by all of the terms and conditions of this Warrant as if it were the original Holder hereof.</w:t>
      </w:r>
    </w:p>
    <w:p>
      <w:pPr>
        <w:spacing w:after="0" w:line="151" w:lineRule="exact"/>
        <w:rPr>
          <w:rFonts w:ascii="Times New Roman" w:cs="Times New Roman" w:eastAsia="Times New Roman" w:hAnsi="Times New Roman"/>
          <w:sz w:val="18"/>
          <w:szCs w:val="18"/>
          <w:u w:val="single" w:color="auto"/>
          <w:color w:val="auto"/>
        </w:rPr>
      </w:pPr>
    </w:p>
    <w:p>
      <w:pPr>
        <w:ind w:left="2040" w:hanging="535"/>
        <w:spacing w:after="0"/>
        <w:tabs>
          <w:tab w:leader="none" w:pos="2040" w:val="left"/>
        </w:tabs>
        <w:numPr>
          <w:ilvl w:val="0"/>
          <w:numId w:val="5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[Intentionally Omitted].</w:t>
      </w:r>
    </w:p>
    <w:p>
      <w:pPr>
        <w:spacing w:after="0" w:line="19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u w:val="single" w:color="auto"/>
          <w:color w:val="auto"/>
        </w:rPr>
        <w:t>6.5 Notices</w:t>
      </w:r>
      <w:r>
        <w:rPr>
          <w:rFonts w:ascii="Times New Roman" w:cs="Times New Roman" w:eastAsia="Times New Roman" w:hAnsi="Times New Roman"/>
          <w:sz w:val="18"/>
          <w:szCs w:val="18"/>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transmission if given by electronic mail, provided that if such notice or other communication is not sent during the normal business hours of the recipient, it shall be deemed to have been sent at the opening of business on the next Business Day of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6.5. All notices to Holder shall be addressed as set forth on Schedule I hereto (the “</w:t>
      </w:r>
      <w:r>
        <w:rPr>
          <w:rFonts w:ascii="Times New Roman" w:cs="Times New Roman" w:eastAsia="Times New Roman" w:hAnsi="Times New Roman"/>
          <w:sz w:val="18"/>
          <w:szCs w:val="18"/>
          <w:b w:val="1"/>
          <w:bCs w:val="1"/>
          <w:color w:val="auto"/>
        </w:rPr>
        <w:t>Holder Notice Address</w:t>
      </w:r>
      <w:r>
        <w:rPr>
          <w:rFonts w:ascii="Times New Roman" w:cs="Times New Roman" w:eastAsia="Times New Roman" w:hAnsi="Times New Roman"/>
          <w:sz w:val="18"/>
          <w:szCs w:val="18"/>
          <w:color w:val="auto"/>
        </w:rPr>
        <w:t>”) until the Company receives notice of a change of address in connection with a transfer or otherwise. All notices to the Company shall be addressed as set forth on Schedule I hereto (the “</w:t>
      </w:r>
      <w:r>
        <w:rPr>
          <w:rFonts w:ascii="Times New Roman" w:cs="Times New Roman" w:eastAsia="Times New Roman" w:hAnsi="Times New Roman"/>
          <w:sz w:val="18"/>
          <w:szCs w:val="18"/>
          <w:b w:val="1"/>
          <w:bCs w:val="1"/>
          <w:color w:val="auto"/>
        </w:rPr>
        <w:t>Company Notice Address</w:t>
      </w:r>
      <w:r>
        <w:rPr>
          <w:rFonts w:ascii="Times New Roman" w:cs="Times New Roman" w:eastAsia="Times New Roman" w:hAnsi="Times New Roman"/>
          <w:sz w:val="18"/>
          <w:szCs w:val="18"/>
          <w:color w:val="auto"/>
        </w:rPr>
        <w:t>”) until Holder receives notice of a change in address.</w:t>
      </w:r>
    </w:p>
    <w:p>
      <w:pPr>
        <w:spacing w:after="0" w:line="14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u w:val="single" w:color="auto"/>
          <w:color w:val="auto"/>
        </w:rPr>
        <w:t>6.6 Amendment and Waiver</w:t>
      </w:r>
      <w:r>
        <w:rPr>
          <w:rFonts w:ascii="Times New Roman" w:cs="Times New Roman" w:eastAsia="Times New Roman" w:hAnsi="Times New Roman"/>
          <w:sz w:val="18"/>
          <w:szCs w:val="18"/>
          <w:color w:val="auto"/>
        </w:rPr>
        <w:t>. Notwithstanding any contrary provision herein or in the Loan Agreement, this Warrant may be amended and any provision hereof waived (either generally or in a particular instance and either retroactively or prospectively) only by an instrument in writing signed by Holder and any party against which enforcement of such amendment or waiver is sought.</w:t>
      </w:r>
    </w:p>
    <w:p>
      <w:pPr>
        <w:spacing w:after="0" w:line="13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u w:val="single" w:color="auto"/>
          <w:color w:val="auto"/>
        </w:rPr>
        <w:t>6.7 Counterparts; Electronic Signatures; Status as Certificated Security</w:t>
      </w:r>
      <w:r>
        <w:rPr>
          <w:rFonts w:ascii="Times New Roman" w:cs="Times New Roman" w:eastAsia="Times New Roman" w:hAnsi="Times New Roman"/>
          <w:sz w:val="18"/>
          <w:szCs w:val="18"/>
          <w:color w:val="auto"/>
        </w:rPr>
        <w:t>. This Warrant may be executed by one or more of the parties hereto in any number of separate counterparts, all of which together shall constitute one and the same instrument. The Company, Holder and any other party hereto may execute this Warrant by electronic means and each party hereto recognizes and accepts the use of electronic signatures and the keeping of records in electronic form by any other party hereto in connection with the execution and storage hereof. To the extent that this Warrant or any agreement subject to the terms hereof or any amendment hereto is executed, recorded or delivered electronically, it shall be binding to the same extent as though it had been executed on paper with an original ink signature, as provided under applicable law, including, without limitation, any state law based on the Uniform Electronic Transactions Act. The fact that this Warrant is executed, signed, stored or delivered electronically shall not prevent the transfer by any Holder of this Warrant pursuant to Section 6.4 or the enforcement of the terms hereof. To the extent that the original of this Warrant is an electronic original, this Warrant, and any copies hereof, shall NOT be deemed to be a “certificated security” within the meaning of Section 8102(a)(4) of the California Commercial Code. Physical possession of the original of this Warrant or any paper copy thereof shall confer no special status to the bearer thereof.</w:t>
      </w:r>
    </w:p>
    <w:p>
      <w:pPr>
        <w:spacing w:after="0" w:line="16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u w:val="single" w:color="auto"/>
          <w:color w:val="auto"/>
        </w:rPr>
        <w:t>6.8 Headings</w:t>
      </w:r>
      <w:r>
        <w:rPr>
          <w:rFonts w:ascii="Times New Roman" w:cs="Times New Roman" w:eastAsia="Times New Roman" w:hAnsi="Times New Roman"/>
          <w:sz w:val="18"/>
          <w:szCs w:val="18"/>
          <w:color w:val="auto"/>
        </w:rPr>
        <w:t>. The headings in this Warrant are for purposes of reference only and shall not limit or otherwise affect the meaning of any provision of this Warrant.</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6.9 Business Days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that is not a Saturday, Sunday or a day on which banks in California are closed.</w:t>
      </w:r>
    </w:p>
    <w:p>
      <w:pPr>
        <w:spacing w:after="0" w:line="18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17"/>
          <w:szCs w:val="17"/>
          <w:u w:val="single" w:color="auto"/>
          <w:color w:val="auto"/>
        </w:rPr>
        <w:t>GOVERNING LAW, VENUE AND JURY TRIAL WAIVER; JUDICIAL REFERENCE</w:t>
      </w:r>
      <w:r>
        <w:rPr>
          <w:rFonts w:ascii="Times New Roman" w:cs="Times New Roman" w:eastAsia="Times New Roman" w:hAnsi="Times New Roman"/>
          <w:sz w:val="17"/>
          <w:szCs w:val="17"/>
          <w:color w:val="auto"/>
        </w:rPr>
        <w:t>.</w:t>
      </w:r>
    </w:p>
    <w:p>
      <w:pPr>
        <w:spacing w:after="0" w:line="19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u w:val="single" w:color="auto"/>
          <w:color w:val="auto"/>
        </w:rPr>
        <w:t>7.1 Governing Law</w:t>
      </w:r>
      <w:r>
        <w:rPr>
          <w:rFonts w:ascii="Times New Roman" w:cs="Times New Roman" w:eastAsia="Times New Roman" w:hAnsi="Times New Roman"/>
          <w:sz w:val="18"/>
          <w:szCs w:val="18"/>
          <w:color w:val="auto"/>
        </w:rPr>
        <w:t>. This Warrant shall be governed by and construed in accordance with the laws of the State of California, without giving effect to its principles regarding conflicts of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1611752662.4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3" w:name="page94"/>
    <w:bookmarkEnd w:id="93"/>
    <w:p>
      <w:pPr>
        <w:jc w:val="both"/>
        <w:ind w:firstLine="749"/>
        <w:spacing w:after="0" w:line="253" w:lineRule="auto"/>
        <w:rPr>
          <w:sz w:val="20"/>
          <w:szCs w:val="20"/>
          <w:color w:val="auto"/>
        </w:rPr>
      </w:pPr>
      <w:r>
        <w:rPr>
          <w:rFonts w:ascii="Times New Roman" w:cs="Times New Roman" w:eastAsia="Times New Roman" w:hAnsi="Times New Roman"/>
          <w:sz w:val="18"/>
          <w:szCs w:val="18"/>
          <w:u w:val="single" w:color="auto"/>
          <w:color w:val="auto"/>
        </w:rPr>
        <w:t>7.2 Jurisdiction and Venue</w:t>
      </w:r>
      <w:r>
        <w:rPr>
          <w:rFonts w:ascii="Times New Roman" w:cs="Times New Roman" w:eastAsia="Times New Roman" w:hAnsi="Times New Roman"/>
          <w:sz w:val="18"/>
          <w:szCs w:val="18"/>
          <w:color w:val="auto"/>
        </w:rPr>
        <w:t>. The Company and Holder each irrevocably and unconditionally submit to the exclusive jurisdiction of the State and Federal courts in Santa Clara County, California; provided, however, that nothing in this Warrant shall be deemed to operate to preclude Holder from bringing suit or taking other legal action in any other jurisdiction to enforce a judgment or other court order in favor of Holder. The Company expressly, irrevocably and unconditionally submits and consents in advance to such jurisdiction in any action or suit commenced in any such court, and the Company hereby irrevocably and unconditionally waives, to the fullest extent permitted by applicable law, any objection that it may have based upon lack of personal jurisdiction, improper venue, or forum non conveniens and hereby irrevocably and unconditionally consents to the granting of such legal or equitable relief as is deemed appropriate by such court. The Company hereby waives personal service of the summons, complaints, and other process issued in such action or suit and agrees that service of such summons, complaints, and other process may be made by registered or certified mail addressed to the Company in accordance with Section 6.5 of this Warrant and that service so made shall be deemed completed upon the earlier to occur of the Company’s actual receipt thereof of three (3) days after deposit in the U.S. mails, proper postage prepaid.</w:t>
      </w:r>
    </w:p>
    <w:p>
      <w:pPr>
        <w:spacing w:after="0" w:line="150"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u w:val="single" w:color="auto"/>
          <w:color w:val="auto"/>
        </w:rPr>
        <w:t>7.3 Jury Trial Waiver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THE FULLEST EXTENT PERMITTED BY APPLICABLE LAW, THE COMPANY AND HOLDER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WAIVES ITS RIGHT TO A JURY TRIAL OF ANY CLAIM OR CAUSE OF ACTION ARISING OUT OF OR BASED UPON THIS WARRANT, THE LOAN AGREEMENT OR ANY CONTEMPLATED TRANSACTION, INCLUDING CONTRACT, TORT, BREACH OF DUTY AND ALL OTHER CLAIMS. THIS WAIVER IS A MATERIAL INDUCEMENT FOR THE PARTIES’ AGREEMENT TO THIS WARRANT. EACH PARTY HERETO HAS REVIEWED THIS WAIVER WITH ITS COUNSEL</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u w:val="single" w:color="auto"/>
          <w:color w:val="auto"/>
        </w:rPr>
        <w:t>7.4 Judicial Reference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WITHOUT INTENDING IN ANY WAY TO LIMIT THE PARTIES’ AGREEMENT TO WAIVE THEIR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RESPECTIVE RIGHT TO A TRIAL BY JURY</w:t>
      </w:r>
      <w:r>
        <w:rPr>
          <w:rFonts w:ascii="Times New Roman" w:cs="Times New Roman" w:eastAsia="Times New Roman" w:hAnsi="Times New Roman"/>
          <w:sz w:val="18"/>
          <w:szCs w:val="18"/>
          <w:color w:val="auto"/>
        </w:rPr>
        <w:t>, if the waiver of the right to a trial by jury in Section 7.3 above is not enforceable,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Sections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Section 644(a). Nothing in this Section 7.4 shall limit the right of any party at any time to exercise self-help remedies or obtain provisional remedies. The private judge shall also determine all issues relating to the applicability, interpretation, and enforceability of this Section 7.4.</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7.5 Survival</w:t>
      </w:r>
      <w:r>
        <w:rPr>
          <w:rFonts w:ascii="Times New Roman" w:cs="Times New Roman" w:eastAsia="Times New Roman" w:hAnsi="Times New Roman"/>
          <w:sz w:val="18"/>
          <w:szCs w:val="18"/>
          <w:color w:val="auto"/>
        </w:rPr>
        <w:t>. This Section 7 shall survive the termination of this Warrant.</w:t>
      </w:r>
    </w:p>
    <w:p>
      <w:pPr>
        <w:spacing w:after="0" w:line="18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1611752662.4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4" w:name="page95"/>
    <w:bookmarkEnd w:id="94"/>
    <w:p>
      <w:pPr>
        <w:spacing w:after="0" w:line="200" w:lineRule="exact"/>
        <w:rPr>
          <w:sz w:val="20"/>
          <w:szCs w:val="20"/>
          <w:color w:val="auto"/>
        </w:rPr>
      </w:pPr>
    </w:p>
    <w:p>
      <w:pPr>
        <w:spacing w:after="0" w:line="27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1611752662.4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5" w:name="page96"/>
    <w:bookmarkEnd w:id="95"/>
    <w:p>
      <w:pPr>
        <w:ind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Warrant to Purchase Stock to be executed by their duly authorized representatives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Issue Date written above.</w:t>
      </w:r>
    </w:p>
    <w:p>
      <w:pPr>
        <w:spacing w:after="0" w:line="1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Leone Patterson</w:t>
      </w:r>
      <w:r>
        <w:rPr>
          <w:rFonts w:ascii="Times New Roman" w:cs="Times New Roman" w:eastAsia="Times New Roman" w:hAnsi="Times New Roman"/>
          <w:sz w:val="18"/>
          <w:szCs w:val="18"/>
          <w:color w:val="auto"/>
        </w:rPr>
        <w:t>________________________</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Name: Leone Patterson</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Title: Chief Financial and Business Officer</w:t>
      </w: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FIRST-CITIZENS BANK &amp; TRUST COMPANY</w:t>
      </w: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Peter Sletteland</w:t>
      </w:r>
      <w:r>
        <w:rPr>
          <w:rFonts w:ascii="Times New Roman" w:cs="Times New Roman" w:eastAsia="Times New Roman" w:hAnsi="Times New Roman"/>
          <w:sz w:val="18"/>
          <w:szCs w:val="18"/>
          <w:color w:val="auto"/>
        </w:rPr>
        <w:t>________________________</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Name: Peter Sletteland</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1611752662.4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6" w:name="page97"/>
    <w:bookmarkEnd w:id="96"/>
    <w:p>
      <w:pPr>
        <w:jc w:val="center"/>
        <w:ind w:right="100"/>
        <w:spacing w:after="0"/>
        <w:rPr>
          <w:sz w:val="20"/>
          <w:szCs w:val="20"/>
          <w:color w:val="auto"/>
        </w:rPr>
      </w:pPr>
      <w:r>
        <w:rPr>
          <w:rFonts w:ascii="Times New Roman" w:cs="Times New Roman" w:eastAsia="Times New Roman" w:hAnsi="Times New Roman"/>
          <w:sz w:val="18"/>
          <w:szCs w:val="18"/>
          <w:color w:val="auto"/>
        </w:rPr>
        <w:t>APPENDIX 1</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Form of Notice of Exercise of Warrant</w:t>
      </w:r>
    </w:p>
    <w:p>
      <w:pPr>
        <w:spacing w:after="0" w:line="225" w:lineRule="exact"/>
        <w:rPr>
          <w:sz w:val="20"/>
          <w:szCs w:val="20"/>
          <w:color w:val="auto"/>
        </w:rPr>
      </w:pPr>
    </w:p>
    <w:p>
      <w:pPr>
        <w:ind w:right="100" w:firstLine="757"/>
        <w:spacing w:after="0" w:line="282" w:lineRule="auto"/>
        <w:tabs>
          <w:tab w:leader="none" w:pos="10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Holder hereby exercises its right to purchase ___________ shares of the Common ______ Stock of TENAYA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accordance with the attached Warrant to Purchase Stock.</w:t>
      </w:r>
    </w:p>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  With respect to ___________ such shares,] Holder hereby tenders payment of the aggregate Exercise Price for such shares as</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1740" w:hanging="234"/>
        <w:spacing w:after="0"/>
        <w:tabs>
          <w:tab w:leader="none" w:pos="17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in the amount of $________ payable to order of the Company enclosed herewith</w:t>
      </w:r>
    </w:p>
    <w:p>
      <w:pPr>
        <w:spacing w:after="0" w:line="184" w:lineRule="exact"/>
        <w:rPr>
          <w:rFonts w:ascii="Times New Roman" w:cs="Times New Roman" w:eastAsia="Times New Roman" w:hAnsi="Times New Roman"/>
          <w:sz w:val="18"/>
          <w:szCs w:val="18"/>
          <w:color w:val="auto"/>
        </w:rPr>
      </w:pPr>
    </w:p>
    <w:p>
      <w:pPr>
        <w:ind w:left="1740" w:hanging="234"/>
        <w:spacing w:after="0"/>
        <w:tabs>
          <w:tab w:leader="none" w:pos="17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Wire transfer of immediately available funds to the Company’s account</w:t>
      </w:r>
    </w:p>
    <w:p>
      <w:pPr>
        <w:spacing w:after="0" w:line="198" w:lineRule="exact"/>
        <w:rPr>
          <w:sz w:val="20"/>
          <w:szCs w:val="20"/>
          <w:color w:val="auto"/>
        </w:rPr>
      </w:pPr>
    </w:p>
    <w:p>
      <w:pPr>
        <w:ind w:left="2260" w:hanging="754"/>
        <w:spacing w:after="0" w:line="282" w:lineRule="auto"/>
        <w:tabs>
          <w:tab w:leader="none" w:pos="187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Cashless exercise pursuant to Section 2.2 of the Warrant, resulting in the issuance of __________________ shares of th Common Stock of the Company</w:t>
      </w:r>
    </w:p>
    <w:p>
      <w:pPr>
        <w:spacing w:after="0" w:line="121" w:lineRule="exact"/>
        <w:rPr>
          <w:sz w:val="20"/>
          <w:szCs w:val="20"/>
          <w:color w:val="auto"/>
        </w:rPr>
      </w:pPr>
    </w:p>
    <w:p>
      <w:pPr>
        <w:ind w:left="1740" w:hanging="234"/>
        <w:spacing w:after="0"/>
        <w:tabs>
          <w:tab w:leader="none" w:pos="17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Other [Describe] __________________________________________</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[B.  In lieu of receiving ___________ such shares, Holder hereby requests that the Company tenders payment to Holder in the amount</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of $ ________ in accordance with Section 2‎.7 of the Warrant as follows:</w:t>
      </w:r>
    </w:p>
    <w:p>
      <w:pPr>
        <w:spacing w:after="0" w:line="207" w:lineRule="exact"/>
        <w:rPr>
          <w:sz w:val="20"/>
          <w:szCs w:val="20"/>
          <w:color w:val="auto"/>
        </w:rPr>
      </w:pPr>
    </w:p>
    <w:p>
      <w:pPr>
        <w:ind w:left="1740" w:hanging="234"/>
        <w:spacing w:after="0"/>
        <w:tabs>
          <w:tab w:leader="none" w:pos="17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Wire transfer of immediately available funds to Holder’s account as follows: [Insert account details]</w:t>
      </w:r>
    </w:p>
    <w:p>
      <w:pPr>
        <w:spacing w:after="0" w:line="27" w:lineRule="exact"/>
        <w:rPr>
          <w:rFonts w:ascii="Times New Roman" w:cs="Times New Roman" w:eastAsia="Times New Roman" w:hAnsi="Times New Roman"/>
          <w:sz w:val="18"/>
          <w:szCs w:val="18"/>
          <w:color w:val="auto"/>
        </w:rPr>
      </w:pP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w:t>
      </w:r>
    </w:p>
    <w:p>
      <w:pPr>
        <w:spacing w:after="0" w:line="180" w:lineRule="exact"/>
        <w:rPr>
          <w:sz w:val="20"/>
          <w:szCs w:val="20"/>
          <w:color w:val="auto"/>
        </w:rPr>
      </w:pPr>
    </w:p>
    <w:p>
      <w:pPr>
        <w:ind w:left="1740" w:hanging="234"/>
        <w:spacing w:after="0"/>
        <w:tabs>
          <w:tab w:leader="none" w:pos="17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Other [Describe] __________________________________________]</w:t>
      </w:r>
    </w:p>
    <w:p>
      <w:pPr>
        <w:spacing w:after="0" w:line="184"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a certificate or certificates (or evidence of book entry) representing the shares in the name specified below:</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Holder’s Name</w:t>
      </w: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ind w:right="100" w:firstLine="757"/>
        <w:spacing w:after="0" w:line="282" w:lineRule="auto"/>
        <w:tabs>
          <w:tab w:leader="none" w:pos="10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execution below and for the benefit of the Company, Holder hereby makes each of the representations and warranties set forth in Section 5.1 of the Warrant to Purchase Stock as of the date hereof.</w:t>
      </w:r>
    </w:p>
    <w:p>
      <w:pPr>
        <w:spacing w:after="0" w:line="16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HOLDER:</w:t>
      </w:r>
    </w:p>
    <w:p>
      <w:pPr>
        <w:spacing w:after="0" w:line="22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By:_________________________</w:t>
      </w:r>
    </w:p>
    <w:p>
      <w:pPr>
        <w:spacing w:after="0" w:line="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Name:________________________</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Title:_________________________</w:t>
      </w:r>
    </w:p>
    <w:p>
      <w:pPr>
        <w:spacing w:after="0" w:line="20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(Date):_______________________</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Appendix 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1611752662.4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93" w:right="2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color w:val="auto"/>
        </w:rPr>
        <w:t>APPENDIX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Notice of Transfer of Warrant Shares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(by email)</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Response Requested: Transfer of [Additional] Warrant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[Issuer Name],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the Warrant to Purchase Stock dated as of __________________________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issued by TENAYA THERAPEUTICS,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in favor of Silicon Valley Bank, a division of First-Citizens Bank &amp; Trust Company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hereby notifies Issuer that, as of ______________________ (the “</w:t>
      </w:r>
      <w:r>
        <w:rPr>
          <w:rFonts w:ascii="Times New Roman" w:cs="Times New Roman" w:eastAsia="Times New Roman" w:hAnsi="Times New Roman"/>
          <w:sz w:val="18"/>
          <w:szCs w:val="18"/>
          <w:b w:val="1"/>
          <w:bCs w:val="1"/>
          <w:color w:val="auto"/>
        </w:rPr>
        <w:t>Transfer Date</w:t>
      </w:r>
      <w:r>
        <w:rPr>
          <w:rFonts w:ascii="Times New Roman" w:cs="Times New Roman" w:eastAsia="Times New Roman" w:hAnsi="Times New Roman"/>
          <w:sz w:val="18"/>
          <w:szCs w:val="18"/>
          <w:color w:val="auto"/>
        </w:rPr>
        <w:t>”), Holder has transferred to ____________________________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ID: ___________), an affiliate of Holder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the right to purchase [an additional] ____________________ common shares of Issuer</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which are currently exercisable (the “</w:t>
      </w:r>
      <w:r>
        <w:rPr>
          <w:rFonts w:ascii="Times New Roman" w:cs="Times New Roman" w:eastAsia="Times New Roman" w:hAnsi="Times New Roman"/>
          <w:sz w:val="18"/>
          <w:szCs w:val="18"/>
          <w:b w:val="1"/>
          <w:bCs w:val="1"/>
          <w:color w:val="auto"/>
        </w:rPr>
        <w:t>Transferred Shares</w:t>
      </w:r>
      <w:r>
        <w:rPr>
          <w:rFonts w:ascii="Times New Roman" w:cs="Times New Roman" w:eastAsia="Times New Roman" w:hAnsi="Times New Roman"/>
          <w:sz w:val="18"/>
          <w:szCs w:val="18"/>
          <w:color w:val="auto"/>
        </w:rPr>
        <w:t>”) and all rights under the Warrant with respect to such Transferred Shares, pursuant to the transfer provisions contained in the Warrant. [Holder previously transferred to Transferee the right to purchase ____________________ [common] [preferred] shares of Issuer. In the aggregate, Holder has transferred to Transferee, and the Warrant is now exercisable for, a total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 common shares of Issuer.]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such transfer and as of the Transfer Date, Transferee hereby [makes] [reaffirms] to Issuer all representations and warranties set forth in the Warrant applicable to Holder. Furthermore, Transferee [agrees] [reaffirms its agreement] to be bound by all of the terms and conditions of the Warrant applicable to Holder.</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Issuer shall note in Issuer’s records and, as applicable, with Issuer’s transfer agent, that Transferee is the “Holder” with respect to the Transferred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Transferee hereby [notifies] [reaffirms to] Issuer that all notices to Transferee should be addressed to Transferee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[[Transferee 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[Transferee 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_____________________________]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Please confirm your receipt and acknowledgment of this notice by replying to this email.</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Sincerely,</w:t>
            </w:r>
          </w:p>
        </w:tc>
        <w:tc>
          <w:tcPr>
            <w:tcW w:w="2120" w:type="dxa"/>
            <w:vAlign w:val="bottom"/>
          </w:tcPr>
          <w:p>
            <w:pPr>
              <w:spacing w:after="0"/>
              <w:rPr>
                <w:sz w:val="20"/>
                <w:szCs w:val="20"/>
                <w:color w:val="auto"/>
              </w:rPr>
            </w:pPr>
          </w:p>
        </w:tc>
        <w:tc>
          <w:tcPr>
            <w:tcW w:w="7120" w:type="dxa"/>
            <w:vAlign w:val="bottom"/>
          </w:tcPr>
          <w:p>
            <w:pPr>
              <w:spacing w:after="0"/>
              <w:rPr>
                <w:sz w:val="20"/>
                <w:szCs w:val="20"/>
                <w:color w:val="auto"/>
              </w:rPr>
            </w:pPr>
          </w:p>
        </w:tc>
      </w:tr>
      <w:tr>
        <w:trPr>
          <w:trHeight w:val="432"/>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Holder</w:t>
            </w:r>
          </w:p>
        </w:tc>
        <w:tc>
          <w:tcPr>
            <w:tcW w:w="212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Transferee</w:t>
            </w:r>
          </w:p>
        </w:tc>
        <w:tc>
          <w:tcPr>
            <w:tcW w:w="7120" w:type="dxa"/>
            <w:vAlign w:val="bottom"/>
          </w:tcPr>
          <w:p>
            <w:pPr>
              <w:spacing w:after="0"/>
              <w:rPr>
                <w:sz w:val="24"/>
                <w:szCs w:val="24"/>
                <w:color w:val="auto"/>
              </w:rPr>
            </w:pPr>
          </w:p>
        </w:tc>
      </w:tr>
      <w:tr>
        <w:trPr>
          <w:trHeight w:val="41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FIRST-CITIZENS BANK &amp; TRUST COMPANY</w:t>
            </w:r>
          </w:p>
        </w:tc>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[TRANSFEREE NAME]</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[Officer Name]</w:t>
            </w:r>
          </w:p>
        </w:tc>
        <w:tc>
          <w:tcPr>
            <w:tcW w:w="92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[Officer Name]</w:t>
            </w: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[Officer Title]</w:t>
            </w:r>
          </w:p>
        </w:tc>
        <w:tc>
          <w:tcPr>
            <w:tcW w:w="2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[Officer Title]</w:t>
            </w:r>
          </w:p>
        </w:tc>
        <w:tc>
          <w:tcPr>
            <w:tcW w:w="7120" w:type="dxa"/>
            <w:vAlign w:val="bottom"/>
          </w:tcPr>
          <w:p>
            <w:pPr>
              <w:spacing w:after="0"/>
              <w:rPr>
                <w:sz w:val="20"/>
                <w:szCs w:val="20"/>
                <w:color w:val="auto"/>
              </w:rPr>
            </w:pPr>
          </w:p>
        </w:tc>
      </w:tr>
      <w:tr>
        <w:trPr>
          <w:trHeight w:val="341"/>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1611752662.4</w:t>
            </w:r>
          </w:p>
        </w:tc>
        <w:tc>
          <w:tcPr>
            <w:tcW w:w="2120" w:type="dxa"/>
            <w:vAlign w:val="bottom"/>
          </w:tcPr>
          <w:p>
            <w:pPr>
              <w:spacing w:after="0"/>
              <w:rPr>
                <w:sz w:val="24"/>
                <w:szCs w:val="24"/>
                <w:color w:val="auto"/>
              </w:rPr>
            </w:pPr>
          </w:p>
        </w:tc>
        <w:tc>
          <w:tcPr>
            <w:tcW w:w="7120" w:type="dxa"/>
            <w:vAlign w:val="bottom"/>
          </w:tcPr>
          <w:p>
            <w:pPr>
              <w:spacing w:after="0"/>
              <w:rPr>
                <w:sz w:val="24"/>
                <w:szCs w:val="24"/>
                <w:color w:val="auto"/>
              </w:rPr>
            </w:pPr>
          </w:p>
        </w:tc>
      </w:tr>
      <w:tr>
        <w:trPr>
          <w:trHeight w:val="746"/>
        </w:trPr>
        <w:tc>
          <w:tcPr>
            <w:tcW w:w="20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5" w:lineRule="exact"/>
        <w:rPr>
          <w:sz w:val="20"/>
          <w:szCs w:val="20"/>
          <w:color w:val="auto"/>
        </w:rPr>
      </w:pPr>
    </w:p>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LOAN AND SECURITY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dated as of the Effective Date between </w:t>
      </w:r>
      <w:r>
        <w:rPr>
          <w:rFonts w:ascii="Times New Roman" w:cs="Times New Roman" w:eastAsia="Times New Roman" w:hAnsi="Times New Roman"/>
          <w:sz w:val="18"/>
          <w:szCs w:val="18"/>
          <w:b w:val="1"/>
          <w:bCs w:val="1"/>
          <w:color w:val="auto"/>
        </w:rPr>
        <w:t>SILICON VALLEY BANK,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DIVISION OF FIRST-CITIZENS BANK &amp; TRUST COMPANY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TENAYA THERAPEUTICS, INC.</w:t>
      </w:r>
      <w:r>
        <w:rPr>
          <w:rFonts w:ascii="Times New Roman" w:cs="Times New Roman" w:eastAsia="Times New Roman" w:hAnsi="Times New Roman"/>
          <w:sz w:val="18"/>
          <w:szCs w:val="18"/>
          <w:color w:val="auto"/>
        </w:rPr>
        <w:t>, a Delaware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The parties agree as follows:</w:t>
      </w:r>
    </w:p>
    <w:p>
      <w:pPr>
        <w:spacing w:after="0" w:line="171" w:lineRule="exact"/>
        <w:rPr>
          <w:sz w:val="20"/>
          <w:szCs w:val="20"/>
          <w:color w:val="auto"/>
        </w:rPr>
      </w:pPr>
    </w:p>
    <w:p>
      <w:pPr>
        <w:ind w:left="760" w:right="7360" w:hanging="3"/>
        <w:spacing w:after="0" w:line="500" w:lineRule="auto"/>
        <w:tabs>
          <w:tab w:leader="none" w:pos="1029" w:val="left"/>
        </w:tabs>
        <w:numPr>
          <w:ilvl w:val="0"/>
          <w:numId w:val="6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 xml:space="preserve">LOAN AND TERMS OF PAYMENT </w:t>
      </w:r>
      <w:r>
        <w:rPr>
          <w:rFonts w:ascii="Times New Roman" w:cs="Times New Roman" w:eastAsia="Times New Roman" w:hAnsi="Times New Roman"/>
          <w:sz w:val="18"/>
          <w:szCs w:val="18"/>
          <w:b w:val="1"/>
          <w:bCs w:val="1"/>
          <w:color w:val="auto"/>
        </w:rPr>
        <w:t>1.1 [Intentionally Omitted].</w:t>
      </w:r>
    </w:p>
    <w:p>
      <w:pPr>
        <w:spacing w:after="0" w:line="1" w:lineRule="exact"/>
        <w:rPr>
          <w:rFonts w:ascii="Times New Roman" w:cs="Times New Roman" w:eastAsia="Times New Roman" w:hAnsi="Times New Roman"/>
          <w:sz w:val="18"/>
          <w:szCs w:val="18"/>
          <w:b w:val="1"/>
          <w:bCs w:val="1"/>
          <w:u w:val="single" w:color="auto"/>
          <w:color w:val="auto"/>
        </w:rPr>
      </w:pPr>
    </w:p>
    <w:p>
      <w:pPr>
        <w:ind w:left="760"/>
        <w:spacing w:after="0"/>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color w:val="auto"/>
        </w:rPr>
        <w:t>1.2 [Intentionally Omitted].</w:t>
      </w:r>
    </w:p>
    <w:p>
      <w:pPr>
        <w:spacing w:after="0" w:line="225" w:lineRule="exact"/>
        <w:rPr>
          <w:rFonts w:ascii="Times New Roman" w:cs="Times New Roman" w:eastAsia="Times New Roman" w:hAnsi="Times New Roman"/>
          <w:sz w:val="18"/>
          <w:szCs w:val="18"/>
          <w:b w:val="1"/>
          <w:bCs w:val="1"/>
          <w:u w:val="single" w:color="auto"/>
          <w:color w:val="auto"/>
        </w:rPr>
      </w:pPr>
    </w:p>
    <w:p>
      <w:pPr>
        <w:ind w:left="760"/>
        <w:spacing w:after="0"/>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color w:val="auto"/>
        </w:rPr>
        <w:t>1.3 [Intentionally Omitted].</w:t>
      </w:r>
    </w:p>
    <w:p>
      <w:pPr>
        <w:spacing w:after="0" w:line="225" w:lineRule="exact"/>
        <w:rPr>
          <w:rFonts w:ascii="Times New Roman" w:cs="Times New Roman" w:eastAsia="Times New Roman" w:hAnsi="Times New Roman"/>
          <w:sz w:val="18"/>
          <w:szCs w:val="18"/>
          <w:b w:val="1"/>
          <w:bCs w:val="1"/>
          <w:u w:val="single" w:color="auto"/>
          <w:color w:val="auto"/>
        </w:rPr>
      </w:pPr>
    </w:p>
    <w:p>
      <w:pPr>
        <w:ind w:left="760"/>
        <w:spacing w:after="0"/>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color w:val="auto"/>
        </w:rPr>
        <w:t>1.4 [Intentionally Omitted].</w:t>
      </w:r>
    </w:p>
    <w:p>
      <w:pPr>
        <w:spacing w:after="0" w:line="225" w:lineRule="exact"/>
        <w:rPr>
          <w:rFonts w:ascii="Times New Roman" w:cs="Times New Roman" w:eastAsia="Times New Roman" w:hAnsi="Times New Roman"/>
          <w:sz w:val="18"/>
          <w:szCs w:val="18"/>
          <w:b w:val="1"/>
          <w:bCs w:val="1"/>
          <w:u w:val="single" w:color="auto"/>
          <w:color w:val="auto"/>
        </w:rPr>
      </w:pPr>
    </w:p>
    <w:p>
      <w:pPr>
        <w:ind w:left="760"/>
        <w:spacing w:after="0"/>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color w:val="auto"/>
        </w:rPr>
        <w:t>1.5 Term Loan Advances.</w:t>
      </w:r>
    </w:p>
    <w:p>
      <w:pPr>
        <w:spacing w:after="0" w:line="229" w:lineRule="exact"/>
        <w:rPr>
          <w:rFonts w:ascii="Times New Roman" w:cs="Times New Roman" w:eastAsia="Times New Roman" w:hAnsi="Times New Roman"/>
          <w:sz w:val="18"/>
          <w:szCs w:val="18"/>
          <w:b w:val="1"/>
          <w:bCs w:val="1"/>
          <w:u w:val="single" w:color="auto"/>
          <w:color w:val="auto"/>
        </w:rPr>
      </w:pPr>
    </w:p>
    <w:p>
      <w:pPr>
        <w:jc w:val="both"/>
        <w:ind w:firstLine="1505"/>
        <w:spacing w:after="0" w:line="252" w:lineRule="auto"/>
        <w:tabs>
          <w:tab w:leader="none" w:pos="2036" w:val="left"/>
        </w:tabs>
        <w:numPr>
          <w:ilvl w:val="1"/>
          <w:numId w:val="6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Subject to the terms and conditions of this Agreement, upon Borrower’s request, Bank shall make term loan advances to Borrower from time to time in four (4) tranches: “</w:t>
      </w:r>
      <w:r>
        <w:rPr>
          <w:rFonts w:ascii="Times New Roman" w:cs="Times New Roman" w:eastAsia="Times New Roman" w:hAnsi="Times New Roman"/>
          <w:sz w:val="18"/>
          <w:szCs w:val="18"/>
          <w:b w:val="1"/>
          <w:bCs w:val="1"/>
          <w:color w:val="auto"/>
        </w:rPr>
        <w:t>Tranche 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Tranche 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Tranche C</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Tranche D</w:t>
      </w:r>
      <w:r>
        <w:rPr>
          <w:rFonts w:ascii="Times New Roman" w:cs="Times New Roman" w:eastAsia="Times New Roman" w:hAnsi="Times New Roman"/>
          <w:sz w:val="18"/>
          <w:szCs w:val="18"/>
          <w:color w:val="auto"/>
        </w:rPr>
        <w:t>”. Subject to the terms and conditions of this Agreement, during the Tranche A Draw Period, upon Borrower’s request, Bank shall make up to (3) term loan advances to Borrower under Tranche A, in an aggregate original principal amount not to exceed the Tranche A Availability Amount (each such advance is referred to herein as a “</w:t>
      </w:r>
      <w:r>
        <w:rPr>
          <w:rFonts w:ascii="Times New Roman" w:cs="Times New Roman" w:eastAsia="Times New Roman" w:hAnsi="Times New Roman"/>
          <w:sz w:val="18"/>
          <w:szCs w:val="18"/>
          <w:b w:val="1"/>
          <w:bCs w:val="1"/>
          <w:color w:val="auto"/>
        </w:rPr>
        <w:t>Tranche A Term Loan Advance</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Tranche A Term Loan Advances</w:t>
      </w:r>
      <w:r>
        <w:rPr>
          <w:rFonts w:ascii="Times New Roman" w:cs="Times New Roman" w:eastAsia="Times New Roman" w:hAnsi="Times New Roman"/>
          <w:sz w:val="18"/>
          <w:szCs w:val="18"/>
          <w:color w:val="auto"/>
        </w:rPr>
        <w:t>”). Subject to the terms and conditions of this Agreement and the achievement of the Tranche B Availability Milestone, upon Borrower’s request, during the Tranche B Draw Period, Bank shall make one (1) term loan advance to Borrower under Tranche B, in an original principal amount equal to the Tranche B Availability Amount (the “</w:t>
      </w:r>
      <w:r>
        <w:rPr>
          <w:rFonts w:ascii="Times New Roman" w:cs="Times New Roman" w:eastAsia="Times New Roman" w:hAnsi="Times New Roman"/>
          <w:sz w:val="18"/>
          <w:szCs w:val="18"/>
          <w:b w:val="1"/>
          <w:bCs w:val="1"/>
          <w:color w:val="auto"/>
        </w:rPr>
        <w:t>Tranche B Term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Advance</w:t>
      </w:r>
      <w:r>
        <w:rPr>
          <w:rFonts w:ascii="Times New Roman" w:cs="Times New Roman" w:eastAsia="Times New Roman" w:hAnsi="Times New Roman"/>
          <w:sz w:val="18"/>
          <w:szCs w:val="18"/>
          <w:color w:val="auto"/>
        </w:rPr>
        <w:t>”). Subject to the terms and conditions of this Agreement and the achievement of the Tranche C Availability Milestone, upon Borrower’s request,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Tranche C Draw Period, Bank shall make one (1) term loan advance to Borrower under Tranche C, in an original principal amount equal to the Tranche C Availability Amount (the “</w:t>
      </w:r>
      <w:r>
        <w:rPr>
          <w:rFonts w:ascii="Times New Roman" w:cs="Times New Roman" w:eastAsia="Times New Roman" w:hAnsi="Times New Roman"/>
          <w:sz w:val="18"/>
          <w:szCs w:val="18"/>
          <w:b w:val="1"/>
          <w:bCs w:val="1"/>
          <w:color w:val="auto"/>
        </w:rPr>
        <w:t>Tranche C Term Loan Advance</w:t>
      </w:r>
      <w:r>
        <w:rPr>
          <w:rFonts w:ascii="Times New Roman" w:cs="Times New Roman" w:eastAsia="Times New Roman" w:hAnsi="Times New Roman"/>
          <w:sz w:val="18"/>
          <w:szCs w:val="18"/>
          <w:color w:val="auto"/>
        </w:rPr>
        <w:t>”). Subject to the terms and conditions of this Agreement and the achievement of the Tranche D Availability Milestone, upon Borrower’s request, during the Tranche D Draw Period, Bank shall make one (1) term loan advance to Borrower under Tranche D, in an original principal amount equal to the Tranche D Availability Amount (the “</w:t>
      </w:r>
      <w:r>
        <w:rPr>
          <w:rFonts w:ascii="Times New Roman" w:cs="Times New Roman" w:eastAsia="Times New Roman" w:hAnsi="Times New Roman"/>
          <w:sz w:val="18"/>
          <w:szCs w:val="18"/>
          <w:b w:val="1"/>
          <w:bCs w:val="1"/>
          <w:color w:val="auto"/>
        </w:rPr>
        <w:t>Tranche D Term Loan Advance</w:t>
      </w:r>
      <w:r>
        <w:rPr>
          <w:rFonts w:ascii="Times New Roman" w:cs="Times New Roman" w:eastAsia="Times New Roman" w:hAnsi="Times New Roman"/>
          <w:sz w:val="18"/>
          <w:szCs w:val="18"/>
          <w:color w:val="auto"/>
        </w:rPr>
        <w:t>” and together with the Tranche A Term Loan Advances, Tranche B Term Loan Advance, and Tranche C Term Loan Advance, each a “</w:t>
      </w:r>
      <w:r>
        <w:rPr>
          <w:rFonts w:ascii="Times New Roman" w:cs="Times New Roman" w:eastAsia="Times New Roman" w:hAnsi="Times New Roman"/>
          <w:sz w:val="18"/>
          <w:szCs w:val="18"/>
          <w:b w:val="1"/>
          <w:bCs w:val="1"/>
          <w:color w:val="auto"/>
        </w:rPr>
        <w:t>Term Loan Advance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Term Loan Advances</w:t>
      </w:r>
      <w:r>
        <w:rPr>
          <w:rFonts w:ascii="Times New Roman" w:cs="Times New Roman" w:eastAsia="Times New Roman" w:hAnsi="Times New Roman"/>
          <w:sz w:val="18"/>
          <w:szCs w:val="18"/>
          <w:color w:val="auto"/>
        </w:rPr>
        <w:t>”). The aggregate outstanding amount of the Term Loan Advances shall not, at any time, exceed Term Loan Availability Amount. Borrower may request Term Loan Advances as set forth on Schedule I hereto.</w:t>
      </w:r>
    </w:p>
    <w:p>
      <w:pPr>
        <w:spacing w:after="0" w:line="19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Additionally, at any time on or prior to July 31, 2026, Borrower may request that Bank make one (1) additional term loan advance available to Borrower in an original principal amount equal to Twenty Million Dollars ($20,000,000) (the “</w:t>
      </w:r>
      <w:r>
        <w:rPr>
          <w:rFonts w:ascii="Times New Roman" w:cs="Times New Roman" w:eastAsia="Times New Roman" w:hAnsi="Times New Roman"/>
          <w:sz w:val="18"/>
          <w:szCs w:val="18"/>
          <w:b w:val="1"/>
          <w:bCs w:val="1"/>
          <w:color w:val="auto"/>
        </w:rPr>
        <w:t>Uncommitted Accordion</w:t>
      </w:r>
      <w:r>
        <w:rPr>
          <w:rFonts w:ascii="Times New Roman" w:cs="Times New Roman" w:eastAsia="Times New Roman" w:hAnsi="Times New Roman"/>
          <w:sz w:val="18"/>
          <w:szCs w:val="18"/>
          <w:color w:val="auto"/>
        </w:rPr>
        <w:t xml:space="preserve">”). Bank, in its sole and absolute discretion, may grant or deny such request from Borrower for a term loan advance under the Uncommitted Accordion. If, and only if, Bank, in its sole discretion, agrees to provide an additional term loan advance to Borrower under the Uncommitted Accordion, such term loan advance shall each be considered a “Term Loan Advance” hereunder and added to the definition thereof;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the terms of the making of any advance under the Uncommitted Accordion shall be outlined in an amendment to this Agreement to be entered into by the parties hereto.</w:t>
      </w:r>
    </w:p>
    <w:p>
      <w:pPr>
        <w:spacing w:after="0" w:line="187" w:lineRule="exact"/>
        <w:rPr>
          <w:sz w:val="20"/>
          <w:szCs w:val="20"/>
          <w:color w:val="auto"/>
        </w:rPr>
      </w:pPr>
    </w:p>
    <w:p>
      <w:pPr>
        <w:ind w:firstLine="1505"/>
        <w:spacing w:after="0" w:line="282" w:lineRule="auto"/>
        <w:tabs>
          <w:tab w:leader="none" w:pos="2036" w:val="left"/>
        </w:tabs>
        <w:numPr>
          <w:ilvl w:val="0"/>
          <w:numId w:val="6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Repayment</w:t>
      </w:r>
      <w:r>
        <w:rPr>
          <w:rFonts w:ascii="Times New Roman" w:cs="Times New Roman" w:eastAsia="Times New Roman" w:hAnsi="Times New Roman"/>
          <w:sz w:val="18"/>
          <w:szCs w:val="18"/>
          <w:color w:val="auto"/>
        </w:rPr>
        <w:t xml:space="preserve">. Borrower shall repay each Term Loan Advance as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All outstanding principal and accrued and unpaid interest under each Term Loan Advance, and all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9" w:name="page100"/>
    <w:bookmarkEnd w:id="99"/>
    <w:p>
      <w:pPr>
        <w:spacing w:after="0" w:line="282" w:lineRule="auto"/>
        <w:rPr>
          <w:sz w:val="20"/>
          <w:szCs w:val="20"/>
          <w:color w:val="auto"/>
        </w:rPr>
      </w:pPr>
      <w:r>
        <w:rPr>
          <w:rFonts w:ascii="Times New Roman" w:cs="Times New Roman" w:eastAsia="Times New Roman" w:hAnsi="Times New Roman"/>
          <w:sz w:val="18"/>
          <w:szCs w:val="18"/>
          <w:color w:val="auto"/>
        </w:rPr>
        <w:t>outstanding Obligations with respect to such Term Loan Advance, including the Final Payment, are due and payable in full on the Term Loan Maturity Date.</w:t>
      </w:r>
    </w:p>
    <w:p>
      <w:pPr>
        <w:spacing w:after="0" w:line="162" w:lineRule="exact"/>
        <w:rPr>
          <w:sz w:val="20"/>
          <w:szCs w:val="20"/>
          <w:color w:val="auto"/>
        </w:rPr>
      </w:pPr>
    </w:p>
    <w:p>
      <w:pPr>
        <w:jc w:val="both"/>
        <w:ind w:firstLine="1505"/>
        <w:spacing w:after="0" w:line="253" w:lineRule="auto"/>
        <w:tabs>
          <w:tab w:leader="none" w:pos="2036" w:val="left"/>
        </w:tabs>
        <w:numPr>
          <w:ilvl w:val="0"/>
          <w:numId w:val="6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Permitted Prepayment</w:t>
      </w:r>
      <w:r>
        <w:rPr>
          <w:rFonts w:ascii="Times New Roman" w:cs="Times New Roman" w:eastAsia="Times New Roman" w:hAnsi="Times New Roman"/>
          <w:sz w:val="18"/>
          <w:szCs w:val="18"/>
          <w:color w:val="auto"/>
        </w:rPr>
        <w:t>. Borrower shall have the option to prepay all or a portion of the outstanding Term Loan Advances; provided that any such prepayment shall be in a principal amount of at least Two Million Five Hundred Thousand Dollars ($2,500,000); provided further that Borrower (i) delivers written notice to Bank of its election to prepay the Term Loan Advances at least five (5) days prior to such prepayment along with a notice of the portion of the principal amount being prepaid (which notice may be conditioned upon the consummation of a financing or other event and may be revoked by Borrower if such condition has not or will not occur on the proposed prepayment date), and (ii) pays, on the date of such prepayment (A) the outstanding principal plus accrued and unpaid interest with respect to the Term Loan Advances being prepaid, (B) the Prepayment Fee with respect to the principal amount of Term Loan Advances being prepaid, (C) the Final Payment with respect to the principal amount of the Term Loan Advances being prepaid, and (D) all other sums, if any, that shall have become due and payable with respect to the Term Loan Advances being prepaid, including interest at the Default Rate with respect to any past due amounts. Any voluntary prepayments made by Borrower pursuant to this Section 1.5(c) shall be applied to the remaining payments under the Term Loan Advances in the inverse order of maturity.</w:t>
      </w:r>
    </w:p>
    <w:p>
      <w:pPr>
        <w:spacing w:after="0" w:line="194" w:lineRule="exact"/>
        <w:rPr>
          <w:rFonts w:ascii="Times New Roman" w:cs="Times New Roman" w:eastAsia="Times New Roman" w:hAnsi="Times New Roman"/>
          <w:sz w:val="18"/>
          <w:szCs w:val="18"/>
          <w:u w:val="single" w:color="auto"/>
          <w:color w:val="auto"/>
        </w:rPr>
      </w:pPr>
    </w:p>
    <w:p>
      <w:pPr>
        <w:jc w:val="both"/>
        <w:ind w:firstLine="1505"/>
        <w:spacing w:after="0" w:line="261" w:lineRule="auto"/>
        <w:tabs>
          <w:tab w:leader="none" w:pos="2036" w:val="left"/>
        </w:tabs>
        <w:numPr>
          <w:ilvl w:val="0"/>
          <w:numId w:val="6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Mandatory Prepayment Upon an Acceleration</w:t>
      </w:r>
      <w:r>
        <w:rPr>
          <w:rFonts w:ascii="Times New Roman" w:cs="Times New Roman" w:eastAsia="Times New Roman" w:hAnsi="Times New Roman"/>
          <w:sz w:val="18"/>
          <w:szCs w:val="18"/>
          <w:color w:val="auto"/>
        </w:rPr>
        <w:t>. If the Term Loan Advances are accelerated by Bank following the occurrence and during the continuance of an Event of Default, Borrower shall immediately pay to Bank an amount equal to the sum of (i) all outstanding principal plus accrued and unpaid interest with respect to the Term Loan Advances, (ii) the Prepayment Fee, (iii) the Final Payment, and (iv) all other sums, if any, that shall have become due and payable with respect to the Term Loan Advances, including interest at the Default Rate with respect to any past due amounts.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1.6 [Intentionally Omitted].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1.7 [Intentionally Omitted].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1.8 Payment of Interest on the Credit Extensions.</w:t>
      </w:r>
    </w:p>
    <w:p>
      <w:pPr>
        <w:spacing w:after="0" w:line="229" w:lineRule="exact"/>
        <w:rPr>
          <w:sz w:val="20"/>
          <w:szCs w:val="20"/>
          <w:color w:val="auto"/>
        </w:rPr>
      </w:pPr>
    </w:p>
    <w:p>
      <w:pPr>
        <w:ind w:left="2040" w:hanging="535"/>
        <w:spacing w:after="0"/>
        <w:tabs>
          <w:tab w:leader="none" w:pos="2040" w:val="left"/>
        </w:tabs>
        <w:numPr>
          <w:ilvl w:val="0"/>
          <w:numId w:val="6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Interest Payments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u w:val="single" w:color="auto"/>
          <w:color w:val="auto"/>
        </w:rPr>
      </w:pPr>
    </w:p>
    <w:p>
      <w:pPr>
        <w:ind w:left="3580" w:hanging="577"/>
        <w:spacing w:after="0"/>
        <w:tabs>
          <w:tab w:leader="none" w:pos="35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260" w:right="20" w:firstLine="743"/>
        <w:spacing w:after="0" w:line="282" w:lineRule="auto"/>
        <w:tabs>
          <w:tab w:leader="none" w:pos="3578" w:val="left"/>
        </w:tabs>
        <w:numPr>
          <w:ilvl w:val="1"/>
          <w:numId w:val="6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Term Loan Advances</w:t>
      </w:r>
      <w:r>
        <w:rPr>
          <w:rFonts w:ascii="Times New Roman" w:cs="Times New Roman" w:eastAsia="Times New Roman" w:hAnsi="Times New Roman"/>
          <w:sz w:val="18"/>
          <w:szCs w:val="18"/>
          <w:color w:val="auto"/>
        </w:rPr>
        <w:t xml:space="preserve">. Interest on the principal amount of each Term Loan Advance is payable as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u w:val="single" w:color="auto"/>
          <w:color w:val="auto"/>
        </w:rPr>
      </w:pPr>
    </w:p>
    <w:p>
      <w:pPr>
        <w:ind w:left="2040" w:hanging="535"/>
        <w:spacing w:after="0"/>
        <w:tabs>
          <w:tab w:leader="none" w:pos="2040" w:val="left"/>
        </w:tabs>
        <w:numPr>
          <w:ilvl w:val="0"/>
          <w:numId w:val="6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u w:val="single" w:color="auto"/>
          <w:color w:val="auto"/>
        </w:rPr>
      </w:pPr>
    </w:p>
    <w:p>
      <w:pPr>
        <w:ind w:left="3580" w:hanging="577"/>
        <w:spacing w:after="0"/>
        <w:tabs>
          <w:tab w:leader="none" w:pos="35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260" w:firstLine="743"/>
        <w:spacing w:after="0" w:line="282" w:lineRule="auto"/>
        <w:tabs>
          <w:tab w:leader="none" w:pos="3578" w:val="left"/>
        </w:tabs>
        <w:numPr>
          <w:ilvl w:val="1"/>
          <w:numId w:val="6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Term Loan Advances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1.8(c)</w:t>
      </w:r>
      <w:r>
        <w:rPr>
          <w:rFonts w:ascii="Times New Roman" w:cs="Times New Roman" w:eastAsia="Times New Roman" w:hAnsi="Times New Roman"/>
          <w:sz w:val="18"/>
          <w:szCs w:val="18"/>
          <w:color w:val="auto"/>
        </w:rPr>
        <w:t xml:space="preserve">, the outstanding principal amount of any Term Loan Advance shall accrue interest as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u w:val="single" w:color="auto"/>
          <w:color w:val="auto"/>
        </w:rPr>
      </w:pPr>
    </w:p>
    <w:p>
      <w:pPr>
        <w:jc w:val="both"/>
        <w:ind w:left="2260" w:firstLine="743"/>
        <w:spacing w:after="0" w:line="266" w:lineRule="auto"/>
        <w:tabs>
          <w:tab w:leader="none" w:pos="3578" w:val="left"/>
        </w:tabs>
        <w:numPr>
          <w:ilvl w:val="1"/>
          <w:numId w:val="6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All-In Rate</w:t>
      </w:r>
      <w:r>
        <w:rPr>
          <w:rFonts w:ascii="Times New Roman" w:cs="Times New Roman" w:eastAsia="Times New Roman" w:hAnsi="Times New Roman"/>
          <w:sz w:val="18"/>
          <w:szCs w:val="18"/>
          <w:color w:val="auto"/>
        </w:rPr>
        <w:t>. Notwithstanding any terms in this Agreement to the contrary, if at any time the interest rate applicable to any Obligations is less than zero percent (0.0%), such interest rate shall be deemed to be zero percent (0.0%) for all purposes of this Agreement.</w:t>
      </w:r>
    </w:p>
    <w:p>
      <w:pPr>
        <w:spacing w:after="0" w:line="175" w:lineRule="exact"/>
        <w:rPr>
          <w:rFonts w:ascii="Times New Roman" w:cs="Times New Roman" w:eastAsia="Times New Roman" w:hAnsi="Times New Roman"/>
          <w:sz w:val="18"/>
          <w:szCs w:val="18"/>
          <w:u w:val="single" w:color="auto"/>
          <w:color w:val="auto"/>
        </w:rPr>
      </w:pPr>
    </w:p>
    <w:p>
      <w:pPr>
        <w:jc w:val="both"/>
        <w:ind w:firstLine="1505"/>
        <w:spacing w:after="0" w:line="261" w:lineRule="auto"/>
        <w:tabs>
          <w:tab w:leader="none" w:pos="2036" w:val="left"/>
        </w:tabs>
        <w:numPr>
          <w:ilvl w:val="0"/>
          <w:numId w:val="6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Immediately upon the occurrence and during the continuance of an Event of Default, the outstanding Obligations shall bear interest at a rate per annum which is three percent (3.0%) above the rate that is otherwise applicable thereto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unless Bank otherwise elects from time to time in its sole discretion to impose a smaller or no increase. Fees and expenses which are required to be paid by Borrower pursuant to the Loan Documents (including, without limitation, Bank Expenses) but are not paid when due shall bear</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0" w:name="page101"/>
    <w:bookmarkEnd w:id="100"/>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interest until paid at a rate equal to the highest rate applicable to the Obligations. Payment or acceptance of the increased interest rate provided in this </w:t>
      </w:r>
      <w:r>
        <w:rPr>
          <w:rFonts w:ascii="Times New Roman" w:cs="Times New Roman" w:eastAsia="Times New Roman" w:hAnsi="Times New Roman"/>
          <w:sz w:val="18"/>
          <w:szCs w:val="18"/>
          <w:u w:val="single" w:color="auto"/>
          <w:color w:val="auto"/>
        </w:rPr>
        <w:t>Section 1.8(c)</w:t>
      </w:r>
      <w:r>
        <w:rPr>
          <w:rFonts w:ascii="Times New Roman" w:cs="Times New Roman" w:eastAsia="Times New Roman" w:hAnsi="Times New Roman"/>
          <w:sz w:val="18"/>
          <w:szCs w:val="18"/>
          <w:color w:val="auto"/>
        </w:rPr>
        <w:t xml:space="preserve"> is not a permitted alternative to timely payment and shall not constitute a waiver of any Event of Default or otherwise prejudice or limit any rights or remedies of Bank.</w:t>
      </w:r>
    </w:p>
    <w:p>
      <w:pPr>
        <w:spacing w:after="0" w:line="176" w:lineRule="exact"/>
        <w:rPr>
          <w:sz w:val="20"/>
          <w:szCs w:val="20"/>
          <w:color w:val="auto"/>
        </w:rPr>
      </w:pPr>
    </w:p>
    <w:p>
      <w:pPr>
        <w:ind w:firstLine="1505"/>
        <w:spacing w:after="0" w:line="282" w:lineRule="auto"/>
        <w:tabs>
          <w:tab w:leader="none" w:pos="2036" w:val="left"/>
        </w:tabs>
        <w:numPr>
          <w:ilvl w:val="0"/>
          <w:numId w:val="6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Adjustment to Interest Rate</w:t>
      </w:r>
      <w:r>
        <w:rPr>
          <w:rFonts w:ascii="Times New Roman" w:cs="Times New Roman" w:eastAsia="Times New Roman" w:hAnsi="Times New Roman"/>
          <w:sz w:val="18"/>
          <w:szCs w:val="18"/>
          <w:color w:val="auto"/>
        </w:rPr>
        <w:t>. Each change in the interest rate applicable to any amounts payable under the Loan Documents based on changes to the Prime Rate shall be effective on the effective date of any change to the Prime Rate and to the extent of such change.</w:t>
      </w:r>
    </w:p>
    <w:p>
      <w:pPr>
        <w:spacing w:after="0" w:line="161" w:lineRule="exact"/>
        <w:rPr>
          <w:rFonts w:ascii="Times New Roman" w:cs="Times New Roman" w:eastAsia="Times New Roman" w:hAnsi="Times New Roman"/>
          <w:sz w:val="18"/>
          <w:szCs w:val="18"/>
          <w:u w:val="single" w:color="auto"/>
          <w:color w:val="auto"/>
        </w:rPr>
      </w:pPr>
    </w:p>
    <w:p>
      <w:pPr>
        <w:jc w:val="both"/>
        <w:ind w:firstLine="1505"/>
        <w:spacing w:after="0" w:line="266" w:lineRule="auto"/>
        <w:tabs>
          <w:tab w:leader="none" w:pos="2036" w:val="left"/>
        </w:tabs>
        <w:numPr>
          <w:ilvl w:val="0"/>
          <w:numId w:val="6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Interest Computation</w:t>
      </w:r>
      <w:r>
        <w:rPr>
          <w:rFonts w:ascii="Times New Roman" w:cs="Times New Roman" w:eastAsia="Times New Roman" w:hAnsi="Times New Roman"/>
          <w:sz w:val="18"/>
          <w:szCs w:val="18"/>
          <w:color w:val="auto"/>
        </w:rPr>
        <w:t xml:space="preserve">. Interest shall be computed as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In computing interest, the date of the making of any Credit Extension shall be included and the date of payment shall be excluded;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any Credit Extension is repaid on the same day on which it is made, such day shall be included in computing interest on such Credit Extension.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1.9 Fees and Expenses. </w:t>
      </w:r>
      <w:r>
        <w:rPr>
          <w:rFonts w:ascii="Times New Roman" w:cs="Times New Roman" w:eastAsia="Times New Roman" w:hAnsi="Times New Roman"/>
          <w:sz w:val="18"/>
          <w:szCs w:val="18"/>
          <w:color w:val="auto"/>
        </w:rPr>
        <w:t>Borrower shall pay to Bank:</w:t>
      </w:r>
    </w:p>
    <w:p>
      <w:pPr>
        <w:spacing w:after="0" w:line="229" w:lineRule="exact"/>
        <w:rPr>
          <w:sz w:val="20"/>
          <w:szCs w:val="20"/>
          <w:color w:val="auto"/>
        </w:rPr>
      </w:pPr>
    </w:p>
    <w:p>
      <w:pPr>
        <w:ind w:left="2040" w:hanging="535"/>
        <w:spacing w:after="0"/>
        <w:tabs>
          <w:tab w:leader="none" w:pos="2040" w:val="left"/>
        </w:tabs>
        <w:numPr>
          <w:ilvl w:val="0"/>
          <w:numId w:val="6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Prepayment Fee</w:t>
      </w:r>
      <w:r>
        <w:rPr>
          <w:rFonts w:ascii="Times New Roman" w:cs="Times New Roman" w:eastAsia="Times New Roman" w:hAnsi="Times New Roman"/>
          <w:sz w:val="18"/>
          <w:szCs w:val="18"/>
          <w:color w:val="auto"/>
        </w:rPr>
        <w:t>. The Prepayment Fee, when due hereunder, which shall be fully earned and non-refundable as of such date;</w:t>
      </w:r>
    </w:p>
    <w:p>
      <w:pPr>
        <w:spacing w:after="0" w:line="225" w:lineRule="exact"/>
        <w:rPr>
          <w:rFonts w:ascii="Times New Roman" w:cs="Times New Roman" w:eastAsia="Times New Roman" w:hAnsi="Times New Roman"/>
          <w:sz w:val="18"/>
          <w:szCs w:val="18"/>
          <w:u w:val="single" w:color="auto"/>
          <w:color w:val="auto"/>
        </w:rPr>
      </w:pPr>
    </w:p>
    <w:p>
      <w:pPr>
        <w:ind w:left="2040" w:hanging="535"/>
        <w:spacing w:after="0"/>
        <w:tabs>
          <w:tab w:leader="none" w:pos="2040" w:val="left"/>
        </w:tabs>
        <w:numPr>
          <w:ilvl w:val="0"/>
          <w:numId w:val="6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Final Payment</w:t>
      </w:r>
      <w:r>
        <w:rPr>
          <w:rFonts w:ascii="Times New Roman" w:cs="Times New Roman" w:eastAsia="Times New Roman" w:hAnsi="Times New Roman"/>
          <w:sz w:val="18"/>
          <w:szCs w:val="18"/>
          <w:color w:val="auto"/>
        </w:rPr>
        <w:t>. The Final Payment, when due hereunder, which shall be fully earned and non-refundable as of such date; and</w:t>
      </w:r>
    </w:p>
    <w:p>
      <w:pPr>
        <w:spacing w:after="0" w:line="225" w:lineRule="exact"/>
        <w:rPr>
          <w:rFonts w:ascii="Times New Roman" w:cs="Times New Roman" w:eastAsia="Times New Roman" w:hAnsi="Times New Roman"/>
          <w:sz w:val="18"/>
          <w:szCs w:val="18"/>
          <w:u w:val="single" w:color="auto"/>
          <w:color w:val="auto"/>
        </w:rPr>
      </w:pPr>
    </w:p>
    <w:p>
      <w:pPr>
        <w:jc w:val="both"/>
        <w:ind w:firstLine="1505"/>
        <w:spacing w:after="0" w:line="266" w:lineRule="auto"/>
        <w:tabs>
          <w:tab w:leader="none" w:pos="2036" w:val="left"/>
        </w:tabs>
        <w:numPr>
          <w:ilvl w:val="0"/>
          <w:numId w:val="6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Bank Expenses</w:t>
      </w:r>
      <w:r>
        <w:rPr>
          <w:rFonts w:ascii="Times New Roman" w:cs="Times New Roman" w:eastAsia="Times New Roman" w:hAnsi="Times New Roman"/>
          <w:sz w:val="18"/>
          <w:szCs w:val="18"/>
          <w:color w:val="auto"/>
        </w:rPr>
        <w:t>. All Bank Expenses incurred through and after the Effective Date, when due (or, if no stated due date, upon demand by Bank). Borrower has paid to Bank a good faith deposit of Fifty Thousand Dollars ($50,000) (the “</w:t>
      </w:r>
      <w:r>
        <w:rPr>
          <w:rFonts w:ascii="Times New Roman" w:cs="Times New Roman" w:eastAsia="Times New Roman" w:hAnsi="Times New Roman"/>
          <w:sz w:val="18"/>
          <w:szCs w:val="18"/>
          <w:b w:val="1"/>
          <w:bCs w:val="1"/>
          <w:color w:val="auto"/>
        </w:rPr>
        <w:t>Good Faith Deposit</w:t>
      </w:r>
      <w:r>
        <w:rPr>
          <w:rFonts w:ascii="Times New Roman" w:cs="Times New Roman" w:eastAsia="Times New Roman" w:hAnsi="Times New Roman"/>
          <w:sz w:val="18"/>
          <w:szCs w:val="18"/>
          <w:color w:val="auto"/>
        </w:rPr>
        <w:t>”) to initiate Bank’s due diligence review process. On the Effective Date, Bank will refund the Good Faith Deposit, minus out-of-pocket expenses.</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pursuant to the terms of </w:t>
      </w:r>
      <w:r>
        <w:rPr>
          <w:rFonts w:ascii="Times New Roman" w:cs="Times New Roman" w:eastAsia="Times New Roman" w:hAnsi="Times New Roman"/>
          <w:sz w:val="18"/>
          <w:szCs w:val="18"/>
          <w:u w:val="single" w:color="auto"/>
          <w:color w:val="auto"/>
        </w:rPr>
        <w:t>Section 1.10(c)</w:t>
      </w:r>
      <w:r>
        <w:rPr>
          <w:rFonts w:ascii="Times New Roman" w:cs="Times New Roman" w:eastAsia="Times New Roman" w:hAnsi="Times New Roman"/>
          <w:sz w:val="18"/>
          <w:szCs w:val="18"/>
          <w:color w:val="auto"/>
        </w:rPr>
        <w:t xml:space="preserve">. Bank shall provide Borrower written notice of deductions made pursuant to the terms of the clauses of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1.10Payments; Application of Payments; Debit of Accounts.</w:t>
      </w:r>
    </w:p>
    <w:p>
      <w:pPr>
        <w:spacing w:after="0" w:line="229" w:lineRule="exact"/>
        <w:rPr>
          <w:sz w:val="20"/>
          <w:szCs w:val="20"/>
          <w:color w:val="auto"/>
        </w:rPr>
      </w:pPr>
    </w:p>
    <w:p>
      <w:pPr>
        <w:jc w:val="both"/>
        <w:ind w:firstLine="1505"/>
        <w:spacing w:after="0" w:line="258" w:lineRule="auto"/>
        <w:tabs>
          <w:tab w:leader="none" w:pos="2036" w:val="left"/>
        </w:tabs>
        <w:numPr>
          <w:ilvl w:val="0"/>
          <w:numId w:val="7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All payments (including prepayments) to be made by Borrower under any Loan Document shall be made in immediately available funds in Dollars, without setoff, counterclaim, or deduction,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83" w:lineRule="exact"/>
        <w:rPr>
          <w:rFonts w:ascii="Times New Roman" w:cs="Times New Roman" w:eastAsia="Times New Roman" w:hAnsi="Times New Roman"/>
          <w:sz w:val="18"/>
          <w:szCs w:val="18"/>
          <w:u w:val="single" w:color="auto"/>
          <w:color w:val="auto"/>
        </w:rPr>
      </w:pPr>
    </w:p>
    <w:p>
      <w:pPr>
        <w:jc w:val="both"/>
        <w:ind w:firstLine="1505"/>
        <w:spacing w:after="0" w:line="261" w:lineRule="auto"/>
        <w:tabs>
          <w:tab w:leader="none" w:pos="2036" w:val="left"/>
        </w:tabs>
        <w:numPr>
          <w:ilvl w:val="0"/>
          <w:numId w:val="7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Bank has the exclusive right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179" w:lineRule="exact"/>
        <w:rPr>
          <w:rFonts w:ascii="Times New Roman" w:cs="Times New Roman" w:eastAsia="Times New Roman" w:hAnsi="Times New Roman"/>
          <w:sz w:val="18"/>
          <w:szCs w:val="18"/>
          <w:u w:val="single" w:color="auto"/>
          <w:color w:val="auto"/>
        </w:rPr>
      </w:pPr>
    </w:p>
    <w:p>
      <w:pPr>
        <w:jc w:val="both"/>
        <w:ind w:firstLine="1505"/>
        <w:spacing w:after="0" w:line="275" w:lineRule="auto"/>
        <w:tabs>
          <w:tab w:leader="none" w:pos="2036" w:val="left"/>
        </w:tabs>
        <w:numPr>
          <w:ilvl w:val="0"/>
          <w:numId w:val="7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Bank may debit any of Borrower’s deposit accounts maintained with Bank, including the Designated Deposit Account, for principal and interest payments or any other amounts Borrower owes Bank when due under the Loan Documents. These debits shall not constitute a set-off.</w:t>
      </w:r>
    </w:p>
    <w:p>
      <w:pPr>
        <w:spacing w:after="0" w:line="3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1.11Change in Circumstances.</w:t>
      </w:r>
    </w:p>
    <w:p>
      <w:pPr>
        <w:spacing w:after="0" w:line="229" w:lineRule="exact"/>
        <w:rPr>
          <w:sz w:val="20"/>
          <w:szCs w:val="20"/>
          <w:color w:val="auto"/>
        </w:rPr>
      </w:pPr>
    </w:p>
    <w:p>
      <w:pPr>
        <w:ind w:firstLine="1505"/>
        <w:spacing w:after="0" w:line="282" w:lineRule="auto"/>
        <w:tabs>
          <w:tab w:leader="none" w:pos="2036" w:val="left"/>
        </w:tabs>
        <w:numPr>
          <w:ilvl w:val="0"/>
          <w:numId w:val="7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If any Change in Law shall: (i) impose, modify or deem applicable any reserve, special deposit, compulsory loan, insurance charge or similar requirement against assets of, deposits with or</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color w:val="auto"/>
        </w:rPr>
        <w:t>for the account of, or advances, loans or other credit extended or participated in by, Bank, (ii) subject Bank to any Taxes (other than (A) Indemnified Taxes,</w:t>
      </w:r>
    </w:p>
    <w:p>
      <w:pPr>
        <w:spacing w:after="0" w:line="39" w:lineRule="exact"/>
        <w:rPr>
          <w:sz w:val="20"/>
          <w:szCs w:val="20"/>
          <w:color w:val="auto"/>
        </w:rPr>
      </w:pPr>
    </w:p>
    <w:p>
      <w:pPr>
        <w:jc w:val="both"/>
        <w:ind w:firstLine="8"/>
        <w:spacing w:after="0" w:line="252" w:lineRule="auto"/>
        <w:tabs>
          <w:tab w:leader="none" w:pos="28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described in clauses (b) through (d) of the definition of Excluded Taxes, and (C) Connection Income Taxes) on its loans, loan principal, letters of credit, commitment, or other obligations, or its deposits, reserves, other liabilities or capital attributable thereto, or (iii) impose on Bank any other condition, cost or expense (other than Taxes) affecting this Agreement or Credit Extensions made by Bank, and the result of any of the foregoing shall be to increase the cost to Bank of making, converting to, continuing or maintaining any Credit Extension (or of maintaining its obligation to make any such Credit Extension), or to reduce the amount of any sum received or receivable by Bank hereunder (whether of principal, interest or any other amount) then, upon written request of Bank, Borrower shall promptly pay to Bank such additional amount or amounts as will compensate Bank for such additional costs incurred or reduction suffered.</w:t>
      </w:r>
    </w:p>
    <w:p>
      <w:pPr>
        <w:spacing w:after="0" w:line="188"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1"/>
          <w:numId w:val="7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Bank determines that any Change in Law affecting Bank regarding capital or liquidity requirements, has or would have the effect of reducing the rate of return on Bank’s capital as a consequence of this Agreement, any term loan facility, or the Credit Extensions made by Bank to a level below that which Bank could have achieved but for such Change in Law (taking into consideration Bank’s policies with respect to capital adequacy and liquidity), then from time to time upon written request of Bank, Borrower shall promptly pay to Bank such additional amount or amounts as will compensate Bank for any such reduction suffered.</w:t>
      </w:r>
    </w:p>
    <w:p>
      <w:pPr>
        <w:spacing w:after="0" w:line="183" w:lineRule="exact"/>
        <w:rPr>
          <w:rFonts w:ascii="Times New Roman" w:cs="Times New Roman" w:eastAsia="Times New Roman" w:hAnsi="Times New Roman"/>
          <w:sz w:val="18"/>
          <w:szCs w:val="18"/>
          <w:u w:val="single" w:color="auto"/>
          <w:color w:val="auto"/>
        </w:rPr>
      </w:pPr>
    </w:p>
    <w:p>
      <w:pPr>
        <w:jc w:val="both"/>
        <w:ind w:firstLine="1505"/>
        <w:spacing w:after="0" w:line="261" w:lineRule="auto"/>
        <w:tabs>
          <w:tab w:leader="none" w:pos="2036" w:val="left"/>
        </w:tabs>
        <w:numPr>
          <w:ilvl w:val="1"/>
          <w:numId w:val="7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xml:space="preserve">. Failure or delay on the part of Bank to demand compensation pursuant to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shall not constitute a waiver of Bank’s right to demand such compensation;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Borrower shall not be required to compensate Bank pursuant to </w:t>
      </w:r>
      <w:r>
        <w:rPr>
          <w:rFonts w:ascii="Times New Roman" w:cs="Times New Roman" w:eastAsia="Times New Roman" w:hAnsi="Times New Roman"/>
          <w:sz w:val="18"/>
          <w:szCs w:val="18"/>
          <w:u w:val="single" w:color="auto"/>
          <w:color w:val="auto"/>
        </w:rPr>
        <w:t>subsection</w:t>
      </w:r>
    </w:p>
    <w:p>
      <w:pPr>
        <w:jc w:val="both"/>
        <w:spacing w:after="0" w:line="255"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for any increased costs incurred or reductions suffered more than nine (9) months prior to the date that Bank notifies Borrower of the Change in Law giving rise to such increased costs or reductions and of Bank’s intention to claim compensation therefor (except that if the Change in Law giving rise to such increased costs or reductions is retroactive, then the nine (9) month period shall be extended to include the period of retroactive effect).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1.12Taxes.</w:t>
      </w:r>
    </w:p>
    <w:p>
      <w:pPr>
        <w:spacing w:after="0" w:line="229" w:lineRule="exact"/>
        <w:rPr>
          <w:sz w:val="20"/>
          <w:szCs w:val="20"/>
          <w:color w:val="auto"/>
        </w:rPr>
      </w:pPr>
    </w:p>
    <w:p>
      <w:pPr>
        <w:jc w:val="both"/>
        <w:ind w:firstLine="1505"/>
        <w:spacing w:after="0" w:line="255" w:lineRule="auto"/>
        <w:tabs>
          <w:tab w:leader="none" w:pos="2036" w:val="left"/>
        </w:tabs>
        <w:numPr>
          <w:ilvl w:val="0"/>
          <w:numId w:val="7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xml:space="preserve">. Any and all payments by or on account of any obligation of Borrower under any Loan Document shall be made without deduction or withholding for any Taxes, except as required by Applicable Law. If any Applicable Law (as determined in the good faith discretion of Borrower) requires the deduction or withholding of any Tax from any such payment by Borrower, then (i) Borrower shall be entitled to make such deduction or withholding, (ii) Borrower shall timely pay the full amount deducted or withheld to the relevant Governmental Authority in accordance with Applicable Law, and (iii) if such Tax is an Indemnified Tax, the sum payable by Borrower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Bank receives an amount equal to the sum it would have received had no such deduction or withholding been made.</w:t>
      </w:r>
    </w:p>
    <w:p>
      <w:pPr>
        <w:spacing w:after="0" w:line="188" w:lineRule="exact"/>
        <w:rPr>
          <w:rFonts w:ascii="Times New Roman" w:cs="Times New Roman" w:eastAsia="Times New Roman" w:hAnsi="Times New Roman"/>
          <w:sz w:val="18"/>
          <w:szCs w:val="18"/>
          <w:u w:val="single" w:color="auto"/>
          <w:color w:val="auto"/>
        </w:rPr>
      </w:pPr>
    </w:p>
    <w:p>
      <w:pPr>
        <w:ind w:right="20" w:firstLine="1505"/>
        <w:spacing w:after="0" w:line="282" w:lineRule="auto"/>
        <w:tabs>
          <w:tab w:leader="none" w:pos="2036" w:val="left"/>
        </w:tabs>
        <w:numPr>
          <w:ilvl w:val="0"/>
          <w:numId w:val="7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Payment of Other Taxes by Borrower</w:t>
      </w:r>
      <w:r>
        <w:rPr>
          <w:rFonts w:ascii="Times New Roman" w:cs="Times New Roman" w:eastAsia="Times New Roman" w:hAnsi="Times New Roman"/>
          <w:sz w:val="18"/>
          <w:szCs w:val="18"/>
          <w:color w:val="auto"/>
        </w:rPr>
        <w:t xml:space="preserve">. Without limiting the provisions of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above, Borrower shall timely pay any Other Taxes to the relevant Governmental Authority in accordance with Applicable Law.</w:t>
      </w:r>
    </w:p>
    <w:p>
      <w:pPr>
        <w:spacing w:after="0" w:line="161" w:lineRule="exact"/>
        <w:rPr>
          <w:rFonts w:ascii="Times New Roman" w:cs="Times New Roman" w:eastAsia="Times New Roman" w:hAnsi="Times New Roman"/>
          <w:sz w:val="18"/>
          <w:szCs w:val="18"/>
          <w:u w:val="single" w:color="auto"/>
          <w:color w:val="auto"/>
        </w:rPr>
      </w:pPr>
    </w:p>
    <w:p>
      <w:pPr>
        <w:jc w:val="both"/>
        <w:ind w:firstLine="1505"/>
        <w:spacing w:after="0" w:line="256" w:lineRule="auto"/>
        <w:tabs>
          <w:tab w:leader="none" w:pos="2036" w:val="left"/>
        </w:tabs>
        <w:numPr>
          <w:ilvl w:val="0"/>
          <w:numId w:val="7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Tax Indemnification</w:t>
      </w:r>
      <w:r>
        <w:rPr>
          <w:rFonts w:ascii="Times New Roman" w:cs="Times New Roman" w:eastAsia="Times New Roman" w:hAnsi="Times New Roman"/>
          <w:sz w:val="18"/>
          <w:szCs w:val="18"/>
          <w:color w:val="auto"/>
        </w:rPr>
        <w:t xml:space="preserve">. Without limiting the provisions of </w:t>
      </w:r>
      <w:r>
        <w:rPr>
          <w:rFonts w:ascii="Times New Roman" w:cs="Times New Roman" w:eastAsia="Times New Roman" w:hAnsi="Times New Roman"/>
          <w:sz w:val="18"/>
          <w:szCs w:val="18"/>
          <w:u w:val="single" w:color="auto"/>
          <w:color w:val="auto"/>
        </w:rPr>
        <w:t>subsections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Borrower shall, and does hereby, indemnify Bank,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payable or paid by Bank or required to be withheld or deducted from a payment to Bank and any reasonable expenses arising therefrom or with respect thereto, whether or not such Indemnified Taxes were correctly or legally imposed or asserted by the relevant Governmental Authority. A certificate as to the amount of such payment or liability delivered to Borrower by Bank shall be conclusive absent manifest error.</w:t>
      </w:r>
    </w:p>
    <w:p>
      <w:pPr>
        <w:spacing w:after="0" w:line="187" w:lineRule="exact"/>
        <w:rPr>
          <w:rFonts w:ascii="Times New Roman" w:cs="Times New Roman" w:eastAsia="Times New Roman" w:hAnsi="Times New Roman"/>
          <w:sz w:val="18"/>
          <w:szCs w:val="18"/>
          <w:u w:val="single" w:color="auto"/>
          <w:color w:val="auto"/>
        </w:rPr>
      </w:pPr>
    </w:p>
    <w:p>
      <w:pPr>
        <w:jc w:val="both"/>
        <w:ind w:firstLine="1505"/>
        <w:spacing w:after="0" w:line="266" w:lineRule="auto"/>
        <w:tabs>
          <w:tab w:leader="none" w:pos="2036" w:val="left"/>
        </w:tabs>
        <w:numPr>
          <w:ilvl w:val="0"/>
          <w:numId w:val="7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xml:space="preserve">. As soon as practicable after any payment of Taxes by Borrower to a Governmental Authority pursuant to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Borrower shall deliver to Bank a certified copy of a receipt issued by such Governmental Authority evidencing such payment, a copy of the return reporting such payment or other evidence of such payment reasonably satisfactory to Bank.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2" w:name="page103"/>
    <w:bookmarkEnd w:id="102"/>
    <w:p>
      <w:pPr>
        <w:jc w:val="both"/>
        <w:ind w:firstLine="1505"/>
        <w:spacing w:after="0" w:line="252" w:lineRule="auto"/>
        <w:tabs>
          <w:tab w:leader="none" w:pos="2036" w:val="left"/>
        </w:tabs>
        <w:numPr>
          <w:ilvl w:val="0"/>
          <w:numId w:val="7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Status of Bank</w:t>
      </w:r>
      <w:r>
        <w:rPr>
          <w:rFonts w:ascii="Times New Roman" w:cs="Times New Roman" w:eastAsia="Times New Roman" w:hAnsi="Times New Roman"/>
          <w:sz w:val="18"/>
          <w:szCs w:val="18"/>
          <w:color w:val="auto"/>
        </w:rPr>
        <w:t>. If Bank (including any assignee or successor) is entitled to an exemption from or reduction of withholding tax with respect to payments made under any Loan Document, it shall deliver to Borrower, at the time or times reasonably requested by Borrower, such properly completed and executed documentation reasonably requested by Borrower as will permit such payments to be made without withholding or at a reduced rate of withholding. In addition, Bank, if reasonably requested by Borrower, shall deliver such other documentation prescribed by Applicable Law or reasonably requested by Borrower as will enable Borrower to determine whether or not Bank is subject to backup withholding or information reporting requirements. If a payment made to Bank under any Loan Document would be subject to U.S. federal withholding Tax imposed by FATCA if Bank were to fail to comply with the applicable reporting requirements of FATCA (including those contained in Section 1471(b) or 1472(b) of the Internal Revenue Code, as applicable), Bank shall deliver to Borrower at the time or times prescribed by law and at such time or times reasonably requested by Borrower such documentation prescribed by Applicable Law (including as prescribed by Section 1471(b)(3)(C)(i) of the Internal Revenue Code) and such additional documentation reasonably requested by Borrower as may be necessary for Borrower to comply with its obligations under FATCA and to determine that Bank has complied with Bank’s obligations under FATCA or to determine the amount, if any, to deduct and withhold from such payment. Solely for purposes of the preceding sentence, “FATCA” shall include any amendments made to FATCA after the date of this Agreement. Without limiting the generality of the foregoing, Bank (including any assignee or successor) shall deliver executed copies of whichever of Internal Revenue Services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Form W-9, IRS Form W-8BEN-E, IRS Form W-8ECI or W-8IMY is applicable, as well as any applicable supporting documentation or certifications on or about the date of this Agreement (and from time to time thereafter upon the reasonable request of Borrower).</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1.13Procedures for Borrowing.</w:t>
      </w:r>
    </w:p>
    <w:p>
      <w:pPr>
        <w:spacing w:after="0" w:line="229" w:lineRule="exact"/>
        <w:rPr>
          <w:sz w:val="20"/>
          <w:szCs w:val="20"/>
          <w:color w:val="auto"/>
        </w:rPr>
      </w:pPr>
    </w:p>
    <w:p>
      <w:pPr>
        <w:ind w:left="2040" w:hanging="535"/>
        <w:spacing w:after="0"/>
        <w:tabs>
          <w:tab w:leader="none" w:pos="2040" w:val="left"/>
        </w:tabs>
        <w:numPr>
          <w:ilvl w:val="1"/>
          <w:numId w:val="7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u w:val="single" w:color="auto"/>
          <w:color w:val="auto"/>
        </w:rPr>
      </w:pPr>
    </w:p>
    <w:p>
      <w:pPr>
        <w:jc w:val="both"/>
        <w:ind w:firstLine="1505"/>
        <w:spacing w:after="0" w:line="253" w:lineRule="auto"/>
        <w:tabs>
          <w:tab w:leader="none" w:pos="2036" w:val="left"/>
        </w:tabs>
        <w:numPr>
          <w:ilvl w:val="1"/>
          <w:numId w:val="7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Term Loan Advances</w:t>
      </w:r>
      <w:r>
        <w:rPr>
          <w:rFonts w:ascii="Times New Roman" w:cs="Times New Roman" w:eastAsia="Times New Roman" w:hAnsi="Times New Roman"/>
          <w:sz w:val="18"/>
          <w:szCs w:val="18"/>
          <w:color w:val="auto"/>
        </w:rPr>
        <w:t>. Subject to the prior satisfaction of all other applicable conditions to the making of a Term Loan Advance set forth in this Agreement (which must be satisfied no later than 12:00 p.m. Pacific time on the applicable Funding Date), to obtain a Term Loan Advance, Borrower shall notify Bank (which notice shall be irrevocable) by 12:00 p.m. Pacific time on the Funding Date of the Term Loan Advance. Such notice shall be made through Bank’s online banking platform by an individual duly authorized by an Administrator, by electronic mail or by telephone. In connection with any such notification, Borrower shall deliver to Bank by electronic mail or through Bank’s online banking platform a completed Payment/Advance Form executed by an Authorized Signer and such other reports and information as Bank may reasonably request. Such Payment/Advance Form and other information (if any) must be received by Bank prior to 12:00 p.m. Pacific time on the requested Funding Date. Bank shall have determined to its satisfaction that any notice of or request for Term Loan Advances has been duly authorized by Borrower. Bank may rely on any notice given by a person whom Bank believes is an Authorized Signer or other individual authorized by an Administrator. Borrower will indemnify Bank for any loss Bank suffers due to such belief or reliance.</w:t>
      </w:r>
    </w:p>
    <w:p>
      <w:pPr>
        <w:spacing w:after="0" w:line="194" w:lineRule="exact"/>
        <w:rPr>
          <w:rFonts w:ascii="Times New Roman" w:cs="Times New Roman" w:eastAsia="Times New Roman" w:hAnsi="Times New Roman"/>
          <w:sz w:val="18"/>
          <w:szCs w:val="18"/>
          <w:u w:val="single" w:color="auto"/>
          <w:color w:val="auto"/>
        </w:rPr>
      </w:pPr>
    </w:p>
    <w:p>
      <w:pPr>
        <w:jc w:val="both"/>
        <w:ind w:firstLine="1505"/>
        <w:spacing w:after="0" w:line="266" w:lineRule="auto"/>
        <w:tabs>
          <w:tab w:leader="none" w:pos="2036" w:val="left"/>
        </w:tabs>
        <w:numPr>
          <w:ilvl w:val="1"/>
          <w:numId w:val="7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Bank shall credit proceeds of a Credit Extension to the Designated Deposit Account. Bank may make Term Loan Advances under this Agreement based on instructions from an Authorized Signer or other individual authorized by an Administrator, or without instructions if such Term Loan Advances are necessary to meet Obligations which have become due.</w:t>
      </w:r>
    </w:p>
    <w:p>
      <w:pPr>
        <w:spacing w:after="0" w:line="171" w:lineRule="exact"/>
        <w:rPr>
          <w:rFonts w:ascii="Times New Roman" w:cs="Times New Roman" w:eastAsia="Times New Roman" w:hAnsi="Times New Roman"/>
          <w:sz w:val="18"/>
          <w:szCs w:val="18"/>
          <w:u w:val="single" w:color="auto"/>
          <w:color w:val="auto"/>
        </w:rPr>
      </w:pPr>
    </w:p>
    <w:p>
      <w:pPr>
        <w:ind w:left="1020" w:hanging="263"/>
        <w:spacing w:after="0"/>
        <w:tabs>
          <w:tab w:leader="none" w:pos="1020" w:val="left"/>
        </w:tabs>
        <w:numPr>
          <w:ilvl w:val="0"/>
          <w:numId w:val="7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CONDITIONS OF CREDIT EXTENSIONS</w:t>
      </w:r>
    </w:p>
    <w:p>
      <w:pPr>
        <w:spacing w:after="0" w:line="225"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 Conditions Precedent to Initial Credit Extension. </w:t>
      </w:r>
      <w:r>
        <w:rPr>
          <w:rFonts w:ascii="Times New Roman" w:cs="Times New Roman" w:eastAsia="Times New Roman" w:hAnsi="Times New Roman"/>
          <w:sz w:val="18"/>
          <w:szCs w:val="18"/>
          <w:color w:val="auto"/>
        </w:rPr>
        <w:t>The effectiveness of this Agreement and Bank’s obligation to make the initial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 shall be subject to the satisfaction or waiver, of the following conditions precedent:</w:t>
      </w:r>
    </w:p>
    <w:p>
      <w:pPr>
        <w:spacing w:after="0" w:line="159" w:lineRule="exact"/>
        <w:rPr>
          <w:sz w:val="20"/>
          <w:szCs w:val="20"/>
          <w:color w:val="auto"/>
        </w:rPr>
      </w:pPr>
    </w:p>
    <w:p>
      <w:pPr>
        <w:ind w:left="2040" w:hanging="535"/>
        <w:spacing w:after="0"/>
        <w:tabs>
          <w:tab w:leader="none" w:pos="2040" w:val="left"/>
        </w:tabs>
        <w:numPr>
          <w:ilvl w:val="0"/>
          <w:numId w:val="7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Bank shall have received each of the following, each of which shall be in form and substance reasonably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satisfactory to Bank:</w:t>
      </w:r>
    </w:p>
    <w:p>
      <w:pPr>
        <w:spacing w:after="0" w:line="207" w:lineRule="exact"/>
        <w:rPr>
          <w:sz w:val="20"/>
          <w:szCs w:val="20"/>
          <w:color w:val="auto"/>
        </w:rPr>
      </w:pPr>
    </w:p>
    <w:p>
      <w:pPr>
        <w:ind w:left="5580" w:right="3020" w:hanging="3326"/>
        <w:spacing w:after="0" w:line="767" w:lineRule="auto"/>
        <w:tabs>
          <w:tab w:leader="none" w:pos="25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Loan Documents required to be delivered on the Effective Date;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3" w:name="page104"/>
    <w:bookmarkEnd w:id="103"/>
    <w:p>
      <w:pPr>
        <w:ind w:left="2560" w:hanging="306"/>
        <w:spacing w:after="0"/>
        <w:tabs>
          <w:tab w:leader="none" w:pos="256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warrant to purchase stock; and</w:t>
      </w:r>
    </w:p>
    <w:p>
      <w:pPr>
        <w:spacing w:after="0" w:line="22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Perfection Certificate of Borrower.</w:t>
      </w:r>
    </w:p>
    <w:p>
      <w:pPr>
        <w:spacing w:after="0" w:line="225"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1"/>
          <w:numId w:val="8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Corporate Borrowing Certificates (or equivalent Officers’ Certificates); Certified Operating Documents; Good Standing Certificates</w:t>
      </w:r>
      <w:r>
        <w:rPr>
          <w:rFonts w:ascii="Times New Roman" w:cs="Times New Roman" w:eastAsia="Times New Roman" w:hAnsi="Times New Roman"/>
          <w:sz w:val="18"/>
          <w:szCs w:val="18"/>
          <w:color w:val="auto"/>
        </w:rPr>
        <w:t>. Bank shall have received (i) certificate duly executed by a Responsible Officer or secretary of Borrower with respect to Borrower attaching:</w:t>
      </w:r>
    </w:p>
    <w:p>
      <w:pPr>
        <w:jc w:val="both"/>
        <w:ind w:firstLine="8"/>
        <w:spacing w:after="0" w:line="255" w:lineRule="auto"/>
        <w:tabs>
          <w:tab w:leader="none" w:pos="29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Documents of Borrower and (B) Borrowing Resolutions, and (ii) long-form good standing certificates of Borrower certified by the Secretary of State of the State of Delaware and good standing certificates from the Secretary of State (or equivalent agency) of each other jurisdiction in which Borrower is qualified to conduct business, in each case as of a date no earlier than 30 days prior to the Effective Date.</w:t>
      </w:r>
    </w:p>
    <w:p>
      <w:pPr>
        <w:spacing w:after="0" w:line="185"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1"/>
          <w:numId w:val="8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Due Diligence</w:t>
      </w:r>
      <w:r>
        <w:rPr>
          <w:rFonts w:ascii="Times New Roman" w:cs="Times New Roman" w:eastAsia="Times New Roman" w:hAnsi="Times New Roman"/>
          <w:sz w:val="18"/>
          <w:szCs w:val="18"/>
          <w:color w:val="auto"/>
        </w:rPr>
        <w:t>. Bank shall have (i) completed a due diligence investigation of the Borrower, and with results, satisfactory to Bank and shall have been given such access to the management, records, books of account, contracts and properties of Borrower and shall have received such financial, business and other information regarding each of the foregoing Persons and businesses as it shall have requested received; (iii) received certified copies, dated as of a recent date, of searches for financing statement filed in the central filing office of the State of Delaware, accompanied by written evidence (including any UCC termination statements) that the Liens indicated in any such financing statements either constitute Permitted Liens or have been or, in connection with the initial Credit Extension, will be terminated or released, and Intellectual Property search results, and (iv) received all asset appraisals, field audits, and such other reports and certifications, as Bank has reasonably requested.</w:t>
      </w:r>
    </w:p>
    <w:p>
      <w:pPr>
        <w:spacing w:after="0" w:line="188" w:lineRule="exact"/>
        <w:rPr>
          <w:rFonts w:ascii="Times New Roman" w:cs="Times New Roman" w:eastAsia="Times New Roman" w:hAnsi="Times New Roman"/>
          <w:sz w:val="18"/>
          <w:szCs w:val="18"/>
          <w:u w:val="single" w:color="auto"/>
          <w:color w:val="auto"/>
        </w:rPr>
      </w:pPr>
    </w:p>
    <w:p>
      <w:pPr>
        <w:jc w:val="both"/>
        <w:ind w:firstLine="1505"/>
        <w:spacing w:after="0" w:line="266" w:lineRule="auto"/>
        <w:tabs>
          <w:tab w:leader="none" w:pos="2036" w:val="left"/>
        </w:tabs>
        <w:numPr>
          <w:ilvl w:val="1"/>
          <w:numId w:val="8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Patriot Act, etc</w:t>
      </w:r>
      <w:r>
        <w:rPr>
          <w:rFonts w:ascii="Times New Roman" w:cs="Times New Roman" w:eastAsia="Times New Roman" w:hAnsi="Times New Roman"/>
          <w:sz w:val="18"/>
          <w:szCs w:val="18"/>
          <w:color w:val="auto"/>
        </w:rPr>
        <w:t>. Bank shall have received all documentation and other information requested (including beneficial ownership information) in connection with applicable “know your customer” and anti-money-laundering rules and regulations, including the USA Patriot Act, and Borrower shall have satisfied all requirements related thereto.</w:t>
      </w:r>
    </w:p>
    <w:p>
      <w:pPr>
        <w:spacing w:after="0" w:line="175" w:lineRule="exact"/>
        <w:rPr>
          <w:rFonts w:ascii="Times New Roman" w:cs="Times New Roman" w:eastAsia="Times New Roman" w:hAnsi="Times New Roman"/>
          <w:sz w:val="18"/>
          <w:szCs w:val="18"/>
          <w:u w:val="single" w:color="auto"/>
          <w:color w:val="auto"/>
        </w:rPr>
      </w:pPr>
    </w:p>
    <w:p>
      <w:pPr>
        <w:ind w:left="2040" w:hanging="535"/>
        <w:spacing w:after="0"/>
        <w:tabs>
          <w:tab w:leader="none" w:pos="2040" w:val="left"/>
        </w:tabs>
        <w:numPr>
          <w:ilvl w:val="1"/>
          <w:numId w:val="8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Bank shall have received payment of the fees and Bank Expenses then due as specified in Section 1.9</w:t>
      </w:r>
    </w:p>
    <w:p>
      <w:pPr>
        <w:spacing w:after="0" w:line="27" w:lineRule="exact"/>
        <w:rPr>
          <w:rFonts w:ascii="Times New Roman" w:cs="Times New Roman" w:eastAsia="Times New Roman" w:hAnsi="Times New Roman"/>
          <w:sz w:val="18"/>
          <w:szCs w:val="18"/>
          <w:u w:val="single" w:color="auto"/>
          <w:color w:val="auto"/>
        </w:rPr>
      </w:pPr>
    </w:p>
    <w:p>
      <w:pPr>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hereof.</w:t>
      </w:r>
    </w:p>
    <w:p>
      <w:pPr>
        <w:spacing w:after="0" w:line="206" w:lineRule="exact"/>
        <w:rPr>
          <w:rFonts w:ascii="Times New Roman" w:cs="Times New Roman" w:eastAsia="Times New Roman" w:hAnsi="Times New Roman"/>
          <w:sz w:val="18"/>
          <w:szCs w:val="18"/>
          <w:u w:val="single" w:color="auto"/>
          <w:color w:val="auto"/>
        </w:rPr>
      </w:pPr>
    </w:p>
    <w:p>
      <w:pPr>
        <w:ind w:firstLine="1505"/>
        <w:spacing w:after="0" w:line="282" w:lineRule="auto"/>
        <w:tabs>
          <w:tab w:leader="none" w:pos="2036" w:val="left"/>
        </w:tabs>
        <w:numPr>
          <w:ilvl w:val="1"/>
          <w:numId w:val="8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Other. On the Effective Date, Bank shall have received such other documents or certificates, and completion of such other matters, as Bank may reasonably deem necessary or appropriate.</w:t>
      </w:r>
    </w:p>
    <w:p>
      <w:pPr>
        <w:spacing w:after="0" w:line="158"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 Conditions Precedent to all Credit Extensions. </w:t>
      </w:r>
      <w:r>
        <w:rPr>
          <w:rFonts w:ascii="Times New Roman" w:cs="Times New Roman" w:eastAsia="Times New Roman" w:hAnsi="Times New Roman"/>
          <w:sz w:val="18"/>
          <w:szCs w:val="18"/>
          <w:color w:val="auto"/>
        </w:rPr>
        <w:t>Bank’s obligation to make each Credit Extension, including the initial Credit Extension,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following conditions precedent:</w:t>
      </w:r>
    </w:p>
    <w:p>
      <w:pPr>
        <w:spacing w:after="0" w:line="159" w:lineRule="exact"/>
        <w:rPr>
          <w:sz w:val="20"/>
          <w:szCs w:val="20"/>
          <w:color w:val="auto"/>
        </w:rPr>
      </w:pPr>
    </w:p>
    <w:p>
      <w:pPr>
        <w:ind w:left="2040" w:hanging="535"/>
        <w:spacing w:after="0"/>
        <w:tabs>
          <w:tab w:leader="none" w:pos="2040" w:val="left"/>
        </w:tabs>
        <w:numPr>
          <w:ilvl w:val="0"/>
          <w:numId w:val="8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receipt of Borrower’s Credit Extension request and the related materials and documents as required by and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505"/>
        <w:spacing w:after="0" w:line="254" w:lineRule="auto"/>
        <w:tabs>
          <w:tab w:leader="none" w:pos="2036" w:val="left"/>
        </w:tabs>
        <w:numPr>
          <w:ilvl w:val="0"/>
          <w:numId w:val="8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the representations and warranties in this Agreement shall be true and correct in all material respects as of the date of any Credit Extension request and as of the Funding Date of each Credit Extension;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 no Default or Event of Default shall have occurred and be continuing or result from the Credit Extension. Each Credit Extension is Borrower’s representation and warranty on that date that the representations and warranties in this Agreement remain true and correct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w:t>
      </w:r>
    </w:p>
    <w:p>
      <w:pPr>
        <w:spacing w:after="0" w:line="191" w:lineRule="exact"/>
        <w:rPr>
          <w:rFonts w:ascii="Times New Roman" w:cs="Times New Roman" w:eastAsia="Times New Roman" w:hAnsi="Times New Roman"/>
          <w:sz w:val="18"/>
          <w:szCs w:val="18"/>
          <w:u w:val="single" w:color="auto"/>
          <w:color w:val="auto"/>
        </w:rPr>
      </w:pPr>
    </w:p>
    <w:p>
      <w:pPr>
        <w:jc w:val="both"/>
        <w:ind w:firstLine="1505"/>
        <w:spacing w:after="0" w:line="266" w:lineRule="auto"/>
        <w:tabs>
          <w:tab w:leader="none" w:pos="2036" w:val="left"/>
        </w:tabs>
        <w:numPr>
          <w:ilvl w:val="0"/>
          <w:numId w:val="8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Bank determines to its satisfaction that there has not been a (i) material impairment in the general affairs, management, results of operation or financial condition of Borrower, nor any material adverse deviation by Borrower from the business plan of Borrower presented to and accepted by Bank as of the Effective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4" w:name="page105"/>
    <w:bookmarkEnd w:id="104"/>
    <w:p>
      <w:pPr>
        <w:jc w:val="both"/>
        <w:spacing w:after="0" w:line="282" w:lineRule="auto"/>
        <w:rPr>
          <w:sz w:val="20"/>
          <w:szCs w:val="20"/>
          <w:color w:val="auto"/>
        </w:rPr>
      </w:pPr>
      <w:r>
        <w:rPr>
          <w:rFonts w:ascii="Times New Roman" w:cs="Times New Roman" w:eastAsia="Times New Roman" w:hAnsi="Times New Roman"/>
          <w:sz w:val="18"/>
          <w:szCs w:val="18"/>
          <w:color w:val="auto"/>
        </w:rPr>
        <w:t>(or from a business plan of Borrower presented to and accepted by Bank subsequent to the Effective Date pursuant to Section 5.3), or (ii) Material Adverse Change.</w:t>
      </w:r>
    </w:p>
    <w:p>
      <w:pPr>
        <w:spacing w:after="0" w:line="15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2.3 Covenant to Deliver. </w:t>
      </w:r>
      <w:r>
        <w:rPr>
          <w:rFonts w:ascii="Times New Roman" w:cs="Times New Roman" w:eastAsia="Times New Roman" w:hAnsi="Times New Roman"/>
          <w:sz w:val="18"/>
          <w:szCs w:val="18"/>
          <w:color w:val="auto"/>
        </w:rPr>
        <w:t>Borrower shall deliver to Bank each item required to be delivered to Bank under this Agreement as a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precedent to any Credit Extension. A Credit 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171" w:lineRule="exact"/>
        <w:rPr>
          <w:sz w:val="20"/>
          <w:szCs w:val="20"/>
          <w:color w:val="auto"/>
        </w:rPr>
      </w:pPr>
    </w:p>
    <w:p>
      <w:pPr>
        <w:ind w:left="760" w:right="7040" w:hanging="3"/>
        <w:spacing w:after="0" w:line="503" w:lineRule="auto"/>
        <w:tabs>
          <w:tab w:leader="none" w:pos="1029" w:val="left"/>
        </w:tabs>
        <w:numPr>
          <w:ilvl w:val="0"/>
          <w:numId w:val="8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 xml:space="preserve">CREATION OF SECURITY INTEREST </w:t>
      </w:r>
      <w:r>
        <w:rPr>
          <w:rFonts w:ascii="Times New Roman" w:cs="Times New Roman" w:eastAsia="Times New Roman" w:hAnsi="Times New Roman"/>
          <w:sz w:val="18"/>
          <w:szCs w:val="18"/>
          <w:b w:val="1"/>
          <w:bCs w:val="1"/>
          <w:color w:val="auto"/>
        </w:rPr>
        <w:t>3.1 Grant of Security Interest.</w:t>
      </w:r>
    </w:p>
    <w:p>
      <w:pPr>
        <w:jc w:val="both"/>
        <w:ind w:firstLine="1505"/>
        <w:spacing w:after="0" w:line="266" w:lineRule="auto"/>
        <w:tabs>
          <w:tab w:leader="none" w:pos="2036" w:val="left"/>
        </w:tabs>
        <w:numPr>
          <w:ilvl w:val="1"/>
          <w:numId w:val="8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Borrower hereby grants Bank, to secure the payment and performance in full of all of the Obligations, a continuing security interest in, and pledges to Bank, the Collateral, wherever located, whether now owned or hereafter acquired or arising, and all proceeds and products thereof.</w:t>
      </w:r>
    </w:p>
    <w:p>
      <w:pPr>
        <w:spacing w:after="0" w:line="175" w:lineRule="exact"/>
        <w:rPr>
          <w:rFonts w:ascii="Times New Roman" w:cs="Times New Roman" w:eastAsia="Times New Roman" w:hAnsi="Times New Roman"/>
          <w:sz w:val="18"/>
          <w:szCs w:val="18"/>
          <w:u w:val="single" w:color="auto"/>
          <w:color w:val="auto"/>
        </w:rPr>
      </w:pPr>
    </w:p>
    <w:p>
      <w:pPr>
        <w:jc w:val="both"/>
        <w:ind w:firstLine="1505"/>
        <w:spacing w:after="0" w:line="261" w:lineRule="auto"/>
        <w:tabs>
          <w:tab w:leader="none" w:pos="2036" w:val="left"/>
        </w:tabs>
        <w:numPr>
          <w:ilvl w:val="1"/>
          <w:numId w:val="8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Borrower acknowledges that it previously has entered, 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to Permitted Liens).</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3.2 Authorization to File Financing Statements. </w:t>
      </w:r>
      <w:r>
        <w:rPr>
          <w:rFonts w:ascii="Times New Roman" w:cs="Times New Roman" w:eastAsia="Times New Roman" w:hAnsi="Times New Roman"/>
          <w:sz w:val="18"/>
          <w:szCs w:val="18"/>
          <w:color w:val="auto"/>
        </w:rPr>
        <w:t>Borrower hereby authorizes Bank to file financing statements, without notice to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all jurisdictions deemed necessary or appropriate by Bank to perfect or protect Bank’s interest or rights hereunder, including a notice that any disposition of the Collateral in violation of this Agreement, by either Borrower or any other Person, shall be deemed to violate the rights of Bank under the Code. Such financing statements may indicate the Collateral as “all assets of the Debtor” or words of similar effect.</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3.3 Termination</w:t>
      </w:r>
      <w:r>
        <w:rPr>
          <w:rFonts w:ascii="Times New Roman" w:cs="Times New Roman" w:eastAsia="Times New Roman" w:hAnsi="Times New Roman"/>
          <w:sz w:val="18"/>
          <w:szCs w:val="18"/>
          <w:color w:val="auto"/>
        </w:rPr>
        <w:t>. If this Agreement is terminated, Bank’s Lien in the Collateral shall continue until the Obligations (other than inchoate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indemnity obligations) are repaid in full in cash. Upon payment in full in cash of the Obligations (other than inchoate indemnity obligations) and at such time as Bank’s obligation to make Credit Extensions has terminated, Bank shall, at Borrower’s sole cost and expense, terminate its security interest in the Collateral and all rights therein shall revert to Borrower and Bank shall take such actions as may be reasonably requested by Borrower to evidence such repayment and release (including delivery of a payoff letter and filings of UCC-3 termination statements (or authorizing Borrower to file such UCC-3 termination statements)). In the event (a) all Obligations (other than inchoate indemnity obligations), except for Bank Services, are satisfied in full, and (b) this Agreement is terminated, Bank shall terminate the security interest granted herein upon Borrower providing cash collateral acceptable to Bank in its sole discretion for Bank Services, if any. In the event such Bank Services consist of outstanding Letters of Credit, Borrower shall provide to Bank cash collateral in an amount equal to at least (i) one hundred five percent (105.0%) of the face amount of all such Letters of Credit denominated in Dollars and</w:t>
      </w:r>
    </w:p>
    <w:p>
      <w:pPr>
        <w:spacing w:after="0" w:line="3" w:lineRule="exact"/>
        <w:rPr>
          <w:sz w:val="20"/>
          <w:szCs w:val="20"/>
          <w:color w:val="auto"/>
        </w:rPr>
      </w:pPr>
    </w:p>
    <w:p>
      <w:pPr>
        <w:jc w:val="both"/>
        <w:ind w:firstLine="8"/>
        <w:spacing w:after="0" w:line="255" w:lineRule="auto"/>
        <w:tabs>
          <w:tab w:leader="none" w:pos="26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hundred ten percent (110.0%) of the Dollar Equivalent of the face amount of all such Letters of Credit denominated in a Foreign Currency, plus, in each case, all interest, fees, and costs due or estimated by Bank in its commercially reasonable discretion to become due in connection therewith, to secure all of the Obligations relating to such Letters of Credit.</w:t>
      </w:r>
    </w:p>
    <w:p>
      <w:pPr>
        <w:spacing w:after="0" w:line="18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8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Borrower represents and warrants as follows: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4.1 Due Organization, Authorization; Power and Authority.</w:t>
      </w:r>
    </w:p>
    <w:p>
      <w:pPr>
        <w:spacing w:after="0" w:line="229" w:lineRule="exact"/>
        <w:rPr>
          <w:sz w:val="20"/>
          <w:szCs w:val="20"/>
          <w:color w:val="auto"/>
        </w:rPr>
      </w:pPr>
    </w:p>
    <w:p>
      <w:pPr>
        <w:jc w:val="both"/>
        <w:ind w:firstLine="1505"/>
        <w:spacing w:after="0" w:line="266" w:lineRule="auto"/>
        <w:tabs>
          <w:tab w:leader="none" w:pos="2036" w:val="left"/>
        </w:tabs>
        <w:numPr>
          <w:ilvl w:val="0"/>
          <w:numId w:val="8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Borrower and each of its Subsidiaries are each duly existing and in good standing as a Registered Organization in their respective jurisdiction of formation and are qualified and licensed to do business and in good standing in any jurisdiction in which the conduct of their respective business or their ownership of property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5" w:name="page106"/>
    <w:bookmarkEnd w:id="105"/>
    <w:p>
      <w:pPr>
        <w:ind w:right="20"/>
        <w:spacing w:after="0" w:line="282" w:lineRule="auto"/>
        <w:rPr>
          <w:sz w:val="20"/>
          <w:szCs w:val="20"/>
          <w:color w:val="auto"/>
        </w:rPr>
      </w:pPr>
      <w:r>
        <w:rPr>
          <w:rFonts w:ascii="Times New Roman" w:cs="Times New Roman" w:eastAsia="Times New Roman" w:hAnsi="Times New Roman"/>
          <w:sz w:val="18"/>
          <w:szCs w:val="18"/>
          <w:color w:val="auto"/>
        </w:rPr>
        <w:t>requires that they be qualified except where the failure to do so could not reasonably be expected to have a material adverse effect on Borrower’s business or operations.</w:t>
      </w:r>
    </w:p>
    <w:p>
      <w:pPr>
        <w:spacing w:after="0" w:line="162" w:lineRule="exact"/>
        <w:rPr>
          <w:sz w:val="20"/>
          <w:szCs w:val="20"/>
          <w:color w:val="auto"/>
        </w:rPr>
      </w:pPr>
    </w:p>
    <w:p>
      <w:pPr>
        <w:jc w:val="both"/>
        <w:ind w:firstLine="1505"/>
        <w:spacing w:after="0" w:line="261" w:lineRule="auto"/>
        <w:tabs>
          <w:tab w:leader="none" w:pos="2036" w:val="left"/>
        </w:tabs>
        <w:numPr>
          <w:ilvl w:val="0"/>
          <w:numId w:val="8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All information set forth on the Perfection Certificate pertaining to Borrower and each of its Subsidiaries is true and correct (it being understood and agreed that Borrower may from time to time update certain information in the Perfection Certificate after the Effective Date to the extent permitted by one or more specific provisions in this Agreement and the Perfection Certificate shall be deemed to be updated to the extent such notice is provided to Bank of such permitted update).</w:t>
      </w:r>
    </w:p>
    <w:p>
      <w:pPr>
        <w:spacing w:after="0" w:line="179" w:lineRule="exact"/>
        <w:rPr>
          <w:rFonts w:ascii="Times New Roman" w:cs="Times New Roman" w:eastAsia="Times New Roman" w:hAnsi="Times New Roman"/>
          <w:sz w:val="18"/>
          <w:szCs w:val="18"/>
          <w:u w:val="single" w:color="auto"/>
          <w:color w:val="auto"/>
        </w:rPr>
      </w:pPr>
    </w:p>
    <w:p>
      <w:pPr>
        <w:jc w:val="both"/>
        <w:ind w:firstLine="1505"/>
        <w:spacing w:after="0" w:line="253" w:lineRule="auto"/>
        <w:tabs>
          <w:tab w:leader="none" w:pos="2036" w:val="left"/>
        </w:tabs>
        <w:numPr>
          <w:ilvl w:val="0"/>
          <w:numId w:val="8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 execution, delivery and performance by Borrower and each of its Subsidiaries of the Loan Documents to which it is a party have been duly authorized, and do not (i) conflict with any of Borrower’s or any such Subsidiary’s organizational documents, (ii) contravene, conflict with, constitute a default under or violate any material Applicable Law, (iii) contravene, conflict with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in connection with the security interests granted pursuant hereto), or (v) conflict with, contravene, constitute a default or breach under, or result in or permit the termination or acceleration of, any material agreement by which Borrower or any of its Subsidiaries is bound. Neither Borrower nor any of its Subsidiaries are in default under any agreement to which it is a party or by which it is bound in which the default could reasonably be expected to have a material adverse effect on Borrower’s or any of its Subsidiary’s business or operations.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4.2 Collateral.</w:t>
      </w:r>
    </w:p>
    <w:p>
      <w:pPr>
        <w:spacing w:after="0" w:line="229" w:lineRule="exact"/>
        <w:rPr>
          <w:sz w:val="20"/>
          <w:szCs w:val="20"/>
          <w:color w:val="auto"/>
        </w:rPr>
      </w:pPr>
    </w:p>
    <w:p>
      <w:pPr>
        <w:jc w:val="both"/>
        <w:ind w:firstLine="1505"/>
        <w:spacing w:after="0" w:line="266" w:lineRule="auto"/>
        <w:tabs>
          <w:tab w:leader="none" w:pos="2036" w:val="left"/>
        </w:tabs>
        <w:numPr>
          <w:ilvl w:val="0"/>
          <w:numId w:val="8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 security interest granted herein is and shall at all times continue to be a first priority perfected security interest in the Collateral (subject to Permitted Liens). Borrower has good title to, rights in, and the power to transfer each item of the Collateral upon which it purports to grant a Lien hereunder, free and clear of any and all Liens except Permitted Liens.</w:t>
      </w:r>
    </w:p>
    <w:p>
      <w:pPr>
        <w:spacing w:after="0" w:line="175" w:lineRule="exact"/>
        <w:rPr>
          <w:rFonts w:ascii="Times New Roman" w:cs="Times New Roman" w:eastAsia="Times New Roman" w:hAnsi="Times New Roman"/>
          <w:sz w:val="18"/>
          <w:szCs w:val="18"/>
          <w:u w:val="single" w:color="auto"/>
          <w:color w:val="auto"/>
        </w:rPr>
      </w:pPr>
    </w:p>
    <w:p>
      <w:pPr>
        <w:jc w:val="both"/>
        <w:ind w:firstLine="1505"/>
        <w:spacing w:after="0" w:line="258" w:lineRule="auto"/>
        <w:tabs>
          <w:tab w:leader="none" w:pos="2036" w:val="left"/>
        </w:tabs>
        <w:numPr>
          <w:ilvl w:val="0"/>
          <w:numId w:val="8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Borrower has no Collateral Accounts at or with any bank or financial institution other than Bank or Bank’s Affiliates except for the Collateral Accounts described in the Perfection Certificate delivered to Bank (or as updated to the extent permitted by one or more specific provisions in this Agreement) in connection herewith and which Borrower has taken such actions as are necessary to give Bank a perfected security interest therein, pursuant to the terms of </w:t>
      </w:r>
      <w:r>
        <w:rPr>
          <w:rFonts w:ascii="Times New Roman" w:cs="Times New Roman" w:eastAsia="Times New Roman" w:hAnsi="Times New Roman"/>
          <w:sz w:val="18"/>
          <w:szCs w:val="18"/>
          <w:u w:val="single" w:color="auto"/>
          <w:color w:val="auto"/>
        </w:rPr>
        <w:t>Section 5.9(c)</w:t>
      </w:r>
      <w:r>
        <w:rPr>
          <w:rFonts w:ascii="Times New Roman" w:cs="Times New Roman" w:eastAsia="Times New Roman" w:hAnsi="Times New Roman"/>
          <w:sz w:val="18"/>
          <w:szCs w:val="18"/>
          <w:color w:val="auto"/>
        </w:rPr>
        <w:t xml:space="preserve"> or will take such actions pursuant to the terms of Section 5.18(c). The Accounts are bona fide, existing obligations of the Account Debtors.</w:t>
      </w:r>
    </w:p>
    <w:p>
      <w:pPr>
        <w:spacing w:after="0" w:line="183" w:lineRule="exact"/>
        <w:rPr>
          <w:rFonts w:ascii="Times New Roman" w:cs="Times New Roman" w:eastAsia="Times New Roman" w:hAnsi="Times New Roman"/>
          <w:sz w:val="18"/>
          <w:szCs w:val="18"/>
          <w:u w:val="single" w:color="auto"/>
          <w:color w:val="auto"/>
        </w:rPr>
      </w:pPr>
    </w:p>
    <w:p>
      <w:pPr>
        <w:jc w:val="both"/>
        <w:ind w:firstLine="1505"/>
        <w:spacing w:after="0" w:line="266" w:lineRule="auto"/>
        <w:tabs>
          <w:tab w:leader="none" w:pos="2036" w:val="left"/>
        </w:tabs>
        <w:numPr>
          <w:ilvl w:val="0"/>
          <w:numId w:val="8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The Collateral is not in the possession of any third party bailee (such as a warehouse) except as otherwise provided in the Perfection Certificate or as permitted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None of the components of the Collateral shall be maintained at locations other than as provided in the Perfection Certificate or as permitted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u w:val="single" w:color="auto"/>
          <w:color w:val="auto"/>
        </w:rPr>
      </w:pPr>
    </w:p>
    <w:p>
      <w:pPr>
        <w:ind w:left="2040" w:hanging="535"/>
        <w:spacing w:after="0"/>
        <w:tabs>
          <w:tab w:leader="none" w:pos="2040" w:val="left"/>
        </w:tabs>
        <w:numPr>
          <w:ilvl w:val="0"/>
          <w:numId w:val="8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All Inventory (if any) is in all material respects of good and marketable quality, free from material defects.</w:t>
      </w:r>
    </w:p>
    <w:p>
      <w:pPr>
        <w:spacing w:after="0" w:line="225" w:lineRule="exact"/>
        <w:rPr>
          <w:rFonts w:ascii="Times New Roman" w:cs="Times New Roman" w:eastAsia="Times New Roman" w:hAnsi="Times New Roman"/>
          <w:sz w:val="18"/>
          <w:szCs w:val="18"/>
          <w:u w:val="single" w:color="auto"/>
          <w:color w:val="auto"/>
        </w:rPr>
      </w:pPr>
    </w:p>
    <w:p>
      <w:pPr>
        <w:jc w:val="both"/>
        <w:ind w:firstLine="1505"/>
        <w:spacing w:after="0" w:line="258" w:lineRule="auto"/>
        <w:tabs>
          <w:tab w:leader="none" w:pos="2036" w:val="left"/>
        </w:tabs>
        <w:numPr>
          <w:ilvl w:val="0"/>
          <w:numId w:val="8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Borrower owns, or possesses the right to use to the extent necessary in its business, all Intellectual Property, licenses and other intangible assets that are used in the conduct of its business as now operated, except to the extent that such failure to own or possess the right to use such asset would not reasonably be expected to have a material adverse effect on Borrower’s business or operations, and no such asset, to the best knowledge of Borrower, conflicts with the valid Intellectual Property, license, or intangible asset of any other Person to the extent that such conflict could reasonably be expected to have a material adverse effect on Borrower’s business or operations.</w:t>
      </w:r>
    </w:p>
    <w:p>
      <w:pPr>
        <w:spacing w:after="0" w:line="183" w:lineRule="exact"/>
        <w:rPr>
          <w:rFonts w:ascii="Times New Roman" w:cs="Times New Roman" w:eastAsia="Times New Roman" w:hAnsi="Times New Roman"/>
          <w:sz w:val="18"/>
          <w:szCs w:val="18"/>
          <w:u w:val="single" w:color="auto"/>
          <w:color w:val="auto"/>
        </w:rPr>
      </w:pPr>
    </w:p>
    <w:p>
      <w:pPr>
        <w:ind w:firstLine="1505"/>
        <w:spacing w:after="0" w:line="282" w:lineRule="auto"/>
        <w:tabs>
          <w:tab w:leader="none" w:pos="2036" w:val="left"/>
        </w:tabs>
        <w:numPr>
          <w:ilvl w:val="0"/>
          <w:numId w:val="8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Except as noted on the Perfection Certificate or for which notice has been given to Bank pursuant to and in accordance with </w:t>
      </w:r>
      <w:r>
        <w:rPr>
          <w:rFonts w:ascii="Times New Roman" w:cs="Times New Roman" w:eastAsia="Times New Roman" w:hAnsi="Times New Roman"/>
          <w:sz w:val="18"/>
          <w:szCs w:val="18"/>
          <w:u w:val="single" w:color="auto"/>
          <w:color w:val="auto"/>
        </w:rPr>
        <w:t>Section 5.11(c)</w:t>
      </w:r>
      <w:r>
        <w:rPr>
          <w:rFonts w:ascii="Times New Roman" w:cs="Times New Roman" w:eastAsia="Times New Roman" w:hAnsi="Times New Roman"/>
          <w:sz w:val="18"/>
          <w:szCs w:val="18"/>
          <w:color w:val="auto"/>
        </w:rPr>
        <w:t>, Borrower is not a party to, nor is it bound by, any Restricted License.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6" w:name="page107"/>
    <w:bookmarkEnd w:id="106"/>
    <w:p>
      <w:pPr>
        <w:ind w:left="760"/>
        <w:spacing w:after="0"/>
        <w:rPr>
          <w:sz w:val="20"/>
          <w:szCs w:val="20"/>
          <w:color w:val="auto"/>
        </w:rPr>
      </w:pPr>
      <w:r>
        <w:rPr>
          <w:rFonts w:ascii="Times New Roman" w:cs="Times New Roman" w:eastAsia="Times New Roman" w:hAnsi="Times New Roman"/>
          <w:sz w:val="18"/>
          <w:szCs w:val="18"/>
          <w:b w:val="1"/>
          <w:bCs w:val="1"/>
          <w:color w:val="auto"/>
        </w:rPr>
        <w:t>4.3 [Intentionally Omitted].</w:t>
      </w:r>
    </w:p>
    <w:p>
      <w:pPr>
        <w:spacing w:after="0" w:line="22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4.4 Litigation. </w:t>
      </w:r>
      <w:r>
        <w:rPr>
          <w:rFonts w:ascii="Times New Roman" w:cs="Times New Roman" w:eastAsia="Times New Roman" w:hAnsi="Times New Roman"/>
          <w:sz w:val="18"/>
          <w:szCs w:val="18"/>
          <w:color w:val="auto"/>
        </w:rPr>
        <w:t>Other than as set forth in the Perfection Certificate or as disclosed to Bank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5.3(h)</w:t>
      </w:r>
      <w:r>
        <w:rPr>
          <w:rFonts w:ascii="Times New Roman" w:cs="Times New Roman" w:eastAsia="Times New Roman" w:hAnsi="Times New Roman"/>
          <w:sz w:val="18"/>
          <w:szCs w:val="18"/>
          <w:color w:val="auto"/>
        </w:rPr>
        <w:t>, there are no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investigations or proceedings pending or, to the knowledge of any Responsible Officer, threatened in writing by or against Borrower or any of its Subsidiaries which would reasonably be expected to result in damages or costs, including settlement payments, to Borrower of more than, individually or in the aggregate, Five Hundred Thousand Dollars ($500,000) not covered by independent third party insurance as to which liability has been accepted by the carrier providing such insurance.</w:t>
      </w:r>
    </w:p>
    <w:p>
      <w:pPr>
        <w:spacing w:after="0" w:line="179"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4.5 Financial Statements; Financial Condition. </w:t>
      </w:r>
      <w:r>
        <w:rPr>
          <w:rFonts w:ascii="Times New Roman" w:cs="Times New Roman" w:eastAsia="Times New Roman" w:hAnsi="Times New Roman"/>
          <w:sz w:val="18"/>
          <w:szCs w:val="18"/>
          <w:color w:val="auto"/>
        </w:rPr>
        <w:t>All consolidated financial statements for Borrower and any of its Subsidiaries delivered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by submission to the Financial Statement Repository or otherwise submitted to Bank fairly present in all material respects Borrower’s consolidated financial condition as at their dates and Borrower’s consolidated results of operations for the periods covered thereby, subject, in the case of unaudited financial statements, to normal year-end adjustments and the absence of footnote disclosures. There has not been any material deterioration in Borrower’s consolidated financial condition since the date of the most recent financial statements submitted to the Financial Statement Repository or otherwise submitted to Bank.</w:t>
      </w:r>
    </w:p>
    <w:p>
      <w:pPr>
        <w:spacing w:after="0" w:line="182"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4.6 Solvency. </w:t>
      </w:r>
      <w:r>
        <w:rPr>
          <w:rFonts w:ascii="Times New Roman" w:cs="Times New Roman" w:eastAsia="Times New Roman" w:hAnsi="Times New Roman"/>
          <w:sz w:val="18"/>
          <w:szCs w:val="18"/>
          <w:color w:val="auto"/>
        </w:rPr>
        <w:t>The fair salable value of Borrower’s consolidated assets (including goodwill minus disposition costs) exceeds the fair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Borrower’s liabilities; Borrower is not left with unreasonably small capital after the transactions in this Agreement; and Borrower and each of its Subsidiaries are able to pay their debts (including trade debts) as they mature.</w:t>
      </w:r>
    </w:p>
    <w:p>
      <w:pPr>
        <w:spacing w:after="0" w:line="17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4.7 Regulatory Compliance. </w:t>
      </w:r>
      <w:r>
        <w:rPr>
          <w:rFonts w:ascii="Times New Roman" w:cs="Times New Roman" w:eastAsia="Times New Roman" w:hAnsi="Times New Roman"/>
          <w:sz w:val="18"/>
          <w:szCs w:val="18"/>
          <w:color w:val="auto"/>
        </w:rPr>
        <w:t>Borrower is not required to register as an “investment company” under the Investment Company Act of 1940,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Borrower is not engaged as one of its important activities in extending credit for margin stock (under Regulations X, T and U of the Federal Reserve Board of Governors). Borrower and each of its Subsidiaries have complied with all Applicable Law, and have not violated any Applicable Law, except where the non-compliance with which or violation of which could not reasonably be expected to have a material adverse effect on Borrower’s business or operations. Borrower and each of its Subsidiaries have duly complied with, and their respective facilities, business, assets, property, leaseholds, real property and Equipment are in compliance with, Environmental Laws, except where the failure to do so could not reasonably be expected to have a material adverse effect on Borrower’s business or operations; there have been no outstanding citations, notices or orders of non-compliance issued to Borrower or any of its Subsidiaries or relating to their respective facilities, businesses, assets, property, leaseholds, real property or Equipment under such Environmental Laws that could reasonably be expected to have a material adverse effect on Borrower’s business or operations. Borrower and each of its Subsidiaries have obtained all consents, approvals and authorizations of, made all declarations or filings with, and given all notices to, all Governmental Authorities that are necessary to continue their respective businesses as currently conducted.</w:t>
      </w:r>
    </w:p>
    <w:p>
      <w:pPr>
        <w:spacing w:after="0" w:line="182"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4.8 Subsidiaries; Investments. </w:t>
      </w:r>
      <w:r>
        <w:rPr>
          <w:rFonts w:ascii="Times New Roman" w:cs="Times New Roman" w:eastAsia="Times New Roman" w:hAnsi="Times New Roman"/>
          <w:sz w:val="18"/>
          <w:szCs w:val="18"/>
          <w:color w:val="auto"/>
        </w:rPr>
        <w:t>Borrower does not own any stock, unit, membership interest, partnership, or other ownership interest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securities except for Permitted Investments.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4.9 Tax Returns and Payments; Pension Contributions.</w:t>
      </w:r>
    </w:p>
    <w:p>
      <w:pPr>
        <w:spacing w:after="0" w:line="229" w:lineRule="exact"/>
        <w:rPr>
          <w:sz w:val="20"/>
          <w:szCs w:val="20"/>
          <w:color w:val="auto"/>
        </w:rPr>
      </w:pPr>
    </w:p>
    <w:p>
      <w:pPr>
        <w:jc w:val="both"/>
        <w:ind w:firstLine="1505"/>
        <w:spacing w:after="0" w:line="254" w:lineRule="auto"/>
        <w:tabs>
          <w:tab w:leader="none" w:pos="2036" w:val="left"/>
        </w:tabs>
        <w:numPr>
          <w:ilvl w:val="1"/>
          <w:numId w:val="8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Borrower and each of its Subsidiaries have timely filed, or submitted extensions for, all required federal and state income tax and all other material tax returns and reports, and Borrower and each of its Subsidiaries have timely paid all federal and state income taxes and all other material foreign, federal, state and local taxes, assessments, deposits and contributions owed by Borrower and each of its Subsidiaries except (i) to the extent such taxes, assessments, deposits or contributions are being contested in good faith by appropriate proceedings promptly instituted and diligently conducted, so long as such reserve or other appropriate provision, if any, as shall be required in conformity with GAAP shall have been made therefor, or</w:t>
      </w:r>
    </w:p>
    <w:p>
      <w:pPr>
        <w:spacing w:after="0" w:line="3" w:lineRule="exact"/>
        <w:rPr>
          <w:rFonts w:ascii="Times New Roman" w:cs="Times New Roman" w:eastAsia="Times New Roman" w:hAnsi="Times New Roman"/>
          <w:sz w:val="18"/>
          <w:szCs w:val="18"/>
          <w:u w:val="single" w:color="auto"/>
          <w:color w:val="auto"/>
        </w:rPr>
      </w:pPr>
    </w:p>
    <w:p>
      <w:pPr>
        <w:jc w:val="both"/>
        <w:ind w:firstLine="8"/>
        <w:spacing w:after="0" w:line="255" w:lineRule="auto"/>
        <w:tabs>
          <w:tab w:leader="none" w:pos="27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taxes, assessments, deposits and contributions do not, individually or in the aggregate, exceed Fifty Thousand Dollars ($50,000). Borrower is unaware of any claims or adjustments proposed for any of Borrower’s or any of its Subsidiary’s prior tax years which could result in additional taxes becoming due and payable by Borrower or any of its Subsidiaries in excess of Fifty Thousand Dollars ($50,000) in the aggregate.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jc w:val="both"/>
        <w:ind w:firstLine="1505"/>
        <w:spacing w:after="0" w:line="258" w:lineRule="auto"/>
        <w:tabs>
          <w:tab w:leader="none" w:pos="2036" w:val="left"/>
        </w:tabs>
        <w:numPr>
          <w:ilvl w:val="0"/>
          <w:numId w:val="9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Borrower and each of its Subsidiaries have paid all amounts necessary to fund all present pension, profit sharing and deferred compensation plans in accordance with their terms, and neither Borrower nor any of its Subsidiaries has withdrawn from participation in, and has not permitted partial or complete termination of, or permitted the occurrence of any other event with respect to, any such plan which could reasonably be expected to result in any liability of Borrower or any of its Subsidiaries, including any liability to the Pension Benefit Guaranty Corporation or its successors or any other Governmental Authority.</w:t>
      </w:r>
    </w:p>
    <w:p>
      <w:pPr>
        <w:spacing w:after="0" w:line="17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4.10Full Disclosure. </w:t>
      </w:r>
      <w:r>
        <w:rPr>
          <w:rFonts w:ascii="Times New Roman" w:cs="Times New Roman" w:eastAsia="Times New Roman" w:hAnsi="Times New Roman"/>
          <w:sz w:val="18"/>
          <w:szCs w:val="18"/>
          <w:color w:val="auto"/>
        </w:rPr>
        <w:t>No written representation, warranty or other statement of Borrower or any of its Subsidiaries in any written report,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or written statement submitted to the Financial Statement Repository or otherwise submitted to Bank, as of the date such representation, warranty, or other statement was made, taken together with all such reports, certificates and written statements submitted to the Financial Statement Repository or otherwise submitted to Bank and Borrower’s filings with the SEC, contains any untrue statement of a material fact or omits to state a material fact necessary to make the statements contained in the written reports, written certificates or written statements not misleading in light of the circumstances under which they were made (it being recognized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w:t>
      </w:r>
    </w:p>
    <w:p>
      <w:pPr>
        <w:spacing w:after="0" w:line="18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4.11Sanctions</w:t>
      </w:r>
      <w:r>
        <w:rPr>
          <w:rFonts w:ascii="Times New Roman" w:cs="Times New Roman" w:eastAsia="Times New Roman" w:hAnsi="Times New Roman"/>
          <w:sz w:val="18"/>
          <w:szCs w:val="18"/>
          <w:color w:val="auto"/>
        </w:rPr>
        <w:t>. Neither Borrower nor any of its Subsidiaries is: (a) in violation of any Sanctions; or (b) a Sanctioned Person. Neither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any of its Subsidiaries, directors, officers, employees, agents or Affiliates: (i) conducts any business or engages in any transaction or dealing with any Sanctioned Person, including making or receiving any contribution of funds, goods or services to or for the benefit of any Sanctioned Person; (ii) deals in, or otherwise engages in any transaction relating to, any property or interests in property blocked pursuant to any Sanctions; (iii) engages in or conspires to engage in any transaction that evades or avoids, or has the purpose of evading or avoiding, or attempts to violate, any of the prohibitions set forth in any Sanctions; or (iv) otherwise engages in any transaction that could cause Bank to violate any Sanctions.</w:t>
      </w:r>
    </w:p>
    <w:p>
      <w:pPr>
        <w:spacing w:after="0" w:line="18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4.12Healthcare Permits</w:t>
      </w:r>
      <w:r>
        <w:rPr>
          <w:rFonts w:ascii="Times New Roman" w:cs="Times New Roman" w:eastAsia="Times New Roman" w:hAnsi="Times New Roman"/>
          <w:sz w:val="18"/>
          <w:szCs w:val="18"/>
          <w:color w:val="auto"/>
        </w:rPr>
        <w:t>. (a) Borrower and each of its Subsidiaries have obtained all Healthcare Permits and other rights from, and have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declarations and filings with, all applicable Governmental Authorities, all self-regulatory authorities and all courts and other tribunals necessary to engage in the management and/or operation of their respective businesses; (b) each such Healthcare Permit is valid and in full force and effect, and Borrower and each of its Subsidiaries are in compliance with the terms and conditions of all such Healthcare Permits; and (c) neither Borrower nor any of its Subsidiaries has received notice from any Governmental Authority with respect to the revocation, suspension, restriction, limitation or termination of any Healthcare Permit nor, to the knowledge of Borrower or any of its Subsidiaries, is any such action proposed or threatened in writing.</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4.13Compliance with Healthcare Laws.</w:t>
      </w:r>
    </w:p>
    <w:p>
      <w:pPr>
        <w:spacing w:after="0" w:line="229" w:lineRule="exact"/>
        <w:rPr>
          <w:sz w:val="20"/>
          <w:szCs w:val="20"/>
          <w:color w:val="auto"/>
        </w:rPr>
      </w:pPr>
    </w:p>
    <w:p>
      <w:pPr>
        <w:jc w:val="both"/>
        <w:ind w:firstLine="1505"/>
        <w:spacing w:after="0" w:line="261" w:lineRule="auto"/>
        <w:tabs>
          <w:tab w:leader="none" w:pos="2036" w:val="left"/>
        </w:tabs>
        <w:numPr>
          <w:ilvl w:val="1"/>
          <w:numId w:val="9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Borrower is in compliance in all material respects with all applicable Healthcare Laws. Without limiting the generality of the foregoing, Borrower has not received written notice by a Governmental Authority of any violation (or of any investigation, audit, or other proceeding involving allegations of any violation) of any Healthcare Laws, and no investigation, inspection, audit or other proceeding involving allegations of any violation is, to the knowledge of Borrower, threatened in writing or contemplated.</w:t>
      </w:r>
    </w:p>
    <w:p>
      <w:pPr>
        <w:spacing w:after="0" w:line="179" w:lineRule="exact"/>
        <w:rPr>
          <w:rFonts w:ascii="Times New Roman" w:cs="Times New Roman" w:eastAsia="Times New Roman" w:hAnsi="Times New Roman"/>
          <w:sz w:val="18"/>
          <w:szCs w:val="18"/>
          <w:u w:val="single" w:color="auto"/>
          <w:color w:val="auto"/>
        </w:rPr>
      </w:pPr>
    </w:p>
    <w:p>
      <w:pPr>
        <w:jc w:val="both"/>
        <w:ind w:firstLine="1505"/>
        <w:spacing w:after="0" w:line="266" w:lineRule="auto"/>
        <w:tabs>
          <w:tab w:leader="none" w:pos="2036" w:val="left"/>
        </w:tabs>
        <w:numPr>
          <w:ilvl w:val="1"/>
          <w:numId w:val="9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To the knowledge of Borrower, Borrower is not in default or violation in any material respect of any Healthcare Law which is applicable to Borrower or its respective assets or the conduct of its respective businesses and Borrower has not been debarred or excluded from participation under a state or federal health care program, including any state or federal workers compensation program.</w:t>
      </w:r>
    </w:p>
    <w:p>
      <w:pPr>
        <w:spacing w:after="0" w:line="175" w:lineRule="exact"/>
        <w:rPr>
          <w:rFonts w:ascii="Times New Roman" w:cs="Times New Roman" w:eastAsia="Times New Roman" w:hAnsi="Times New Roman"/>
          <w:sz w:val="18"/>
          <w:szCs w:val="18"/>
          <w:u w:val="single" w:color="auto"/>
          <w:color w:val="auto"/>
        </w:rPr>
      </w:pPr>
    </w:p>
    <w:p>
      <w:pPr>
        <w:ind w:firstLine="1505"/>
        <w:spacing w:after="0" w:line="282" w:lineRule="auto"/>
        <w:tabs>
          <w:tab w:leader="none" w:pos="2036" w:val="left"/>
        </w:tabs>
        <w:numPr>
          <w:ilvl w:val="1"/>
          <w:numId w:val="9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Borrower is not a party to any corporate integrity agreements, deferred prosecution agreements, monitoring agreements, consent decrees, settlement orders or similar agreements with or imposed by any Governmental Authority.</w:t>
      </w:r>
    </w:p>
    <w:p>
      <w:pPr>
        <w:spacing w:after="0" w:line="157" w:lineRule="exact"/>
        <w:rPr>
          <w:rFonts w:ascii="Times New Roman" w:cs="Times New Roman" w:eastAsia="Times New Roman" w:hAnsi="Times New Roman"/>
          <w:sz w:val="18"/>
          <w:szCs w:val="18"/>
          <w:u w:val="single" w:color="auto"/>
          <w:color w:val="auto"/>
        </w:rPr>
      </w:pPr>
    </w:p>
    <w:p>
      <w:pPr>
        <w:ind w:left="1020" w:hanging="263"/>
        <w:spacing w:after="0"/>
        <w:tabs>
          <w:tab w:leader="none" w:pos="1020" w:val="left"/>
        </w:tabs>
        <w:numPr>
          <w:ilvl w:val="0"/>
          <w:numId w:val="93"/>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8" w:name="page109"/>
    <w:bookmarkEnd w:id="108"/>
    <w:p>
      <w:pPr>
        <w:ind w:left="760"/>
        <w:spacing w:after="0"/>
        <w:rPr>
          <w:sz w:val="20"/>
          <w:szCs w:val="20"/>
          <w:color w:val="auto"/>
        </w:rPr>
      </w:pPr>
      <w:r>
        <w:rPr>
          <w:rFonts w:ascii="Times New Roman" w:cs="Times New Roman" w:eastAsia="Times New Roman" w:hAnsi="Times New Roman"/>
          <w:sz w:val="18"/>
          <w:szCs w:val="18"/>
          <w:color w:val="auto"/>
        </w:rPr>
        <w:t>Borrower shall do all of the following:</w:t>
      </w:r>
    </w:p>
    <w:p>
      <w:pPr>
        <w:spacing w:after="0" w:line="22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 Use of Proceeds. </w:t>
      </w:r>
      <w:r>
        <w:rPr>
          <w:rFonts w:ascii="Times New Roman" w:cs="Times New Roman" w:eastAsia="Times New Roman" w:hAnsi="Times New Roman"/>
          <w:sz w:val="18"/>
          <w:szCs w:val="18"/>
          <w:color w:val="auto"/>
        </w:rPr>
        <w:t>Cause the proceeds of the Credit Extensions to be used solely (a) as working capital or (b) to fund its general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and not for personal, family, household or agricultural purposes, and not in furtherance of an offer, payment, promise to pay, or authorization of the payment or giving of money, or anything else of value, to any Person in violation of any applicable anti-corruption law.</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5.2 Government Compliance.</w:t>
      </w:r>
    </w:p>
    <w:p>
      <w:pPr>
        <w:spacing w:after="0" w:line="229" w:lineRule="exact"/>
        <w:rPr>
          <w:sz w:val="20"/>
          <w:szCs w:val="20"/>
          <w:color w:val="auto"/>
        </w:rPr>
      </w:pPr>
    </w:p>
    <w:p>
      <w:pPr>
        <w:jc w:val="both"/>
        <w:ind w:firstLine="1505"/>
        <w:spacing w:after="0" w:line="258" w:lineRule="auto"/>
        <w:tabs>
          <w:tab w:leader="none" w:pos="2036" w:val="left"/>
        </w:tabs>
        <w:numPr>
          <w:ilvl w:val="0"/>
          <w:numId w:val="9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Maintain its and all of its Subsidiaries’ legal existence (except as permitted under Section 6.3 with respect to Subsidiaries only) and good standing in their respective jurisdictions of formation and maintain qualification in each jurisdiction in which the failure to so qualify could reasonably be expected to have a material adverse effect on Borrower’s business or operations. Borrower shall comply, and have each Subsidiary comply with all Applicable Law, except where the non-compliance with which could not reasonably be expected to have a material adverse effect on Borrower’s business or operations.</w:t>
      </w:r>
    </w:p>
    <w:p>
      <w:pPr>
        <w:spacing w:after="0" w:line="183" w:lineRule="exact"/>
        <w:rPr>
          <w:rFonts w:ascii="Times New Roman" w:cs="Times New Roman" w:eastAsia="Times New Roman" w:hAnsi="Times New Roman"/>
          <w:sz w:val="18"/>
          <w:szCs w:val="18"/>
          <w:u w:val="single" w:color="auto"/>
          <w:color w:val="auto"/>
        </w:rPr>
      </w:pPr>
    </w:p>
    <w:p>
      <w:pPr>
        <w:jc w:val="both"/>
        <w:ind w:firstLine="1505"/>
        <w:spacing w:after="0" w:line="266" w:lineRule="auto"/>
        <w:tabs>
          <w:tab w:leader="none" w:pos="2036" w:val="left"/>
        </w:tabs>
        <w:numPr>
          <w:ilvl w:val="0"/>
          <w:numId w:val="9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Obtain all of the Governmental Approvals necessary for the performance by Borrower and each of its Subsidiaries of their obligations under the Loan Documents to which it is a party, including any grant of a security interest in the Collateral to Bank. Borrower shall promptly provide copies of any such obtained Governmental Approvals to Bank.</w:t>
      </w:r>
    </w:p>
    <w:p>
      <w:pPr>
        <w:spacing w:after="0" w:line="175" w:lineRule="exact"/>
        <w:rPr>
          <w:rFonts w:ascii="Times New Roman" w:cs="Times New Roman" w:eastAsia="Times New Roman" w:hAnsi="Times New Roman"/>
          <w:sz w:val="18"/>
          <w:szCs w:val="18"/>
          <w:u w:val="single" w:color="auto"/>
          <w:color w:val="auto"/>
        </w:rPr>
      </w:pPr>
    </w:p>
    <w:p>
      <w:pPr>
        <w:jc w:val="both"/>
        <w:ind w:firstLine="1505"/>
        <w:spacing w:after="0" w:line="254" w:lineRule="auto"/>
        <w:tabs>
          <w:tab w:leader="none" w:pos="2036" w:val="left"/>
        </w:tabs>
        <w:numPr>
          <w:ilvl w:val="0"/>
          <w:numId w:val="9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Cause the operations and property of Borrower, each of its Subsidiaries to comply in all material respects with all applicable Healthcare Laws. Without limiting the foregoing, the operations and property of Borrower and each of its Subsidiaries shall comply, to the extent applicable, with HIPAA in all material respects. Borrower established and maintains a corporate compliance program that (i) addresses the material Requirements of Law, including all applicable Healthcare Laws, of Governmental Authorities having jurisdiction over its business and operations, and (ii) has been structured to account for any applicable guidance issued by the U.S. Department of Health and Human Services regarding characteristics of effective corporate compliance programs. As of the Effective Date, Borrower has delivered to Bank an accurate and complete copy of each material report, study, survey or other document of which Borrower has knowledge that addresses or otherwise relates to the compliance by Borrower and each of its Subsidiaries, with applicable Healthcare Laws.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5.3 Financial Statements, Reports. </w:t>
      </w:r>
      <w:r>
        <w:rPr>
          <w:rFonts w:ascii="Times New Roman" w:cs="Times New Roman" w:eastAsia="Times New Roman" w:hAnsi="Times New Roman"/>
          <w:sz w:val="18"/>
          <w:szCs w:val="18"/>
          <w:color w:val="auto"/>
        </w:rPr>
        <w:t>Deliver to Bank by submitting to the Financial Statement Repository:</w:t>
      </w:r>
    </w:p>
    <w:p>
      <w:pPr>
        <w:spacing w:after="0" w:line="229" w:lineRule="exact"/>
        <w:rPr>
          <w:sz w:val="20"/>
          <w:szCs w:val="20"/>
          <w:color w:val="auto"/>
        </w:rPr>
      </w:pPr>
    </w:p>
    <w:p>
      <w:pPr>
        <w:ind w:right="20" w:firstLine="1505"/>
        <w:spacing w:after="0" w:line="282" w:lineRule="auto"/>
        <w:tabs>
          <w:tab w:leader="none" w:pos="2036" w:val="left"/>
        </w:tabs>
        <w:numPr>
          <w:ilvl w:val="0"/>
          <w:numId w:val="9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Bank Account Statements</w:t>
      </w:r>
      <w:r>
        <w:rPr>
          <w:rFonts w:ascii="Times New Roman" w:cs="Times New Roman" w:eastAsia="Times New Roman" w:hAnsi="Times New Roman"/>
          <w:sz w:val="18"/>
          <w:szCs w:val="18"/>
          <w:color w:val="auto"/>
        </w:rPr>
        <w:t>. Within thirty (30) days after the end of each calendar month, a copy of Borrower’s account statement for the most recently ended calendar month for each bank account maintained outside of Bank;</w:t>
      </w:r>
    </w:p>
    <w:p>
      <w:pPr>
        <w:spacing w:after="0" w:line="161" w:lineRule="exact"/>
        <w:rPr>
          <w:rFonts w:ascii="Times New Roman" w:cs="Times New Roman" w:eastAsia="Times New Roman" w:hAnsi="Times New Roman"/>
          <w:sz w:val="18"/>
          <w:szCs w:val="18"/>
          <w:u w:val="single" w:color="auto"/>
          <w:color w:val="auto"/>
        </w:rPr>
      </w:pPr>
    </w:p>
    <w:p>
      <w:pPr>
        <w:jc w:val="both"/>
        <w:ind w:firstLine="1505"/>
        <w:spacing w:after="0" w:line="261" w:lineRule="auto"/>
        <w:tabs>
          <w:tab w:leader="none" w:pos="2036" w:val="left"/>
        </w:tabs>
        <w:numPr>
          <w:ilvl w:val="0"/>
          <w:numId w:val="9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Compliance Statement</w:t>
      </w:r>
      <w:r>
        <w:rPr>
          <w:rFonts w:ascii="Times New Roman" w:cs="Times New Roman" w:eastAsia="Times New Roman" w:hAnsi="Times New Roman"/>
          <w:sz w:val="18"/>
          <w:szCs w:val="18"/>
          <w:color w:val="auto"/>
        </w:rPr>
        <w:t xml:space="preserve">. Together with the statements set forth in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a duly completed Compliance Statement, confirming that as of the end of such month or quarter (as applicable), Borrower was in full compliance with all of the terms and conditions of this Agreement, and setting forth calculations showing compliance with the financial covenants set forth in this Agreement (if any) and such other information as Bank may reasonably request;</w:t>
      </w:r>
    </w:p>
    <w:p>
      <w:pPr>
        <w:spacing w:after="0" w:line="179" w:lineRule="exact"/>
        <w:rPr>
          <w:rFonts w:ascii="Times New Roman" w:cs="Times New Roman" w:eastAsia="Times New Roman" w:hAnsi="Times New Roman"/>
          <w:sz w:val="18"/>
          <w:szCs w:val="18"/>
          <w:u w:val="single" w:color="auto"/>
          <w:color w:val="auto"/>
        </w:rPr>
      </w:pPr>
    </w:p>
    <w:p>
      <w:pPr>
        <w:jc w:val="both"/>
        <w:ind w:firstLine="1505"/>
        <w:spacing w:after="0" w:line="258" w:lineRule="auto"/>
        <w:tabs>
          <w:tab w:leader="none" w:pos="2036" w:val="left"/>
        </w:tabs>
        <w:numPr>
          <w:ilvl w:val="0"/>
          <w:numId w:val="9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Annual Operating Budget and Financial Projections</w:t>
      </w:r>
      <w:r>
        <w:rPr>
          <w:rFonts w:ascii="Times New Roman" w:cs="Times New Roman" w:eastAsia="Times New Roman" w:hAnsi="Times New Roman"/>
          <w:sz w:val="18"/>
          <w:szCs w:val="18"/>
          <w:color w:val="auto"/>
        </w:rPr>
        <w:t>. Within forty-five (45) days after the end of each fiscal year of Borrower, and within ten (10) days of any updates or amendments thereto approved by Borrower’s Board, (i) annual operating budgets (including income statements and cash flow statements, by month) for the then-current fiscal year of Borrower, and (ii) annual financial projections for the then-current fiscal year (on a quarterly basis), as approved by the Board in the case of the budget and as reviewed by the Board in the case of projections, together with any related business forecasts used in the preparation of such annual financial projections;</w:t>
      </w:r>
    </w:p>
    <w:p>
      <w:pPr>
        <w:spacing w:after="0" w:line="183" w:lineRule="exact"/>
        <w:rPr>
          <w:rFonts w:ascii="Times New Roman" w:cs="Times New Roman" w:eastAsia="Times New Roman" w:hAnsi="Times New Roman"/>
          <w:sz w:val="18"/>
          <w:szCs w:val="18"/>
          <w:u w:val="single" w:color="auto"/>
          <w:color w:val="auto"/>
        </w:rPr>
      </w:pPr>
    </w:p>
    <w:p>
      <w:pPr>
        <w:jc w:val="both"/>
        <w:ind w:firstLine="1505"/>
        <w:spacing w:after="0" w:line="266" w:lineRule="auto"/>
        <w:tabs>
          <w:tab w:leader="none" w:pos="2036" w:val="left"/>
        </w:tabs>
        <w:numPr>
          <w:ilvl w:val="0"/>
          <w:numId w:val="9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Quarterly and Annual Financial Statements</w:t>
      </w:r>
      <w:r>
        <w:rPr>
          <w:rFonts w:ascii="Times New Roman" w:cs="Times New Roman" w:eastAsia="Times New Roman" w:hAnsi="Times New Roman"/>
          <w:sz w:val="18"/>
          <w:szCs w:val="18"/>
          <w:color w:val="auto"/>
        </w:rPr>
        <w:t>. (i) As soon as available, and in any event within forty-five (45) days after the end of the first three fiscal quarters of Borrower, company prepared consolidated balance sheet, cash flow statement, and income statement covering Borrower’s and its Subsidiaries’ operations for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9" w:name="page110"/>
    <w:bookmarkEnd w:id="109"/>
    <w:p>
      <w:pPr>
        <w:spacing w:after="0" w:line="261" w:lineRule="auto"/>
        <w:rPr>
          <w:sz w:val="20"/>
          <w:szCs w:val="20"/>
          <w:color w:val="auto"/>
        </w:rPr>
      </w:pPr>
      <w:r>
        <w:rPr>
          <w:rFonts w:ascii="Times New Roman" w:cs="Times New Roman" w:eastAsia="Times New Roman" w:hAnsi="Times New Roman"/>
          <w:sz w:val="18"/>
          <w:szCs w:val="18"/>
          <w:color w:val="auto"/>
        </w:rPr>
        <w:t>such quarter certified by a Responsible Officer (which certification shall be satisfied by the officer certifications included in Borrower’s Quarterly Report on Form 10-Q) and consistent with those filed with the SEC (the “</w:t>
      </w:r>
      <w:r>
        <w:rPr>
          <w:rFonts w:ascii="Times New Roman" w:cs="Times New Roman" w:eastAsia="Times New Roman" w:hAnsi="Times New Roman"/>
          <w:sz w:val="18"/>
          <w:szCs w:val="18"/>
          <w:b w:val="1"/>
          <w:bCs w:val="1"/>
          <w:color w:val="auto"/>
        </w:rPr>
        <w:t>Quarterly Financial Statements</w:t>
      </w:r>
      <w:r>
        <w:rPr>
          <w:rFonts w:ascii="Times New Roman" w:cs="Times New Roman" w:eastAsia="Times New Roman" w:hAnsi="Times New Roman"/>
          <w:sz w:val="18"/>
          <w:szCs w:val="18"/>
          <w:color w:val="auto"/>
        </w:rPr>
        <w:t>”);and (ii) as soon as available, but no later than ninety</w:t>
      </w:r>
    </w:p>
    <w:p>
      <w:pPr>
        <w:ind w:firstLine="8"/>
        <w:spacing w:after="0" w:line="260" w:lineRule="auto"/>
        <w:tabs>
          <w:tab w:leader="none" w:pos="36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last day of Borrower’s fiscal year, audited consolidated financial statements of Borrower and its Subsidiaries prepared in accordance with GAAP;</w:t>
      </w:r>
    </w:p>
    <w:p>
      <w:pPr>
        <w:spacing w:after="0" w:line="181" w:lineRule="exact"/>
        <w:rPr>
          <w:rFonts w:ascii="Times New Roman" w:cs="Times New Roman" w:eastAsia="Times New Roman" w:hAnsi="Times New Roman"/>
          <w:sz w:val="18"/>
          <w:szCs w:val="18"/>
          <w:color w:val="auto"/>
        </w:rPr>
      </w:pPr>
    </w:p>
    <w:p>
      <w:pPr>
        <w:jc w:val="both"/>
        <w:ind w:firstLine="1505"/>
        <w:spacing w:after="0" w:line="256" w:lineRule="auto"/>
        <w:tabs>
          <w:tab w:leader="none" w:pos="2036" w:val="left"/>
        </w:tabs>
        <w:numPr>
          <w:ilvl w:val="1"/>
          <w:numId w:val="9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Within five (5) days of filing, notification of the filing and copies of all periodic and other reports, proxy statements and other materials filed by Borrower and/or any of its Subsidiaries or any Guarantor with the SEC, any Governmental Authority succeeding to any or all of the functions of the SEC, or distributed to its shareholders generally, as the case may be. Documents required to be delivered pursuant to the terms of this Agreement (to the extent any such documents are included in materials otherwise filed with the SEC) may be delivered electronically and if so delivered, shall be deemed to have been delivered on the date on which Borrower or any of its Subsidiaries posts such documents, or provides a link thereto, on Borrower’s or any of its Subsidiaries’ website on the internet at Borrower’s or any of its Subsidiaries’ website address;</w:t>
      </w:r>
    </w:p>
    <w:p>
      <w:pPr>
        <w:spacing w:after="0" w:line="187" w:lineRule="exact"/>
        <w:rPr>
          <w:rFonts w:ascii="Times New Roman" w:cs="Times New Roman" w:eastAsia="Times New Roman" w:hAnsi="Times New Roman"/>
          <w:sz w:val="18"/>
          <w:szCs w:val="18"/>
          <w:u w:val="single" w:color="auto"/>
          <w:color w:val="auto"/>
        </w:rPr>
      </w:pPr>
    </w:p>
    <w:p>
      <w:pPr>
        <w:jc w:val="both"/>
        <w:ind w:firstLine="1505"/>
        <w:spacing w:after="0" w:line="266" w:lineRule="auto"/>
        <w:tabs>
          <w:tab w:leader="none" w:pos="2036" w:val="left"/>
        </w:tabs>
        <w:numPr>
          <w:ilvl w:val="1"/>
          <w:numId w:val="9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Security Holder and Subordinated Debt Holder Reports</w:t>
      </w:r>
      <w:r>
        <w:rPr>
          <w:rFonts w:ascii="Times New Roman" w:cs="Times New Roman" w:eastAsia="Times New Roman" w:hAnsi="Times New Roman"/>
          <w:sz w:val="18"/>
          <w:szCs w:val="18"/>
          <w:color w:val="auto"/>
        </w:rPr>
        <w:t>. Within five (5) days of delivery, copies of all material statements, reports and notices made available to Borrower’s security holders or to any holders of Subordinated Debt (solely in their capacities as security holders or holders of Subordinated Debt and not in any other role);</w:t>
      </w:r>
    </w:p>
    <w:p>
      <w:pPr>
        <w:spacing w:after="0" w:line="175" w:lineRule="exact"/>
        <w:rPr>
          <w:rFonts w:ascii="Times New Roman" w:cs="Times New Roman" w:eastAsia="Times New Roman" w:hAnsi="Times New Roman"/>
          <w:sz w:val="18"/>
          <w:szCs w:val="18"/>
          <w:u w:val="single" w:color="auto"/>
          <w:color w:val="auto"/>
        </w:rPr>
      </w:pPr>
    </w:p>
    <w:p>
      <w:pPr>
        <w:jc w:val="both"/>
        <w:ind w:firstLine="1505"/>
        <w:spacing w:after="0" w:line="261" w:lineRule="auto"/>
        <w:tabs>
          <w:tab w:leader="none" w:pos="2036" w:val="left"/>
        </w:tabs>
        <w:numPr>
          <w:ilvl w:val="1"/>
          <w:numId w:val="9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Beneficial Ownership Information</w:t>
      </w:r>
      <w:r>
        <w:rPr>
          <w:rFonts w:ascii="Times New Roman" w:cs="Times New Roman" w:eastAsia="Times New Roman" w:hAnsi="Times New Roman"/>
          <w:sz w:val="18"/>
          <w:szCs w:val="18"/>
          <w:color w:val="auto"/>
        </w:rPr>
        <w:t>. Prompt written notice of any changes to the beneficial ownership information set out in Section 14 of the Perfection Certificate. Borrower understands and acknowledges that Bank relies on such true, accurate and up-to-date beneficial ownership information to meet Bank’s regulatory obligations to obtain, verify and record information about the beneficial owners of its legal entity customers;</w:t>
      </w:r>
    </w:p>
    <w:p>
      <w:pPr>
        <w:spacing w:after="0" w:line="179" w:lineRule="exact"/>
        <w:rPr>
          <w:rFonts w:ascii="Times New Roman" w:cs="Times New Roman" w:eastAsia="Times New Roman" w:hAnsi="Times New Roman"/>
          <w:sz w:val="18"/>
          <w:szCs w:val="18"/>
          <w:u w:val="single" w:color="auto"/>
          <w:color w:val="auto"/>
        </w:rPr>
      </w:pPr>
    </w:p>
    <w:p>
      <w:pPr>
        <w:jc w:val="both"/>
        <w:ind w:firstLine="1505"/>
        <w:spacing w:after="0" w:line="266" w:lineRule="auto"/>
        <w:tabs>
          <w:tab w:leader="none" w:pos="2036" w:val="left"/>
        </w:tabs>
        <w:numPr>
          <w:ilvl w:val="1"/>
          <w:numId w:val="9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Legal Action Notice</w:t>
      </w:r>
      <w:r>
        <w:rPr>
          <w:rFonts w:ascii="Times New Roman" w:cs="Times New Roman" w:eastAsia="Times New Roman" w:hAnsi="Times New Roman"/>
          <w:sz w:val="18"/>
          <w:szCs w:val="18"/>
          <w:color w:val="auto"/>
        </w:rPr>
        <w:t>. Prompt written notice of any legal actions, investigations or proceedings pending or threatened in writing against Borrower or any of its Subsidiaries that could reasonably be expected to result in damages or costs to Borrower or any of its Subsidiaries of, individually or in the aggregate, Five Hundred Thousand Dollars ($500,000) or more;</w:t>
      </w:r>
    </w:p>
    <w:p>
      <w:pPr>
        <w:spacing w:after="0" w:line="175" w:lineRule="exact"/>
        <w:rPr>
          <w:rFonts w:ascii="Times New Roman" w:cs="Times New Roman" w:eastAsia="Times New Roman" w:hAnsi="Times New Roman"/>
          <w:sz w:val="18"/>
          <w:szCs w:val="18"/>
          <w:u w:val="single" w:color="auto"/>
          <w:color w:val="auto"/>
        </w:rPr>
      </w:pPr>
    </w:p>
    <w:p>
      <w:pPr>
        <w:jc w:val="both"/>
        <w:ind w:firstLine="1505"/>
        <w:spacing w:after="0" w:line="261" w:lineRule="auto"/>
        <w:tabs>
          <w:tab w:leader="none" w:pos="2036" w:val="left"/>
        </w:tabs>
        <w:numPr>
          <w:ilvl w:val="1"/>
          <w:numId w:val="9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Tort Claim Notice</w:t>
      </w:r>
      <w:r>
        <w:rPr>
          <w:rFonts w:ascii="Times New Roman" w:cs="Times New Roman" w:eastAsia="Times New Roman" w:hAnsi="Times New Roman"/>
          <w:sz w:val="18"/>
          <w:szCs w:val="18"/>
          <w:color w:val="auto"/>
        </w:rPr>
        <w:t>. If Borrower shall acquire a commercial tort claim with a value in excess of One Hundred Thousand Dollars ($100,000) individually or in the aggregate,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179" w:lineRule="exact"/>
        <w:rPr>
          <w:rFonts w:ascii="Times New Roman" w:cs="Times New Roman" w:eastAsia="Times New Roman" w:hAnsi="Times New Roman"/>
          <w:sz w:val="18"/>
          <w:szCs w:val="18"/>
          <w:u w:val="single" w:color="auto"/>
          <w:color w:val="auto"/>
        </w:rPr>
      </w:pPr>
    </w:p>
    <w:p>
      <w:pPr>
        <w:jc w:val="both"/>
        <w:ind w:firstLine="1505"/>
        <w:spacing w:after="0" w:line="261" w:lineRule="auto"/>
        <w:tabs>
          <w:tab w:leader="none" w:pos="2036" w:val="left"/>
        </w:tabs>
        <w:numPr>
          <w:ilvl w:val="1"/>
          <w:numId w:val="9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Government Filings</w:t>
      </w:r>
      <w:r>
        <w:rPr>
          <w:rFonts w:ascii="Times New Roman" w:cs="Times New Roman" w:eastAsia="Times New Roman" w:hAnsi="Times New Roman"/>
          <w:sz w:val="18"/>
          <w:szCs w:val="18"/>
          <w:color w:val="auto"/>
        </w:rPr>
        <w:t>. Within five (5) days after the same are sent or received, copies of all material correspondence, reports, documents and other filings by Borrower or any of its Subsidiaries with any Governmental Authority, regarding compliance with or maintenance of Governmental Approvals or Applicable Law or that could reasonably be expected to have a material effect on any of the Governmental Approvals or otherwise on the business of Borrower or any of its Subsidiaries;</w:t>
      </w:r>
    </w:p>
    <w:p>
      <w:pPr>
        <w:spacing w:after="0" w:line="179" w:lineRule="exact"/>
        <w:rPr>
          <w:rFonts w:ascii="Times New Roman" w:cs="Times New Roman" w:eastAsia="Times New Roman" w:hAnsi="Times New Roman"/>
          <w:sz w:val="18"/>
          <w:szCs w:val="18"/>
          <w:u w:val="single" w:color="auto"/>
          <w:color w:val="auto"/>
        </w:rPr>
      </w:pPr>
    </w:p>
    <w:p>
      <w:pPr>
        <w:ind w:firstLine="1505"/>
        <w:spacing w:after="0" w:line="282" w:lineRule="auto"/>
        <w:tabs>
          <w:tab w:leader="none" w:pos="2036" w:val="left"/>
        </w:tabs>
        <w:numPr>
          <w:ilvl w:val="1"/>
          <w:numId w:val="9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Registered Organization</w:t>
      </w:r>
      <w:r>
        <w:rPr>
          <w:rFonts w:ascii="Times New Roman" w:cs="Times New Roman" w:eastAsia="Times New Roman" w:hAnsi="Times New Roman"/>
          <w:sz w:val="18"/>
          <w:szCs w:val="18"/>
          <w:color w:val="auto"/>
        </w:rPr>
        <w:t>. If Borrower is not a Registered Organization as of the Effective Date but later becomes one, promptly notify Bank of such occurrence and provide Bank with Borrower’s organizational identification number;</w:t>
      </w:r>
    </w:p>
    <w:p>
      <w:pPr>
        <w:spacing w:after="0" w:line="161" w:lineRule="exact"/>
        <w:rPr>
          <w:rFonts w:ascii="Times New Roman" w:cs="Times New Roman" w:eastAsia="Times New Roman" w:hAnsi="Times New Roman"/>
          <w:sz w:val="18"/>
          <w:szCs w:val="18"/>
          <w:u w:val="single" w:color="auto"/>
          <w:color w:val="auto"/>
        </w:rPr>
      </w:pPr>
    </w:p>
    <w:p>
      <w:pPr>
        <w:ind w:left="2040" w:hanging="535"/>
        <w:spacing w:after="0"/>
        <w:tabs>
          <w:tab w:leader="none" w:pos="2040" w:val="left"/>
        </w:tabs>
        <w:numPr>
          <w:ilvl w:val="1"/>
          <w:numId w:val="9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Prompt written notice of the occurrence of a Default or Event of Default; and</w:t>
      </w:r>
    </w:p>
    <w:p>
      <w:pPr>
        <w:spacing w:after="0" w:line="225" w:lineRule="exact"/>
        <w:rPr>
          <w:rFonts w:ascii="Times New Roman" w:cs="Times New Roman" w:eastAsia="Times New Roman" w:hAnsi="Times New Roman"/>
          <w:sz w:val="18"/>
          <w:szCs w:val="18"/>
          <w:u w:val="single" w:color="auto"/>
          <w:color w:val="auto"/>
        </w:rPr>
      </w:pPr>
    </w:p>
    <w:p>
      <w:pPr>
        <w:ind w:firstLine="1505"/>
        <w:spacing w:after="0" w:line="282" w:lineRule="auto"/>
        <w:tabs>
          <w:tab w:leader="none" w:pos="2036" w:val="left"/>
        </w:tabs>
        <w:numPr>
          <w:ilvl w:val="1"/>
          <w:numId w:val="9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Promptly, from time to time, such other information regarding Borrower or any of its Subsidiaries or compliance with the terms of any Loan Documents as reasonably requested by Bank.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Any submission by Borrower of a Compliance Statement, or any other financial statement submitted to the Financial Statement Repository pursuant to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or otherwise submitted to Bank shall be deemed to be a representation by Borrower that (i) as of the date of such Compliance Statement, or other financial statement,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0" w:name="page111"/>
    <w:bookmarkEnd w:id="110"/>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information and calculations set forth therein are true and correct in all material respects, (ii) as of the end of the compliance period set forth in such submission, Borrower is in complete compliance with all required covenants except as noted in such Compliance Statement, or other financial statement, as applicable, (iii) as of the date of such submission, no Events of Default have occurred or are continuing, (iv) all representations and warranties other than any representations or warranties that are made as of a specific date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remain true and correct in all material respects as of the date of such submission except as noted in such Compliance Statement, or other financial statement, as applicable, (v)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and (vi) as of the date of such submission, no Liens have been levied or claims made against Borrower or any of its Subsidiaries relating to unpaid employee payroll or benefits of which Borrower has not previously provided written notification to Bank.</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5.4 [Intentionally Omitted].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5.5 [Intentionally Omitted].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5.6 Taxes; Pensions.</w:t>
      </w:r>
    </w:p>
    <w:p>
      <w:pPr>
        <w:spacing w:after="0" w:line="229" w:lineRule="exact"/>
        <w:rPr>
          <w:sz w:val="20"/>
          <w:szCs w:val="20"/>
          <w:color w:val="auto"/>
        </w:rPr>
      </w:pPr>
    </w:p>
    <w:p>
      <w:pPr>
        <w:jc w:val="both"/>
        <w:ind w:firstLine="1505"/>
        <w:spacing w:after="0" w:line="256" w:lineRule="auto"/>
        <w:tabs>
          <w:tab w:leader="none" w:pos="2036" w:val="left"/>
        </w:tabs>
        <w:numPr>
          <w:ilvl w:val="0"/>
          <w:numId w:val="9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Timely file, and require each of its Subsidiaries to timely file (in each case, unless subject to a valid extension), all required United Stated federal and state income and all other material tax returns and reports and timely pay, and require each of its Subsidiaries to timely pay, all United States federal and state income taxes and all other material foreign, federal, state and local taxes, assessments, deposits and contributions owed by Borrower and each of its Subsidiaries, except for deferred payment of any taxes contested pursuant to the terms of </w:t>
      </w:r>
      <w:r>
        <w:rPr>
          <w:rFonts w:ascii="Times New Roman" w:cs="Times New Roman" w:eastAsia="Times New Roman" w:hAnsi="Times New Roman"/>
          <w:sz w:val="18"/>
          <w:szCs w:val="18"/>
          <w:u w:val="single" w:color="auto"/>
          <w:color w:val="auto"/>
        </w:rPr>
        <w:t>Section 4.9(a)</w:t>
      </w:r>
      <w:r>
        <w:rPr>
          <w:rFonts w:ascii="Times New Roman" w:cs="Times New Roman" w:eastAsia="Times New Roman" w:hAnsi="Times New Roman"/>
          <w:sz w:val="18"/>
          <w:szCs w:val="18"/>
          <w:color w:val="auto"/>
        </w:rPr>
        <w:t xml:space="preserve"> hereof, and shall deliver to Bank, on written demand, appropriate certificates attesting to such payments, and pay, and require each of its Subsidiaries to pay, all amounts necessary to fund all present pension, profit sharing and deferred compensation plans in accordance with their terms.</w:t>
      </w:r>
    </w:p>
    <w:p>
      <w:pPr>
        <w:spacing w:after="0" w:line="187" w:lineRule="exact"/>
        <w:rPr>
          <w:rFonts w:ascii="Times New Roman" w:cs="Times New Roman" w:eastAsia="Times New Roman" w:hAnsi="Times New Roman"/>
          <w:sz w:val="18"/>
          <w:szCs w:val="18"/>
          <w:u w:val="single" w:color="auto"/>
          <w:color w:val="auto"/>
        </w:rPr>
      </w:pPr>
    </w:p>
    <w:p>
      <w:pPr>
        <w:jc w:val="both"/>
        <w:ind w:firstLine="1505"/>
        <w:spacing w:after="0" w:line="261" w:lineRule="auto"/>
        <w:tabs>
          <w:tab w:leader="none" w:pos="2036" w:val="left"/>
        </w:tabs>
        <w:numPr>
          <w:ilvl w:val="0"/>
          <w:numId w:val="9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To the extent Borrower or any of its Subsidiaries defers payment of any contested taxes, Borrower and each Subsidiary shall, except as otherwise permitted under </w:t>
      </w:r>
      <w:r>
        <w:rPr>
          <w:rFonts w:ascii="Times New Roman" w:cs="Times New Roman" w:eastAsia="Times New Roman" w:hAnsi="Times New Roman"/>
          <w:sz w:val="18"/>
          <w:szCs w:val="18"/>
          <w:u w:val="single" w:color="auto"/>
          <w:color w:val="auto"/>
        </w:rPr>
        <w:t>Section 4.9(a)</w:t>
      </w:r>
      <w:r>
        <w:rPr>
          <w:rFonts w:ascii="Times New Roman" w:cs="Times New Roman" w:eastAsia="Times New Roman" w:hAnsi="Times New Roman"/>
          <w:sz w:val="18"/>
          <w:szCs w:val="18"/>
          <w:color w:val="auto"/>
        </w:rPr>
        <w:t xml:space="preserve"> hereof,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w:t>
      </w:r>
    </w:p>
    <w:p>
      <w:pPr>
        <w:spacing w:after="0" w:line="17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5.7 Access to Collateral; Books and Records. </w:t>
      </w:r>
      <w:r>
        <w:rPr>
          <w:rFonts w:ascii="Times New Roman" w:cs="Times New Roman" w:eastAsia="Times New Roman" w:hAnsi="Times New Roman"/>
          <w:sz w:val="18"/>
          <w:szCs w:val="18"/>
          <w:color w:val="auto"/>
        </w:rPr>
        <w:t>At reasonable times, on five (5) Business Days’ notice (provided no notice is required if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Event of Default has occurred and is continuing), Bank, or its agents, shall have the right to inspect the Collateral and the right to audit and copy Borrower’s Books. Such inspections and audits shall be conducted no more often than once every twelve (12) months, unless an Event of Default has occurred and is continuing, in which case such inspections and audits shall occur as often as Bank shall determine is necessary. The foregoing inspections and audits shall be conducted at Borrower’s expense and the charge therefor shall be One Thousand Dollars ($1,000) per person per day (or such higher amount as shall represent Bank’s then-current standard charge for the same), plus out-of-pocket expenses. In the event Borrower and Bank schedule an audit more than eight (8) days in advance, and Borrower cancels or seeks to or reschedules the audit with less than eight (8) days written notice to Bank, then (without limiting any of Bank’s rights or remedies) Borrower shall pay Bank a fee of Two Thousand Dollars ($2,000)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out-of-pocket expenses incurred by Bank to compensate Bank for the anticipated costs and expenses of the cancellation or rescheduling.</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5.8 Insurance.</w:t>
      </w:r>
    </w:p>
    <w:p>
      <w:pPr>
        <w:spacing w:after="0" w:line="229" w:lineRule="exact"/>
        <w:rPr>
          <w:sz w:val="20"/>
          <w:szCs w:val="20"/>
          <w:color w:val="auto"/>
        </w:rPr>
      </w:pPr>
    </w:p>
    <w:p>
      <w:pPr>
        <w:jc w:val="both"/>
        <w:ind w:firstLine="1505"/>
        <w:spacing w:after="0" w:line="266" w:lineRule="auto"/>
        <w:tabs>
          <w:tab w:leader="none" w:pos="2036" w:val="left"/>
        </w:tabs>
        <w:numPr>
          <w:ilvl w:val="0"/>
          <w:numId w:val="9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reasonably satisfactory to Bank.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1" w:name="page112"/>
    <w:bookmarkEnd w:id="111"/>
    <w:p>
      <w:pPr>
        <w:jc w:val="both"/>
        <w:ind w:firstLine="1505"/>
        <w:spacing w:after="0" w:line="266" w:lineRule="auto"/>
        <w:tabs>
          <w:tab w:leader="none" w:pos="2036" w:val="left"/>
        </w:tabs>
        <w:numPr>
          <w:ilvl w:val="0"/>
          <w:numId w:val="9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175" w:lineRule="exact"/>
        <w:rPr>
          <w:rFonts w:ascii="Times New Roman" w:cs="Times New Roman" w:eastAsia="Times New Roman" w:hAnsi="Times New Roman"/>
          <w:sz w:val="18"/>
          <w:szCs w:val="18"/>
          <w:u w:val="single" w:color="auto"/>
          <w:color w:val="auto"/>
        </w:rPr>
      </w:pPr>
    </w:p>
    <w:p>
      <w:pPr>
        <w:jc w:val="both"/>
        <w:ind w:firstLine="1505"/>
        <w:spacing w:after="0" w:line="255" w:lineRule="auto"/>
        <w:tabs>
          <w:tab w:leader="none" w:pos="2036" w:val="left"/>
        </w:tabs>
        <w:numPr>
          <w:ilvl w:val="0"/>
          <w:numId w:val="9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Ensure that proceeds payable under any property policy are, at Bank’s option, payable to Bank on account of the Obligations. Notwithstanding the foregoing, (a) so long as no Event of Default has occurred and is continuing, Borrower shall have the option of applying the proceeds of any casualty policy up to Two Hundred Fifty Thousand Dollars ($250,000) with respect to any loss, but not exceeding Five Hundred Thousand Dollars ($500,000)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Bank has been granted a first priority security interest, and (b) after the occurrence and during the continuance of an Event of Default, all proceeds payable under such casualty policy shall, at the option of Bank, be payable to Bank on account of the Obligations.</w:t>
      </w:r>
    </w:p>
    <w:p>
      <w:pPr>
        <w:spacing w:after="0" w:line="188" w:lineRule="exact"/>
        <w:rPr>
          <w:rFonts w:ascii="Times New Roman" w:cs="Times New Roman" w:eastAsia="Times New Roman" w:hAnsi="Times New Roman"/>
          <w:sz w:val="18"/>
          <w:szCs w:val="18"/>
          <w:u w:val="single" w:color="auto"/>
          <w:color w:val="auto"/>
        </w:rPr>
      </w:pPr>
    </w:p>
    <w:p>
      <w:pPr>
        <w:jc w:val="both"/>
        <w:ind w:firstLine="1505"/>
        <w:spacing w:after="0" w:line="256" w:lineRule="auto"/>
        <w:tabs>
          <w:tab w:leader="none" w:pos="2036" w:val="left"/>
        </w:tabs>
        <w:numPr>
          <w:ilvl w:val="0"/>
          <w:numId w:val="9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At Bank’s request, Borrower shall deliver certified copies of insurance policies and evidence of all premium payments. Each provider of any such insurance required under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shall agree, by endorsement upon the policy or policies issued by it or by independent instruments furnished to Bank, that it will give Bank thirty (30) days prior written notice before any such policy or policies shall be canceled or altered in any material respect. If Borrower fails to obtain insurance as required under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or to pay any amount or furnish any required proof of payment to third persons and Bank, Bank may make all or part of such payment or obtain such insurance policies required in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and take any action under the policies Bank deems prudent.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5.9 Accounts.</w:t>
      </w:r>
    </w:p>
    <w:p>
      <w:pPr>
        <w:spacing w:after="0" w:line="229" w:lineRule="exact"/>
        <w:rPr>
          <w:sz w:val="20"/>
          <w:szCs w:val="20"/>
          <w:color w:val="auto"/>
        </w:rPr>
      </w:pPr>
    </w:p>
    <w:p>
      <w:pPr>
        <w:jc w:val="both"/>
        <w:ind w:firstLine="1505"/>
        <w:spacing w:after="0" w:line="253" w:lineRule="auto"/>
        <w:tabs>
          <w:tab w:leader="none" w:pos="2036" w:val="left"/>
        </w:tabs>
        <w:numPr>
          <w:ilvl w:val="0"/>
          <w:numId w:val="10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Within five (5) Business Days after the later to occur of the (i) Effective Date or (ii) the date on which Borrower opens a Securities Account with U.S. Bank National Association, which the parties intend to be subject to a Control Agreement in favor of Bank and SVB Asset Management (or, in any event, such longer period of time as is permitted by Bank, in writing, in advance), Borrower shall maintain account balances in Borrower’s, any of its Subsidiaries’, and any Guarantor’s operating accounts, depository accounts and securities accounts at or through Bank or Bank’s Affiliates representing at least [***] of the Dollar Equivalent value of all deposit account and securities account balances of Borrower, such Subsidiary and such Guarantor at all financial institutions;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a period of time not to exceed five (5) Business Days, Borrower, each Subsidiary, and any Guarantor may maintain up to [***] of their cash and Cash Equivalents outside of Bank. Notwithstanding the foregoing, if at any time, the Dollar Equivalent value of all of Borrower’s, any of its Subsidiaries’ and any Guarantor’s cash and Cash Equivalents maintained at all financial institutions is less than one hundred ten percent (110.0%) of the principal amount of the outstanding Term Loan Advances owing by Borrower to Bank, then at all times thereafter, Borrower, any of its Subsidiaries, and any Guarantor shall be required to maintain all of their operating accounts, depository accounts, securities accounts, and excess cash with Bank or Bank’s Affiliates.</w:t>
      </w:r>
    </w:p>
    <w:p>
      <w:pPr>
        <w:spacing w:after="0" w:line="191" w:lineRule="exact"/>
        <w:rPr>
          <w:rFonts w:ascii="Times New Roman" w:cs="Times New Roman" w:eastAsia="Times New Roman" w:hAnsi="Times New Roman"/>
          <w:sz w:val="18"/>
          <w:szCs w:val="18"/>
          <w:u w:val="single" w:color="auto"/>
          <w:color w:val="auto"/>
        </w:rPr>
      </w:pPr>
    </w:p>
    <w:p>
      <w:pPr>
        <w:ind w:firstLine="1505"/>
        <w:spacing w:after="0" w:line="282" w:lineRule="auto"/>
        <w:tabs>
          <w:tab w:leader="none" w:pos="2036" w:val="left"/>
        </w:tabs>
        <w:numPr>
          <w:ilvl w:val="0"/>
          <w:numId w:val="10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In addition to the foregoing, Borrower, any Subsidiary of Borrower and any Guarantor, shall obtain any business credit card, any letter of credit (other than the Existing Letter of Credit) and cash management services exclusively from Bank.</w:t>
      </w:r>
    </w:p>
    <w:p>
      <w:pPr>
        <w:spacing w:after="0" w:line="161" w:lineRule="exact"/>
        <w:rPr>
          <w:rFonts w:ascii="Times New Roman" w:cs="Times New Roman" w:eastAsia="Times New Roman" w:hAnsi="Times New Roman"/>
          <w:sz w:val="18"/>
          <w:szCs w:val="18"/>
          <w:u w:val="single" w:color="auto"/>
          <w:color w:val="auto"/>
        </w:rPr>
      </w:pPr>
    </w:p>
    <w:p>
      <w:pPr>
        <w:jc w:val="both"/>
        <w:ind w:firstLine="1505"/>
        <w:spacing w:after="0" w:line="253" w:lineRule="auto"/>
        <w:tabs>
          <w:tab w:leader="none" w:pos="2036" w:val="left"/>
        </w:tabs>
        <w:numPr>
          <w:ilvl w:val="0"/>
          <w:numId w:val="10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In addition to and without limiting the restrictions in (a), Borrower shall provide Bank five (5) days prior written notice before establishing any Collateral Account at or with any bank or financial institution other than Bank or Bank’s Affiliates (and such notice shall be deemed to automatically update the disclosure in the Perfection Certificate).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(i) deposit accounts exclusively used for payroll, payroll taxes, and other employee wage and benefit payments to or for the benefit of Borrower’s employees and identified to Bank by Borrower as such; provided, however, that the funds on deposit in such deposit accounts will at no time exceed the actual payroll, payroll taxes, withholding taxes and other employee wage and benefit payments then owing for the immediately succeeding payroll</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2" w:name="page113"/>
    <w:bookmarkEnd w:id="112"/>
    <w:p>
      <w:pPr>
        <w:ind w:right="20"/>
        <w:spacing w:after="0" w:line="282" w:lineRule="auto"/>
        <w:rPr>
          <w:sz w:val="20"/>
          <w:szCs w:val="20"/>
          <w:color w:val="auto"/>
        </w:rPr>
      </w:pPr>
      <w:r>
        <w:rPr>
          <w:rFonts w:ascii="Times New Roman" w:cs="Times New Roman" w:eastAsia="Times New Roman" w:hAnsi="Times New Roman"/>
          <w:sz w:val="18"/>
          <w:szCs w:val="18"/>
          <w:color w:val="auto"/>
        </w:rPr>
        <w:t>period (or greater amount to the extent required by Applicable Law), or (ii) LC Cash Collateral Account so long as the funds on deposit in such account do not at any time exceed Four Hundred Thousand Dollars ($400,000) (collectively, “</w:t>
      </w:r>
      <w:r>
        <w:rPr>
          <w:rFonts w:ascii="Times New Roman" w:cs="Times New Roman" w:eastAsia="Times New Roman" w:hAnsi="Times New Roman"/>
          <w:sz w:val="18"/>
          <w:szCs w:val="18"/>
          <w:b w:val="1"/>
          <w:bCs w:val="1"/>
          <w:color w:val="auto"/>
        </w:rPr>
        <w:t>Excluded Accounts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5.10[Intentionally Omitted].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5.11Protection of Intellectual Property Rights.</w:t>
      </w:r>
    </w:p>
    <w:p>
      <w:pPr>
        <w:spacing w:after="0" w:line="229" w:lineRule="exact"/>
        <w:rPr>
          <w:sz w:val="20"/>
          <w:szCs w:val="20"/>
          <w:color w:val="auto"/>
        </w:rPr>
      </w:pPr>
    </w:p>
    <w:p>
      <w:pPr>
        <w:jc w:val="both"/>
        <w:ind w:firstLine="1505"/>
        <w:spacing w:after="0" w:line="258" w:lineRule="auto"/>
        <w:tabs>
          <w:tab w:leader="none" w:pos="2036" w:val="left"/>
        </w:tabs>
        <w:numPr>
          <w:ilvl w:val="0"/>
          <w:numId w:val="10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(i) Protect, defend and maintain the validity and enforceability of Borrower’s and each Subsidiary’s Intellectual Property, except to the extent that such failure to do so would not reasonably be expected to have a material adverse effect on Borrower’s business or operations; (ii) promptly advise Bank in writing of infringements or any other event that could reasonably be expected to materially and adversely affect the value Borrower’s and each Subsidiary’s Intellectual Property; and (iii) not allow any Intellectual Property material to Borrower’s or any Subsidiary’s business to be abandoned, forfeited or dedicated to the public without Bank’s written consent.</w:t>
      </w:r>
    </w:p>
    <w:p>
      <w:pPr>
        <w:spacing w:after="0" w:line="183" w:lineRule="exact"/>
        <w:rPr>
          <w:rFonts w:ascii="Times New Roman" w:cs="Times New Roman" w:eastAsia="Times New Roman" w:hAnsi="Times New Roman"/>
          <w:sz w:val="18"/>
          <w:szCs w:val="18"/>
          <w:u w:val="single" w:color="auto"/>
          <w:color w:val="auto"/>
        </w:rPr>
      </w:pPr>
    </w:p>
    <w:p>
      <w:pPr>
        <w:ind w:left="2040" w:hanging="535"/>
        <w:spacing w:after="0"/>
        <w:tabs>
          <w:tab w:leader="none" w:pos="2040" w:val="left"/>
        </w:tabs>
        <w:numPr>
          <w:ilvl w:val="0"/>
          <w:numId w:val="10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u w:val="single" w:color="auto"/>
          <w:color w:val="auto"/>
        </w:rPr>
      </w:pPr>
    </w:p>
    <w:p>
      <w:pPr>
        <w:jc w:val="both"/>
        <w:ind w:firstLine="1505"/>
        <w:spacing w:after="0" w:line="256" w:lineRule="auto"/>
        <w:tabs>
          <w:tab w:leader="none" w:pos="2036" w:val="left"/>
        </w:tabs>
        <w:numPr>
          <w:ilvl w:val="0"/>
          <w:numId w:val="10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Provide written notice to Bank within ten (10) days of entering or becoming bound by any Restricted License (other than over-the-counter software that is commercially available to the public, open source software or click-wrap licenses). Borrower shall take such steps as Bank reasonably requests to obtain the consent of, or waiver by, any person whose consent or waiver is necessary for (i) any such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18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5.12Litigation Cooperation. </w:t>
      </w:r>
      <w:r>
        <w:rPr>
          <w:rFonts w:ascii="Times New Roman" w:cs="Times New Roman" w:eastAsia="Times New Roman" w:hAnsi="Times New Roman"/>
          <w:sz w:val="18"/>
          <w:szCs w:val="18"/>
          <w:color w:val="auto"/>
        </w:rPr>
        <w:t>From the date hereof and continuing through the termination of this Agreement, make available to Bank,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5.13[Intentionally Omitted].</w:t>
      </w:r>
    </w:p>
    <w:p>
      <w:pPr>
        <w:spacing w:after="0" w:line="22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5.14Formation or Acquisition of Subsidiaries. </w:t>
      </w:r>
      <w:r>
        <w:rPr>
          <w:rFonts w:ascii="Times New Roman" w:cs="Times New Roman" w:eastAsia="Times New Roman" w:hAnsi="Times New Roman"/>
          <w:sz w:val="18"/>
          <w:szCs w:val="18"/>
          <w:color w:val="auto"/>
        </w:rPr>
        <w:t>Notwithstanding and without limiting the negative covenants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6.3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6.7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hereof, at the time that Borrower or any Guarantor forms any Subsidiary or acquires any Subsidiary after the Effective Date (including, without limitation, pursuant to a Division), Borrower and such Guarantor shall (a) cause such new Subsidiary to provide to Bank a joinder to this Agreement to become a co-borrower hereunder or a guaranty to become a Guarantor hereunder (as determined by Bank in its sole discretion), together with documentation, all in form and substance satisfactory to Bank (including being sufficient to grant Bank a first priority Lien (subject to Permitted Liens) in and to the assets of such newly formed or acquired Subsidiary), (b) provide to Bank appropriate certificates and powers and financing statements, pledging all of the direct or beneficial ownership interest in such new Subsidiary, in form and substance satisfactory to Bank; and (c) provide to Bank all other documentation in form and substance satisfactory to Bank, including one or more opinions of counsel satisfactory to Bank, which in its opinion is appropriate with respect to the execution and delivery of the applicable documentation referred to above. Any document, agreement, or instrument executed or issued pursuant to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shall be a Loan Document.</w:t>
      </w:r>
    </w:p>
    <w:p>
      <w:pPr>
        <w:spacing w:after="0" w:line="18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5.15Inventory; Returns</w:t>
      </w:r>
      <w:r>
        <w:rPr>
          <w:rFonts w:ascii="Times New Roman" w:cs="Times New Roman" w:eastAsia="Times New Roman" w:hAnsi="Times New Roman"/>
          <w:sz w:val="18"/>
          <w:szCs w:val="18"/>
          <w:color w:val="auto"/>
        </w:rPr>
        <w:t>. Keep all Inventory in good and marketable condition, free from material defects. Returns and allowances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and its Account Debtors shall follow Borrower’s customary practices as they exist at the Effective Date. Borrower shall promptly notify Bank of all returns, recoveries, disputes and claims that involve more than One Hundred Thousand Dollars ($100,000).</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3" w:name="page114"/>
    <w:bookmarkEnd w:id="113"/>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5.16Further Assurances. </w:t>
      </w:r>
      <w:r>
        <w:rPr>
          <w:rFonts w:ascii="Times New Roman" w:cs="Times New Roman" w:eastAsia="Times New Roman" w:hAnsi="Times New Roman"/>
          <w:sz w:val="18"/>
          <w:szCs w:val="18"/>
          <w:color w:val="auto"/>
        </w:rPr>
        <w:t>Execute any further instruments and take such further action as Bank reasonably requests to effect the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including, but not limited to, perfecting, protecting, and/or ensuring the priority of or continue Bank’s Lien on the Collateral.</w:t>
      </w:r>
    </w:p>
    <w:p>
      <w:pPr>
        <w:spacing w:after="0" w:line="15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5.17Sanctions</w:t>
      </w:r>
      <w:r>
        <w:rPr>
          <w:rFonts w:ascii="Times New Roman" w:cs="Times New Roman" w:eastAsia="Times New Roman" w:hAnsi="Times New Roman"/>
          <w:sz w:val="18"/>
          <w:szCs w:val="18"/>
          <w:color w:val="auto"/>
        </w:rPr>
        <w:t>. (a) Not, and not permit any of its Subsidiaries to, engage in any of the activities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future; (b)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not permit any of its Subsidiaries to, become a Sanctioned Person; (c) ensure that the proceeds of the Obligations are not used to violate any Sanctions; and (d) deliver to Bank any certification or other evidence requested from time to time by Bank in its sole discretion, confirming each such Person’s compliance with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In addition, have implemented, and will consistently apply while this Agreement is in effect, procedures to ensure that the representations and warranties in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remain true and correct while this Agreement is in effect.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5.18Post-Closing Conditions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66" w:lineRule="auto"/>
        <w:tabs>
          <w:tab w:leader="none" w:pos="2036" w:val="left"/>
        </w:tabs>
        <w:numPr>
          <w:ilvl w:val="1"/>
          <w:numId w:val="10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On or prior to the date that is thirty (30) days after the Effective Date, Borrower shall deliver to Bank evidence satisfactory to Bank demonstrating that the insurance policies and endorsements required by Section 5.8 hereof are in full force and effect, together with appropriate evidence showing lender loss payable and additional insured clauses or endorsements in favor of Bank.</w:t>
      </w:r>
    </w:p>
    <w:p>
      <w:pPr>
        <w:spacing w:after="0" w:line="175" w:lineRule="exact"/>
        <w:rPr>
          <w:rFonts w:ascii="Times New Roman" w:cs="Times New Roman" w:eastAsia="Times New Roman" w:hAnsi="Times New Roman"/>
          <w:sz w:val="18"/>
          <w:szCs w:val="18"/>
          <w:u w:val="single" w:color="auto"/>
          <w:color w:val="auto"/>
        </w:rPr>
      </w:pPr>
    </w:p>
    <w:p>
      <w:pPr>
        <w:jc w:val="both"/>
        <w:ind w:firstLine="1505"/>
        <w:spacing w:after="0" w:line="266" w:lineRule="auto"/>
        <w:tabs>
          <w:tab w:leader="none" w:pos="2036" w:val="left"/>
        </w:tabs>
        <w:numPr>
          <w:ilvl w:val="1"/>
          <w:numId w:val="10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On or prior to the date that is forty-five (45) days after the Effective Date, Borrower shall use commercially reasonable efforts to deliver to Bank a landlord consent in form and substance satisfactory to Bank for each of Borrower’s leased locations at (i) 171 Oyster Point Blvd., Suite 500, South San Francisco, CA 94080, and (ii) 33498 Central Avenue, Union City, CA 94587.</w:t>
      </w:r>
    </w:p>
    <w:p>
      <w:pPr>
        <w:spacing w:after="0" w:line="175" w:lineRule="exact"/>
        <w:rPr>
          <w:rFonts w:ascii="Times New Roman" w:cs="Times New Roman" w:eastAsia="Times New Roman" w:hAnsi="Times New Roman"/>
          <w:sz w:val="18"/>
          <w:szCs w:val="18"/>
          <w:u w:val="single" w:color="auto"/>
          <w:color w:val="auto"/>
        </w:rPr>
      </w:pPr>
    </w:p>
    <w:p>
      <w:pPr>
        <w:ind w:right="60" w:firstLine="757"/>
        <w:spacing w:after="0" w:line="282" w:lineRule="auto"/>
        <w:tabs>
          <w:tab w:leader="none" w:pos="110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that is five (5) Business Days after the Effective Date, Borrower shall deliver to Bank duly executed Control Agreements with (A) Morgan Stanley, (B) JPMorgan Chase Bank, N.A., and (C) SVB Asset Management.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6.  NEGATIVE COVENANTS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Borrower shall not do any of the following without Bank’s prior written consent:</w:t>
      </w:r>
    </w:p>
    <w:p>
      <w:pPr>
        <w:spacing w:after="0" w:line="22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6.1 Dispositions. </w:t>
      </w:r>
      <w:r>
        <w:rPr>
          <w:rFonts w:ascii="Times New Roman" w:cs="Times New Roman" w:eastAsia="Times New Roman" w:hAnsi="Times New Roman"/>
          <w:sz w:val="18"/>
          <w:szCs w:val="18"/>
          <w:color w:val="auto"/>
        </w:rPr>
        <w:t>Convey, sell, lease, transfer, assign, or otherwise dispose of (including, without limitation, pursuant to a Division)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or permit any of its Subsidiaries to Transfer, all or any part of its business or property, except for Transfers (a) of Inventory in the ordinary course of business; (b) of worn-out, surplus or obsolete Equipment that is, in the reasonable judgment of Borrower, no longer economically practicable to maintain or useful in the ordinary course of business of Borrower; (c) consisting of Permitted Liens and Permitted Investments or Transfers permitted by Section 6.3 or Section 6.7; (d) consisting of the sale or issuance of any stock, partnership, membership, or other ownership interest or other equity securities of Borrower permitted under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this Agreement; (e) consisting of Borrower’s or its Subsidiaries’ use or transfer of money or Cash Equivalents in a manner that is not prohibited by the terms of this Agreement or the other Loan Documents; (f) of (i) non-exclusive licenses for the use of the property of Borrower or its Subsidiaries in the ordinary course of business and (ii) certain exclusive licenses for the use of the property of Borrower or its Subsidiaries in the ordinary course of business that could not result in a legal transfer of title of the licensed property but that may be exclusive in respects other than territory and that may be exclusive as to territory only as to discrete geographical areas outside of the United States; (g) consisting of the abandonment, forfeiture or dedication to the public of any Intellectual Property that is immaterial to Borrower’s business; and (h) other Transfers not otherwise permitted in clauses (a) through (g) above involving tangible assets of Borrower (but specifically excluding any Transfers of Accounts, monthly recurring revenue, annual recurring revenue or any other recurring revenue of Borrower in any factoring, sale-leaseback, future receipts purchase agreement or other similar agreement) having a fair market value of not more than Two Hundred Fifty Thousand Dollars ($250,000) in the aggregate in any fiscal year so long as no Event of Default has occurred or would occur immediately following any such Transfer.</w:t>
      </w:r>
    </w:p>
    <w:p>
      <w:pPr>
        <w:spacing w:after="0" w:line="183"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6.2 Changes in Business, Management, Control, or Business Locations. </w:t>
      </w:r>
      <w:r>
        <w:rPr>
          <w:rFonts w:ascii="Times New Roman" w:cs="Times New Roman" w:eastAsia="Times New Roman" w:hAnsi="Times New Roman"/>
          <w:sz w:val="18"/>
          <w:szCs w:val="18"/>
          <w:color w:val="auto"/>
        </w:rPr>
        <w:t>(a) Engage in or permit any of its Subsidiaries to engage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other than the businesses currently engaged in by Borrower and such</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4" w:name="page115"/>
    <w:bookmarkEnd w:id="114"/>
    <w:p>
      <w:pPr>
        <w:jc w:val="both"/>
        <w:spacing w:after="0" w:line="257" w:lineRule="auto"/>
        <w:rPr>
          <w:sz w:val="20"/>
          <w:szCs w:val="20"/>
          <w:color w:val="auto"/>
        </w:rPr>
      </w:pPr>
      <w:r>
        <w:rPr>
          <w:rFonts w:ascii="Times New Roman" w:cs="Times New Roman" w:eastAsia="Times New Roman" w:hAnsi="Times New Roman"/>
          <w:sz w:val="18"/>
          <w:szCs w:val="18"/>
          <w:color w:val="auto"/>
        </w:rPr>
        <w:t>Subsidiary, as applicable, or reasonably related or incidental thereto (including the provision of manufacturing services); (b) liquidate or dissolve or permit any of its Subsidiaries to liquidate or dissolve; (c) fail to provide notice to Bank of any Key Person departing from or ceasing to be employed by Borrower within five (5) days after such Key Person’s departure from Borrower; (d) permit, allow or suffer to occur any Change in Control; or (e) without at least ten</w:t>
      </w:r>
    </w:p>
    <w:p>
      <w:pPr>
        <w:spacing w:after="0" w:line="1" w:lineRule="exact"/>
        <w:rPr>
          <w:sz w:val="20"/>
          <w:szCs w:val="20"/>
          <w:color w:val="auto"/>
        </w:rPr>
      </w:pPr>
    </w:p>
    <w:p>
      <w:pPr>
        <w:jc w:val="both"/>
        <w:ind w:firstLine="8"/>
        <w:spacing w:after="0" w:line="251" w:lineRule="auto"/>
        <w:tabs>
          <w:tab w:leader="none" w:pos="35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written notice to Bank, (i) add any new offices or business locations, including warehouses (unless such new offices or business locations contain less than Five Hundred Thousand Dollars ($500,000) in Borrower’s assets or property) or deliver any portion of the Collateral valued, individually or in the aggregate, in excess of Five Hundred Thousand Dollars ($500,000) to a bailee at a location other than to a bailee and at a location already disclosed in the Perfection Certificate, (ii) change its jurisdiction of organization, (iii) change its organizational structure or type, (iv) change its legal name, or (v) change any organizational number (if any) assigned by its jurisdiction of organization. If Borrower intends to add any new offices or business locations, including warehouses, containing in excess of Five Hundred Thousand Dollars ($500,000) of Borrower’s assets or property, then Borrower will use commercially reasonable efforts to cause the landlord of any such new offices or business locations, including warehouses, to execute and deliver a landlord consent in form and substance reasonably satisfactory to Bank. If Borrower intends to deliver any portion of the Collateral valued, individually or in the aggregate, in excess of Five Hundred Thousand Dollars ($500,000) to a bailee, and Bank and such bailee are not already parties to a bailee agreement governing both the Collateral and the location to which Borrower intends to deliver the Collateral, then Borrower will use commercially reasonable efforts cause such bailee to execute and deliver a bailee agreement in form and substance reasonably satisfactory to Bank.</w:t>
      </w:r>
    </w:p>
    <w:p>
      <w:pPr>
        <w:spacing w:after="0" w:line="18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6.3 Mergers or Acquisitions. </w:t>
      </w:r>
      <w:r>
        <w:rPr>
          <w:rFonts w:ascii="Times New Roman" w:cs="Times New Roman" w:eastAsia="Times New Roman" w:hAnsi="Times New Roman"/>
          <w:sz w:val="18"/>
          <w:szCs w:val="18"/>
          <w:color w:val="auto"/>
        </w:rPr>
        <w:t>Merge or consolidate, or permit any of its Subsidiaries to merge or consolidate, with any other Person, or acquire,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permit any of its Subsidiaries to acquire, all or substantially all of the stock, partnership, membership, or other ownership interest or other equity securities or property of another Person (including, without limitation, by the formation of any Subsidiary or pursuant to a Division). Notwithstanding the foregoing, any Subsidiary may merge or consolidate into another Subsidiary or into Borrower.</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6.4 Indebtedness. </w:t>
      </w:r>
      <w:r>
        <w:rPr>
          <w:rFonts w:ascii="Times New Roman" w:cs="Times New Roman" w:eastAsia="Times New Roman" w:hAnsi="Times New Roman"/>
          <w:sz w:val="18"/>
          <w:szCs w:val="18"/>
          <w:color w:val="auto"/>
        </w:rPr>
        <w:t>Create, incur, assume, or be liable for any Indebtedness, or permit any Subsidiary to do so, other than Permitted Indebtedness.</w:t>
      </w:r>
    </w:p>
    <w:p>
      <w:pPr>
        <w:spacing w:after="0" w:line="22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6.5 Encumbrance. </w:t>
      </w:r>
      <w:r>
        <w:rPr>
          <w:rFonts w:ascii="Times New Roman" w:cs="Times New Roman" w:eastAsia="Times New Roman" w:hAnsi="Times New Roman"/>
          <w:sz w:val="18"/>
          <w:szCs w:val="18"/>
          <w:color w:val="auto"/>
        </w:rPr>
        <w:t>Create, incur, allow, or suffer to exist any Lien on any of its property, or assign or convey any right to receive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sale of any Accounts, or permit any of its Subsidiaries to do so, except for Permitted Liens and Transfers permitted by Section 6.1, permit any Collateral not to be subject to the first priority security interest granted herein,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w:t>
      </w:r>
    </w:p>
    <w:p>
      <w:pPr>
        <w:spacing w:after="0" w:line="3" w:lineRule="exact"/>
        <w:rPr>
          <w:sz w:val="20"/>
          <w:szCs w:val="20"/>
          <w:color w:val="auto"/>
        </w:rPr>
      </w:pPr>
    </w:p>
    <w:p>
      <w:pPr>
        <w:jc w:val="both"/>
        <w:ind w:firstLine="8"/>
        <w:spacing w:after="0" w:line="253" w:lineRule="auto"/>
        <w:tabs>
          <w:tab w:leader="none" w:pos="21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is otherwise permitted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hereof and the definition of “Permitted Liens” herein, (ii) for customary restrictions on assignment, transfer and encumbrances in license agreements under which Borrower or any Subsidiary is the licensee, or (iii) for covenants with such restrictions in merger or acquisition agreements; provided that such covenants do not prohibit Borrower or any Subsidiary from granting a security interest in Borrower’s or any such Subsidiary’s Intellectual Property in favor of Bank; and provided further that the counter-parties to such covenants are not permitted to receive a security interest in Borrower’s or any Subsidiary’s Intellectual Property.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6.6 Maintenance of Collateral Accounts. </w:t>
      </w:r>
      <w:r>
        <w:rPr>
          <w:rFonts w:ascii="Times New Roman" w:cs="Times New Roman" w:eastAsia="Times New Roman" w:hAnsi="Times New Roman"/>
          <w:sz w:val="18"/>
          <w:szCs w:val="18"/>
          <w:color w:val="auto"/>
        </w:rPr>
        <w:t>Maintain any Collateral Account except pursuant to the terms of Section 5.9(c).</w:t>
      </w:r>
    </w:p>
    <w:p>
      <w:pPr>
        <w:spacing w:after="0" w:line="22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6.7 Distributions; Investments. </w:t>
      </w:r>
      <w:r>
        <w:rPr>
          <w:rFonts w:ascii="Times New Roman" w:cs="Times New Roman" w:eastAsia="Times New Roman" w:hAnsi="Times New Roman"/>
          <w:sz w:val="18"/>
          <w:szCs w:val="18"/>
          <w:color w:val="auto"/>
        </w:rPr>
        <w:t>(a) Pay any dividends or make any distribution on account of Borrower’s equity securities or payment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redeem, retire or purchase any stock, partnership, membership, or other ownership interest or other equity securities of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 may (i) convert any of its convertible securities into other securities pursuant to the terms of such convertible securities or otherwise in exchange thereof,</w:t>
      </w:r>
    </w:p>
    <w:p>
      <w:pPr>
        <w:jc w:val="both"/>
        <w:ind w:firstLine="8"/>
        <w:spacing w:after="0" w:line="253" w:lineRule="auto"/>
        <w:tabs>
          <w:tab w:leader="none" w:pos="28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cash in lieu of the issuance of fractional shares provided that the aggregate amount of all such payments does not exceed Two Hundred Fifty Thousand Dollars ($250,000), (iii) pay dividends solely in common stock, (iv) repurchase the stock, partnership, membership, or other ownership interest or other equity securities of former employees, directors or consultants pursuant to stock repurchase agreements so long as an Event of Default does not exist at the time of any such repurchase and would not exist after giving effect to any such repurchase, provided that the aggregate amount of all such repurchases does not exceed Two Hundred Fifty Thousand Dollars ($250,000) per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5" w:name="page116"/>
    <w:bookmarkEnd w:id="115"/>
    <w:p>
      <w:pPr>
        <w:jc w:val="both"/>
        <w:spacing w:after="0" w:line="255" w:lineRule="auto"/>
        <w:rPr>
          <w:sz w:val="20"/>
          <w:szCs w:val="20"/>
          <w:color w:val="auto"/>
        </w:rPr>
      </w:pPr>
      <w:r>
        <w:rPr>
          <w:rFonts w:ascii="Times New Roman" w:cs="Times New Roman" w:eastAsia="Times New Roman" w:hAnsi="Times New Roman"/>
          <w:sz w:val="18"/>
          <w:szCs w:val="18"/>
          <w:color w:val="auto"/>
        </w:rPr>
        <w:t>fiscal year (or in any amount where the consideration for such repurchase is the cancellation of Indebtedness under non-cash loans to current or former employees, officers, managers, directors, or consultants relating to the purchase of capital stock of Borrower pursuant to equity purchase plans or equity compensation arrangements approved by the Board), (v) make purchases of capital stock deemed to occur in connection with the exercise of stock options or stock appreciation rights by way of cashless exercise or in connection with the satisfaction of withholding tax obligations, and (vi) make other dividends, distributions, redemptions or repurchases so long as the aggregate amount of all such purchases does not exceed Two Hundred Fifty Thousand Dollars ($250,000); or (b) directly or indirectly make any Investment (including, without limitation, by the formation of any Subsidiary) other than Permitted Investments, or permit any of its Subsidiaries to do so other than Permitted Investments.</w:t>
      </w:r>
    </w:p>
    <w:p>
      <w:pPr>
        <w:spacing w:after="0" w:line="18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6.8 Transactions with Affiliates. </w:t>
      </w:r>
      <w:r>
        <w:rPr>
          <w:rFonts w:ascii="Times New Roman" w:cs="Times New Roman" w:eastAsia="Times New Roman" w:hAnsi="Times New Roman"/>
          <w:sz w:val="18"/>
          <w:szCs w:val="18"/>
          <w:color w:val="auto"/>
        </w:rPr>
        <w:t>Directly or indirectly enter into or permit to exist any material transaction with any Affiliate of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 for transactions that are in the ordinary course of Borrower’s business, upon fair and reasonable terms that are no less favorable to Borrower than would be obtained in an arm’s length transaction with a non-affiliated Person, (b) transactions between Borrower and any of its Subsidiaries which are not prohibited hereunder, (c) transactions of the type described in and permitted under Section 6.7, and (d) reasonable and customary compensation arrangements approved by the Board or a duly authorized committee thereof.</w:t>
      </w:r>
    </w:p>
    <w:p>
      <w:pPr>
        <w:spacing w:after="0" w:line="17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6.9 Subordinated Debt. </w:t>
      </w:r>
      <w:r>
        <w:rPr>
          <w:rFonts w:ascii="Times New Roman" w:cs="Times New Roman" w:eastAsia="Times New Roman" w:hAnsi="Times New Roman"/>
          <w:sz w:val="18"/>
          <w:szCs w:val="18"/>
          <w:color w:val="auto"/>
        </w:rPr>
        <w:t>Except as expressly permitted under the terms of the subordination, intercreditor, or other similar agreement to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Subordinated Debt is subject: (a) make or permit any payment on such Subordinated Debt; or (b) amend any provision in any document relating to such Subordinated Debt which would increase the amount thereof, provide for earlier or greater principal, interest, or other payments thereon, or adversely affect the subordination thereof to Obligations owed to Bank.</w:t>
      </w:r>
    </w:p>
    <w:p>
      <w:pPr>
        <w:spacing w:after="0" w:line="17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6.10Compliance. </w:t>
      </w:r>
      <w:r>
        <w:rPr>
          <w:rFonts w:ascii="Times New Roman" w:cs="Times New Roman" w:eastAsia="Times New Roman" w:hAnsi="Times New Roman"/>
          <w:sz w:val="18"/>
          <w:szCs w:val="18"/>
          <w:color w:val="auto"/>
        </w:rPr>
        <w:t>(a) Become required to register as an “investment company” or a company controlled by an “investment company”,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Company Act of 1940, as amended, or undertake as one of its important activities extending credit to purchase or carry margin stock (as defined in Regulation U of the Board of Governors of the Federal Reserve System), or use the proceeds of any Credit Extension for that purpose; (b)(i) fail to meet the minimum funding requirements of ERISA, (ii) permit a Reportable Event or Prohibited Transaction, as defined in ERISA, to occur, (iii) fail to comply with the Federal Fair Labor Standards Act or (iv) violate any other law or regulation, if the foregoing subclauses (i) through (iv), individually or in the aggregate, could reasonably be expected to have a material adverse effect on Borrower’s business or operations, or permit any of its Subsidiaries to do so; or (c)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Authority.</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7.  EVENTS OF DEFAULT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Any one of the following shall constitute an event of default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Agreement:</w:t>
      </w:r>
    </w:p>
    <w:p>
      <w:pPr>
        <w:spacing w:after="0" w:line="22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7.1 Payment Default. </w:t>
      </w:r>
      <w:r>
        <w:rPr>
          <w:rFonts w:ascii="Times New Roman" w:cs="Times New Roman" w:eastAsia="Times New Roman" w:hAnsi="Times New Roman"/>
          <w:sz w:val="18"/>
          <w:szCs w:val="18"/>
          <w:color w:val="auto"/>
        </w:rPr>
        <w:t>Borrower fails to (a) make any payment of principal or interest on any Credit Extension on its due date, or (b) pay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Obligations within three (3) Business Days after such Obligations are due and payable (which three (3) Business Day cure period shall not apply to payments due on the Term Loan Maturity Date). During the cure period, the failure to make or pay any payment specified under clause (b) hereunder is not an Event of Default (but no Credit Extension will be made during the cure period);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7.2 Covenant Default.</w:t>
      </w:r>
    </w:p>
    <w:p>
      <w:pPr>
        <w:spacing w:after="0" w:line="229" w:lineRule="exact"/>
        <w:rPr>
          <w:sz w:val="20"/>
          <w:szCs w:val="20"/>
          <w:color w:val="auto"/>
        </w:rPr>
      </w:pPr>
    </w:p>
    <w:p>
      <w:pPr>
        <w:ind w:firstLine="1505"/>
        <w:spacing w:after="0" w:line="282" w:lineRule="auto"/>
        <w:tabs>
          <w:tab w:leader="none" w:pos="2036" w:val="left"/>
        </w:tabs>
        <w:numPr>
          <w:ilvl w:val="0"/>
          <w:numId w:val="10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Borrower fails or neglects to perform any obligation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Sections 5.2</w:t>
      </w:r>
      <w:r>
        <w:rPr>
          <w:rFonts w:ascii="Times New Roman" w:cs="Times New Roman" w:eastAsia="Times New Roman" w:hAnsi="Times New Roman"/>
          <w:sz w:val="18"/>
          <w:szCs w:val="18"/>
          <w:color w:val="auto"/>
        </w:rPr>
        <w:t xml:space="preserve"> (Government Compliance),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xml:space="preserve"> (Litigation Cooperation), </w:t>
      </w:r>
      <w:r>
        <w:rPr>
          <w:rFonts w:ascii="Times New Roman" w:cs="Times New Roman" w:eastAsia="Times New Roman" w:hAnsi="Times New Roman"/>
          <w:sz w:val="18"/>
          <w:szCs w:val="18"/>
          <w:u w:val="single" w:color="auto"/>
          <w:color w:val="auto"/>
        </w:rPr>
        <w:t>5.15</w:t>
      </w:r>
      <w:r>
        <w:rPr>
          <w:rFonts w:ascii="Times New Roman" w:cs="Times New Roman" w:eastAsia="Times New Roman" w:hAnsi="Times New Roman"/>
          <w:sz w:val="18"/>
          <w:szCs w:val="18"/>
          <w:color w:val="auto"/>
        </w:rPr>
        <w:t xml:space="preserve"> (Inventory; Returns) and </w:t>
      </w:r>
      <w:r>
        <w:rPr>
          <w:rFonts w:ascii="Times New Roman" w:cs="Times New Roman" w:eastAsia="Times New Roman" w:hAnsi="Times New Roman"/>
          <w:sz w:val="18"/>
          <w:szCs w:val="18"/>
          <w:u w:val="single" w:color="auto"/>
          <w:color w:val="auto"/>
        </w:rPr>
        <w:t>5.16</w:t>
      </w:r>
      <w:r>
        <w:rPr>
          <w:rFonts w:ascii="Times New Roman" w:cs="Times New Roman" w:eastAsia="Times New Roman" w:hAnsi="Times New Roman"/>
          <w:sz w:val="18"/>
          <w:szCs w:val="18"/>
          <w:color w:val="auto"/>
        </w:rPr>
        <w:t xml:space="preserve"> (Further Assurances)) or violates any covenant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u w:val="single" w:color="auto"/>
          <w:color w:val="auto"/>
        </w:rPr>
      </w:pPr>
    </w:p>
    <w:p>
      <w:pPr>
        <w:jc w:val="both"/>
        <w:ind w:firstLine="1505"/>
        <w:spacing w:after="0" w:line="266" w:lineRule="auto"/>
        <w:tabs>
          <w:tab w:leader="none" w:pos="2036" w:val="left"/>
        </w:tabs>
        <w:numPr>
          <w:ilvl w:val="0"/>
          <w:numId w:val="10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Borrower fails or neglects to perform, keep, or observe any other term, provision, condition, covenant or agreement contained in this Agreement or any Loan Documents, and as to any default (other than those specified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under such other term, provision, condition, covenant or agreement that can be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6" w:name="page117"/>
    <w:bookmarkEnd w:id="116"/>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cured, has failed to cure the default within ten (10) days after the occurrence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(if any) or any other covenants that are required to be satisfied, completed or tested by a date certain or any covenants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7.3 Material Adverse Change</w:t>
      </w:r>
      <w:r>
        <w:rPr>
          <w:rFonts w:ascii="Times New Roman" w:cs="Times New Roman" w:eastAsia="Times New Roman" w:hAnsi="Times New Roman"/>
          <w:sz w:val="18"/>
          <w:szCs w:val="18"/>
          <w:color w:val="auto"/>
        </w:rPr>
        <w:t>. A Material Adverse Change occurs;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7.4 Attachment; Levy; Restraint on Business.</w:t>
      </w:r>
    </w:p>
    <w:p>
      <w:pPr>
        <w:spacing w:after="0" w:line="229" w:lineRule="exact"/>
        <w:rPr>
          <w:sz w:val="20"/>
          <w:szCs w:val="20"/>
          <w:color w:val="auto"/>
        </w:rPr>
      </w:pPr>
    </w:p>
    <w:p>
      <w:pPr>
        <w:jc w:val="both"/>
        <w:ind w:firstLine="1505"/>
        <w:spacing w:after="0" w:line="258" w:lineRule="auto"/>
        <w:tabs>
          <w:tab w:leader="none" w:pos="2036" w:val="left"/>
        </w:tabs>
        <w:numPr>
          <w:ilvl w:val="0"/>
          <w:numId w:val="10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(i) The service of process seeking to attach, by trustee or similar process, any funds of Borrower or any Subsidiary in excess of Five Hundred Thousand Dollars ($500,000), or (ii) a notice of lien or levy is filed against any of Borrower’s or any of its Subsidiaries’ assets with a value in excess of Five Hundred Thousand Dollars ($500,000) by any Governmental Authority, and the same under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hereof are not, within ten (10) days after the occurrence thereof, discharged or stayed (whether through the posting of a bond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 Credit Extensions shall be made during any ten (10) day cure period; or</w:t>
      </w:r>
    </w:p>
    <w:p>
      <w:pPr>
        <w:spacing w:after="0" w:line="183" w:lineRule="exact"/>
        <w:rPr>
          <w:rFonts w:ascii="Times New Roman" w:cs="Times New Roman" w:eastAsia="Times New Roman" w:hAnsi="Times New Roman"/>
          <w:sz w:val="18"/>
          <w:szCs w:val="18"/>
          <w:u w:val="single" w:color="auto"/>
          <w:color w:val="auto"/>
        </w:rPr>
      </w:pPr>
    </w:p>
    <w:p>
      <w:pPr>
        <w:jc w:val="both"/>
        <w:ind w:firstLine="1505"/>
        <w:spacing w:after="0" w:line="266" w:lineRule="auto"/>
        <w:tabs>
          <w:tab w:leader="none" w:pos="2036" w:val="left"/>
        </w:tabs>
        <w:numPr>
          <w:ilvl w:val="0"/>
          <w:numId w:val="10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(i) any material portion of Borrower’s or any of its Subsidiaries’ assets is attached, seized, levied on, or comes into possession of a trustee or receiver, or (ii) any court order enjoins, restrains, or prevents Borrower or any of its Subsidiaries from conducting all or any material part of its business;</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7.5 Insolvency. </w:t>
      </w:r>
      <w:r>
        <w:rPr>
          <w:rFonts w:ascii="Times New Roman" w:cs="Times New Roman" w:eastAsia="Times New Roman" w:hAnsi="Times New Roman"/>
          <w:sz w:val="18"/>
          <w:szCs w:val="18"/>
          <w:color w:val="auto"/>
        </w:rPr>
        <w:t>(a) Borrower or any of its Subsidiaries is unable to pay its debts (including trade debts) as they become due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becomes insolvent; (b) Borrower or any of its Subsidiaries begins an Insolvency Proceeding; or (c) an Insolvency Proceeding is begun against Borrower or any of its Subsidiaries and is not dismissed or stayed within thirty (30) days (but no Credit Extensions shall be made while any of the conditions described in clause (a) exist or until any Insolvency Proceeding is dismissed);</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7.6 Other Agreements. </w:t>
      </w:r>
      <w:r>
        <w:rPr>
          <w:rFonts w:ascii="Times New Roman" w:cs="Times New Roman" w:eastAsia="Times New Roman" w:hAnsi="Times New Roman"/>
          <w:sz w:val="18"/>
          <w:szCs w:val="18"/>
          <w:color w:val="auto"/>
        </w:rPr>
        <w:t>There is, under any agreement to which Borrower, any of Borrower’s Subsidiaries, or any Guarantor is a party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party or parties, (a) any default resulting in a right by such third party or parties, whether or not exercised, to accelerate the maturity of any Indebtedness in an amount individually or in the aggregate in excess of Five Hundred Thousand Dollars ($500,000); or (b) any breach or default by Borrower, any of Borrower’s Subsidiaries, or Guarantor, the result of which could reasonably be expected to have a material adverse effect on Borrower’s, any of Borrower’s Subsidiaries’, or any Guarantor’s business or operations; provided, however, that the Event of Default under this Section 7.6 caused by the occurrence of a breach or default under such other agreement shall be cured or waived for purposes of this Agreement upon Bank receiving written notice from the party asserting such breach or default of such cure or waiver of the breach or default under such other agreement, if at the time of such cure or waiver under such other agreement (x) Bank has not declared an Event of Default under this Agreement and/or exercised any rights with respect thereto;</w:t>
      </w:r>
    </w:p>
    <w:p>
      <w:pPr>
        <w:spacing w:after="0" w:line="5" w:lineRule="exact"/>
        <w:rPr>
          <w:sz w:val="20"/>
          <w:szCs w:val="20"/>
          <w:color w:val="auto"/>
        </w:rPr>
      </w:pPr>
    </w:p>
    <w:p>
      <w:pPr>
        <w:jc w:val="both"/>
        <w:ind w:firstLine="8"/>
        <w:spacing w:after="0" w:line="255" w:lineRule="auto"/>
        <w:tabs>
          <w:tab w:leader="none" w:pos="28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cure or waiver does not result in an Event of Default under any other provision of this Agreement or any Loan Document; and (z) in connection with any such cure or waiver under such other agreement, the terms of any agreement with such third party are not modified or amended in any manner which could in the good faith business judgment of Bank be materially less advantageous to Borrower.</w:t>
      </w:r>
    </w:p>
    <w:p>
      <w:pPr>
        <w:spacing w:after="0" w:line="18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7.7 Judgments; Penalties. </w:t>
      </w:r>
      <w:r>
        <w:rPr>
          <w:rFonts w:ascii="Times New Roman" w:cs="Times New Roman" w:eastAsia="Times New Roman" w:hAnsi="Times New Roman"/>
          <w:sz w:val="18"/>
          <w:szCs w:val="18"/>
          <w:color w:val="auto"/>
        </w:rPr>
        <w:t>One or more fines, penalties or final judgments, orders or decrees for the payment of money in an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individually or in the aggregate, or litigation or other dispute resolution settlement payments by Borrower or any of its Subsidiaries, of at least Five Hundred Thousand Dollars ($500,000) (not covered by independent third-party insurance as to which liability has been accepted by such insurance carrier) shall be rendered against Borrower or any of its Subsidiaries by any Governmental Authority, and the same are not, within ten (10) days after the acceptance, entry, assessment or issuance thereof, discharged, or after execution thereof, or stayed pending appeal, or such judgments are not discharged prior to the expiration of any such stay (provided that no Credit Extensions will be made prior to the discharge, or stay of such fine, penalty, judgment, order or decree);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7" w:name="page118"/>
    <w:bookmarkEnd w:id="117"/>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7.8 Misrepresentations. </w:t>
      </w:r>
      <w:r>
        <w:rPr>
          <w:rFonts w:ascii="Times New Roman" w:cs="Times New Roman" w:eastAsia="Times New Roman" w:hAnsi="Times New Roman"/>
          <w:sz w:val="18"/>
          <w:szCs w:val="18"/>
          <w:color w:val="auto"/>
        </w:rPr>
        <w:t>Borrower or any of its Subsidiaries or any Person acting for Borrower or any of its Subsidiaries makes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 warranty, or other statement now or later in this Agreement, any Loan Document or in any writing delivered to Bank or to induce Bank to enter this Agreement or any Loan Document, and such representation, warranty, or other statement is incorrect in any material respect when made (it being agreed and acknowledged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w:t>
      </w:r>
    </w:p>
    <w:p>
      <w:pPr>
        <w:spacing w:after="0" w:line="18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7.9 Subordinated Debt. </w:t>
      </w:r>
      <w:r>
        <w:rPr>
          <w:rFonts w:ascii="Times New Roman" w:cs="Times New Roman" w:eastAsia="Times New Roman" w:hAnsi="Times New Roman"/>
          <w:sz w:val="18"/>
          <w:szCs w:val="18"/>
          <w:color w:val="auto"/>
        </w:rPr>
        <w:t>If: (a) any document, instrument, or agreement evidencing any Subordinated Debt shall for any reason be revoked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invalidated or otherwise cease to be in full force and effect, or any Person (other than Bank) shall be in breach thereof or contest in any manner the validity or enforceability thereof or deny that it has any further liability or obligation thereunder; (b) a default or event of default (however defined) has occurred under any document, instrument, or agreement evidencing any Subordinated Debt, which default shall not have been cured or waived within any applicable grace period; or (c) the Obligations shall for any reason be subordinated or shall not have the priority contemplated by this Agreement or any applicable subordination or intercreditor agreement;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7.10Lien Priority</w:t>
      </w:r>
      <w:r>
        <w:rPr>
          <w:rFonts w:ascii="Times New Roman" w:cs="Times New Roman" w:eastAsia="Times New Roman" w:hAnsi="Times New Roman"/>
          <w:sz w:val="18"/>
          <w:szCs w:val="18"/>
          <w:color w:val="auto"/>
        </w:rPr>
        <w:t>. There is a material impairment in the perfection or priority of Bank’s security interest in the Collateral;</w:t>
      </w:r>
    </w:p>
    <w:p>
      <w:pPr>
        <w:spacing w:after="0" w:line="22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7.11Guaranty. </w:t>
      </w:r>
      <w:r>
        <w:rPr>
          <w:rFonts w:ascii="Times New Roman" w:cs="Times New Roman" w:eastAsia="Times New Roman" w:hAnsi="Times New Roman"/>
          <w:sz w:val="18"/>
          <w:szCs w:val="18"/>
          <w:color w:val="auto"/>
        </w:rPr>
        <w:t>(a) Any guaranty of any Obligations terminates or ceases for any reason to be in full force and effect; (b) any Guarantor does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perform any obligation or covenant under any guaranty of the Obligations; (c) any circumstance described in </w:t>
      </w:r>
      <w:r>
        <w:rPr>
          <w:rFonts w:ascii="Times New Roman" w:cs="Times New Roman" w:eastAsia="Times New Roman" w:hAnsi="Times New Roman"/>
          <w:sz w:val="18"/>
          <w:szCs w:val="18"/>
          <w:u w:val="single" w:color="auto"/>
          <w:color w:val="auto"/>
        </w:rPr>
        <w:t>Sections 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7.12</w:t>
      </w:r>
      <w:r>
        <w:rPr>
          <w:rFonts w:ascii="Times New Roman" w:cs="Times New Roman" w:eastAsia="Times New Roman" w:hAnsi="Times New Roman"/>
          <w:sz w:val="18"/>
          <w:szCs w:val="18"/>
          <w:color w:val="auto"/>
        </w:rPr>
        <w:t xml:space="preserve"> of this Agreement occurs with respect to any Guarantor, (d) the death, liquidation, winding up, or termination of existence of any Guarantor; or (e)(i) a material impairment in the perfection or priority of Bank’s Lien in the collateral provided by Guarantor or in the value of such collateral or (ii) a material adverse change in the general affairs, management, results of operation, condition (financial or otherwise) or the prospect of repayment of the Obligations occurs with respect to any Guarantor; or</w:t>
      </w:r>
    </w:p>
    <w:p>
      <w:pPr>
        <w:spacing w:after="0" w:line="18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7.12Governmental Approvals. </w:t>
      </w:r>
      <w:r>
        <w:rPr>
          <w:rFonts w:ascii="Times New Roman" w:cs="Times New Roman" w:eastAsia="Times New Roman" w:hAnsi="Times New Roman"/>
          <w:sz w:val="18"/>
          <w:szCs w:val="18"/>
          <w:color w:val="auto"/>
        </w:rPr>
        <w:t>Any Governmental Approval shall have been (a) revoked, rescinded, suspended, modified in an adverse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(i) causes, or could reasonably be expected to cause, a Material Adverse Change, or (ii) materially and adversely affects the legal qualifications of Borrower or any of its Subsidiaries to hold such Governmental Approval material to Borrower’s business in any applicable jurisdiction and such revocation, rescission, suspension, modification or non-renewal could reasonably be expected to affect the status of or legal qualifications of Borrower or any of its Subsidiaries to hold any Governmental Approval in any other jurisdiction.</w:t>
      </w:r>
    </w:p>
    <w:p>
      <w:pPr>
        <w:spacing w:after="0" w:line="185"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7.13Delisting</w:t>
      </w:r>
      <w:r>
        <w:rPr>
          <w:rFonts w:ascii="Times New Roman" w:cs="Times New Roman" w:eastAsia="Times New Roman" w:hAnsi="Times New Roman"/>
          <w:sz w:val="18"/>
          <w:szCs w:val="18"/>
          <w:color w:val="auto"/>
        </w:rPr>
        <w:t>. Borrower’s common stock shares are delisted from an exchange or market because of Borrower’s failure to comply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continued listing standards thereof or due to a voluntary delisting which results in such shares not being listed on such exchange or market.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8.  BANK’S RIGHTS AND REMEDIES</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 Rights and Remedies. </w:t>
      </w:r>
      <w:r>
        <w:rPr>
          <w:rFonts w:ascii="Times New Roman" w:cs="Times New Roman" w:eastAsia="Times New Roman" w:hAnsi="Times New Roman"/>
          <w:sz w:val="18"/>
          <w:szCs w:val="18"/>
          <w:color w:val="auto"/>
        </w:rPr>
        <w:t>Upon the occurrence and during the continuance of an Event of Default, Bank may, without notice or demand, 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or all of the following:</w:t>
      </w:r>
    </w:p>
    <w:p>
      <w:pPr>
        <w:spacing w:after="0" w:line="159" w:lineRule="exact"/>
        <w:rPr>
          <w:sz w:val="20"/>
          <w:szCs w:val="20"/>
          <w:color w:val="auto"/>
        </w:rPr>
      </w:pPr>
    </w:p>
    <w:p>
      <w:pPr>
        <w:ind w:firstLine="1505"/>
        <w:spacing w:after="0" w:line="282" w:lineRule="auto"/>
        <w:tabs>
          <w:tab w:leader="none" w:pos="2036" w:val="left"/>
        </w:tabs>
        <w:numPr>
          <w:ilvl w:val="0"/>
          <w:numId w:val="11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declare all Obligations immediately due and payable (but if an Event of Default described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occurs all Obligations are immediately due and payable without any action by Bank);</w:t>
      </w:r>
    </w:p>
    <w:p>
      <w:pPr>
        <w:spacing w:after="0" w:line="161" w:lineRule="exact"/>
        <w:rPr>
          <w:rFonts w:ascii="Times New Roman" w:cs="Times New Roman" w:eastAsia="Times New Roman" w:hAnsi="Times New Roman"/>
          <w:sz w:val="18"/>
          <w:szCs w:val="18"/>
          <w:u w:val="single" w:color="auto"/>
          <w:color w:val="auto"/>
        </w:rPr>
      </w:pPr>
    </w:p>
    <w:p>
      <w:pPr>
        <w:ind w:left="2040" w:hanging="535"/>
        <w:spacing w:after="0"/>
        <w:tabs>
          <w:tab w:leader="none" w:pos="2040" w:val="left"/>
        </w:tabs>
        <w:numPr>
          <w:ilvl w:val="0"/>
          <w:numId w:val="11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stop advancing money or extending credit for Borrower’s benefit under this Agreement or under any other agreement between</w:t>
      </w:r>
    </w:p>
    <w:p>
      <w:pPr>
        <w:spacing w:after="0" w:line="27" w:lineRule="exact"/>
        <w:rPr>
          <w:rFonts w:ascii="Times New Roman" w:cs="Times New Roman" w:eastAsia="Times New Roman" w:hAnsi="Times New Roman"/>
          <w:sz w:val="18"/>
          <w:szCs w:val="18"/>
          <w:u w:val="single" w:color="auto"/>
          <w:color w:val="auto"/>
        </w:rPr>
      </w:pPr>
    </w:p>
    <w:p>
      <w:pPr>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Borrower and Bank;</w:t>
      </w:r>
    </w:p>
    <w:p>
      <w:pPr>
        <w:spacing w:after="0" w:line="206" w:lineRule="exact"/>
        <w:rPr>
          <w:rFonts w:ascii="Times New Roman" w:cs="Times New Roman" w:eastAsia="Times New Roman" w:hAnsi="Times New Roman"/>
          <w:sz w:val="18"/>
          <w:szCs w:val="18"/>
          <w:u w:val="single" w:color="auto"/>
          <w:color w:val="auto"/>
        </w:rPr>
      </w:pPr>
    </w:p>
    <w:p>
      <w:pPr>
        <w:ind w:firstLine="1505"/>
        <w:spacing w:after="0" w:line="282" w:lineRule="auto"/>
        <w:tabs>
          <w:tab w:leader="none" w:pos="2036" w:val="left"/>
        </w:tabs>
        <w:numPr>
          <w:ilvl w:val="0"/>
          <w:numId w:val="11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demand that Borrower (i) deposit cash with Bank in an amount equal to at least (A) one hundred five percent (105.0%) of the aggregate face amount of any Letters of Credit denominated in Dollars remaining</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8" w:name="page119"/>
    <w:bookmarkEnd w:id="118"/>
    <w:p>
      <w:pPr>
        <w:jc w:val="both"/>
        <w:spacing w:after="0" w:line="258" w:lineRule="auto"/>
        <w:rPr>
          <w:sz w:val="20"/>
          <w:szCs w:val="20"/>
          <w:color w:val="auto"/>
        </w:rPr>
      </w:pPr>
      <w:r>
        <w:rPr>
          <w:rFonts w:ascii="Times New Roman" w:cs="Times New Roman" w:eastAsia="Times New Roman" w:hAnsi="Times New Roman"/>
          <w:sz w:val="18"/>
          <w:szCs w:val="18"/>
          <w:color w:val="auto"/>
        </w:rPr>
        <w:t>undrawn, and (B) one hundred ten percent (110.0%) of the Dollar Equivalent of the aggregate face amount of any Letters of Credit denominated in a Foreign Currency remaining undrawn (plus, in each case, all interest, fees, and costs due or estimated by Bank to become due in connection therewith),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183" w:lineRule="exact"/>
        <w:rPr>
          <w:sz w:val="20"/>
          <w:szCs w:val="20"/>
          <w:color w:val="auto"/>
        </w:rPr>
      </w:pPr>
    </w:p>
    <w:p>
      <w:pPr>
        <w:jc w:val="both"/>
        <w:ind w:firstLine="1505"/>
        <w:spacing w:after="0" w:line="258" w:lineRule="auto"/>
        <w:tabs>
          <w:tab w:leader="none" w:pos="2036" w:val="left"/>
        </w:tabs>
        <w:numPr>
          <w:ilvl w:val="0"/>
          <w:numId w:val="11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terminate any FX Contracts (it being understood and agreed that (i) Bank is not obligated to deliver the currency which Borrower has contracted to receive under any FX Contract, and Bank may cover its exposure for any FX Contracts by purchasing or selling currency in the interbank market as Bank deems appropriate; (ii) Borrower shall be liable for all losses, damages, costs, margin obligations and expenses incurred by Bank arising from Borrower’s failure to satisfy its obligations under any FX Contract or the execution of any FX Contract; and (iii) Bank shall not be liable to Borrower for any gain in value of a FX Contract that Bank may obtain in covering Borrower’s breach);</w:t>
      </w:r>
    </w:p>
    <w:p>
      <w:pPr>
        <w:spacing w:after="0" w:line="183" w:lineRule="exact"/>
        <w:rPr>
          <w:rFonts w:ascii="Times New Roman" w:cs="Times New Roman" w:eastAsia="Times New Roman" w:hAnsi="Times New Roman"/>
          <w:sz w:val="18"/>
          <w:szCs w:val="18"/>
          <w:u w:val="single" w:color="auto"/>
          <w:color w:val="auto"/>
        </w:rPr>
      </w:pPr>
    </w:p>
    <w:p>
      <w:pPr>
        <w:jc w:val="both"/>
        <w:ind w:firstLine="1505"/>
        <w:spacing w:after="0" w:line="266" w:lineRule="auto"/>
        <w:tabs>
          <w:tab w:leader="none" w:pos="2036" w:val="left"/>
        </w:tabs>
        <w:numPr>
          <w:ilvl w:val="0"/>
          <w:numId w:val="11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w:t>
      </w:r>
    </w:p>
    <w:p>
      <w:pPr>
        <w:spacing w:after="0" w:line="175" w:lineRule="exact"/>
        <w:rPr>
          <w:rFonts w:ascii="Times New Roman" w:cs="Times New Roman" w:eastAsia="Times New Roman" w:hAnsi="Times New Roman"/>
          <w:sz w:val="18"/>
          <w:szCs w:val="18"/>
          <w:u w:val="single" w:color="auto"/>
          <w:color w:val="auto"/>
        </w:rPr>
      </w:pPr>
    </w:p>
    <w:p>
      <w:pPr>
        <w:jc w:val="both"/>
        <w:ind w:firstLine="1505"/>
        <w:spacing w:after="0" w:line="258" w:lineRule="auto"/>
        <w:tabs>
          <w:tab w:leader="none" w:pos="2036" w:val="left"/>
        </w:tabs>
        <w:numPr>
          <w:ilvl w:val="0"/>
          <w:numId w:val="11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 pursuant to this Agreement;</w:t>
      </w:r>
    </w:p>
    <w:p>
      <w:pPr>
        <w:spacing w:after="0" w:line="183" w:lineRule="exact"/>
        <w:rPr>
          <w:rFonts w:ascii="Times New Roman" w:cs="Times New Roman" w:eastAsia="Times New Roman" w:hAnsi="Times New Roman"/>
          <w:sz w:val="18"/>
          <w:szCs w:val="18"/>
          <w:u w:val="single" w:color="auto"/>
          <w:color w:val="auto"/>
        </w:rPr>
      </w:pPr>
    </w:p>
    <w:p>
      <w:pPr>
        <w:ind w:firstLine="1505"/>
        <w:spacing w:after="0" w:line="282" w:lineRule="auto"/>
        <w:tabs>
          <w:tab w:leader="none" w:pos="2036" w:val="left"/>
        </w:tabs>
        <w:numPr>
          <w:ilvl w:val="0"/>
          <w:numId w:val="11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apply to the Obligations any (i) balances and deposits of Borrower it holds, or (ii) amount held by Bank owing to or for the credit or the account of Borrower;</w:t>
      </w:r>
    </w:p>
    <w:p>
      <w:pPr>
        <w:spacing w:after="0" w:line="161" w:lineRule="exact"/>
        <w:rPr>
          <w:rFonts w:ascii="Times New Roman" w:cs="Times New Roman" w:eastAsia="Times New Roman" w:hAnsi="Times New Roman"/>
          <w:sz w:val="18"/>
          <w:szCs w:val="18"/>
          <w:u w:val="single" w:color="auto"/>
          <w:color w:val="auto"/>
        </w:rPr>
      </w:pPr>
    </w:p>
    <w:p>
      <w:pPr>
        <w:jc w:val="both"/>
        <w:ind w:firstLine="1505"/>
        <w:spacing w:after="0" w:line="277" w:lineRule="auto"/>
        <w:tabs>
          <w:tab w:leader="none" w:pos="2036" w:val="left"/>
        </w:tabs>
        <w:numPr>
          <w:ilvl w:val="0"/>
          <w:numId w:val="111"/>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ship, reclaim, recover, store, finish, maintain, repair, prepare for sale, advertise for sale, and sell the Collateral. For use solely upon the occurrence and during the continuation of an Event of Default,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8.1, Borrower’s rights under all licenses and all franchise agreements inure to Bank’s benefit;</w:t>
      </w:r>
    </w:p>
    <w:p>
      <w:pPr>
        <w:spacing w:after="0" w:line="167" w:lineRule="exact"/>
        <w:rPr>
          <w:rFonts w:ascii="Times New Roman" w:cs="Times New Roman" w:eastAsia="Times New Roman" w:hAnsi="Times New Roman"/>
          <w:sz w:val="17"/>
          <w:szCs w:val="17"/>
          <w:u w:val="single" w:color="auto"/>
          <w:color w:val="auto"/>
        </w:rPr>
      </w:pPr>
    </w:p>
    <w:p>
      <w:pPr>
        <w:ind w:right="20" w:firstLine="1505"/>
        <w:spacing w:after="0" w:line="282" w:lineRule="auto"/>
        <w:tabs>
          <w:tab w:leader="none" w:pos="2036" w:val="left"/>
        </w:tabs>
        <w:numPr>
          <w:ilvl w:val="0"/>
          <w:numId w:val="11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161" w:lineRule="exact"/>
        <w:rPr>
          <w:rFonts w:ascii="Times New Roman" w:cs="Times New Roman" w:eastAsia="Times New Roman" w:hAnsi="Times New Roman"/>
          <w:sz w:val="18"/>
          <w:szCs w:val="18"/>
          <w:u w:val="single" w:color="auto"/>
          <w:color w:val="auto"/>
        </w:rPr>
      </w:pPr>
    </w:p>
    <w:p>
      <w:pPr>
        <w:ind w:left="2040" w:hanging="535"/>
        <w:spacing w:after="0"/>
        <w:tabs>
          <w:tab w:leader="none" w:pos="2040" w:val="left"/>
        </w:tabs>
        <w:numPr>
          <w:ilvl w:val="0"/>
          <w:numId w:val="11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demand and receive possession of Borrower’s Books; and</w:t>
      </w:r>
    </w:p>
    <w:p>
      <w:pPr>
        <w:spacing w:after="0" w:line="225" w:lineRule="exact"/>
        <w:rPr>
          <w:rFonts w:ascii="Times New Roman" w:cs="Times New Roman" w:eastAsia="Times New Roman" w:hAnsi="Times New Roman"/>
          <w:sz w:val="18"/>
          <w:szCs w:val="18"/>
          <w:u w:val="single" w:color="auto"/>
          <w:color w:val="auto"/>
        </w:rPr>
      </w:pPr>
    </w:p>
    <w:p>
      <w:pPr>
        <w:ind w:firstLine="1505"/>
        <w:spacing w:after="0" w:line="282" w:lineRule="auto"/>
        <w:tabs>
          <w:tab w:leader="none" w:pos="2036" w:val="left"/>
        </w:tabs>
        <w:numPr>
          <w:ilvl w:val="0"/>
          <w:numId w:val="11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exercise all rights and remedies available to Bank under the Loan Documents or at law or equity, including all remedies provided under the Code or any Applicable Law (including disposal of the Collateral pursuant to the terms thereof).</w:t>
      </w:r>
    </w:p>
    <w:p>
      <w:pPr>
        <w:spacing w:after="0" w:line="158"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8.2 Power of Attorney. </w:t>
      </w:r>
      <w:r>
        <w:rPr>
          <w:rFonts w:ascii="Times New Roman" w:cs="Times New Roman" w:eastAsia="Times New Roman" w:hAnsi="Times New Roman"/>
          <w:sz w:val="18"/>
          <w:szCs w:val="18"/>
          <w:color w:val="auto"/>
        </w:rPr>
        <w:t>Borrower hereby irrevocably appoints Bank as its true and lawful attorney-in-fact, (a) exercisable upon the occurrence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during the continuance of an Event of Default, to: (i) endorse Borrower’s name on any checks, payment instruments, or other forms of payment or security; (ii) sign Borrower’s name on any invoice or bill of lading for any Account or drafts against Account Debtors; (iii)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Bank’s or Borrower’s name, as Bank chooses); (iv) make,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9" w:name="page120"/>
    <w:bookmarkEnd w:id="119"/>
    <w:p>
      <w:pPr>
        <w:jc w:val="both"/>
        <w:spacing w:after="0" w:line="254" w:lineRule="auto"/>
        <w:rPr>
          <w:sz w:val="20"/>
          <w:szCs w:val="20"/>
          <w:color w:val="auto"/>
        </w:rPr>
      </w:pPr>
      <w:r>
        <w:rPr>
          <w:rFonts w:ascii="Times New Roman" w:cs="Times New Roman" w:eastAsia="Times New Roman" w:hAnsi="Times New Roman"/>
          <w:sz w:val="18"/>
          <w:szCs w:val="18"/>
          <w:color w:val="auto"/>
        </w:rPr>
        <w:t>settle, and adjust all claims under Borrower’s insurance policies; (v) pay, contest or settle any Lien, charge, encumbrance, security interest, or other claim in or to the Collateral, or any judgment based thereon, or otherwise take any action to terminate or discharge the same; and (vi) transfer the Collateral into the name of Bank or a third party as the Code permits; and (vii) receive, open and dispose of mail addressed to Borrower; and (b) regardless of whether an Event of Default has occurred, to (i) notify all Account Debtors to pay Bank directly; and (ii) sign Borrower’s name on any documents necessary to perfect or continue the perfection of Bank’s security interest in the Collateral. Bank’s foregoing appointment as Borrower’s attorney in fact, and all of Bank’s rights and powers, coupled with an interest, are irrevocable until such time as all Obligations (other than inchoate indemnity obligations) have been satisfied in full, Bank is under no further obligation to make Credit Extensions and the Loan Documents have been terminated. Bank shall not incur any liability in connection with or arising from the exercise of such power of attorney and shall have no obligation to exercise any of the foregoing rights and remedies.</w:t>
      </w:r>
    </w:p>
    <w:p>
      <w:pPr>
        <w:spacing w:after="0" w:line="184"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8.3 Protective Payments. </w:t>
      </w:r>
      <w:r>
        <w:rPr>
          <w:rFonts w:ascii="Times New Roman" w:cs="Times New Roman" w:eastAsia="Times New Roman" w:hAnsi="Times New Roman"/>
          <w:sz w:val="18"/>
          <w:szCs w:val="18"/>
          <w:color w:val="auto"/>
        </w:rPr>
        <w:t>If Borrower fails to obtain the insurance called for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fails to pay any premium thereon or fails to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18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8.4 Application of Payments and Proceeds. </w:t>
      </w:r>
      <w:r>
        <w:rPr>
          <w:rFonts w:ascii="Times New Roman" w:cs="Times New Roman" w:eastAsia="Times New Roman" w:hAnsi="Times New Roman"/>
          <w:sz w:val="18"/>
          <w:szCs w:val="18"/>
          <w:color w:val="auto"/>
        </w:rPr>
        <w:t>Bank may apply any funds in its possession, whether from Borrower account balances,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proceeds realized as the result of any collection of Accounts or other disposition of the Collateral, or otherwise, to the Obligations in such order as Bank shall determine in its sole discretion. Any surplus shall be paid to Borrower or other Persons legally entitled thereto; Borrower shall remain liable to Bank for any deficiency. If Bank, in its commercially reasonable discretion,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82"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8.5 Bank’s Liability for Collateral. </w:t>
      </w:r>
      <w:r>
        <w:rPr>
          <w:rFonts w:ascii="Times New Roman" w:cs="Times New Roman" w:eastAsia="Times New Roman" w:hAnsi="Times New Roman"/>
          <w:sz w:val="18"/>
          <w:szCs w:val="18"/>
          <w:color w:val="auto"/>
        </w:rPr>
        <w:t>Bank’s sole duty with respect to the custody, safekeeping and physical preservation of the Collateral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possession or under its control, under Section 9-207 of the Code or otherwise, shall be to deal with it in the same manner as Bank deals with its own property consisting of similar instruments or interests. Borrower bears all risk of loss, damage or destruction of the Collateral.</w:t>
      </w:r>
    </w:p>
    <w:p>
      <w:pPr>
        <w:spacing w:after="0" w:line="17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8.6 No Waiver; Remedies Cumulative. </w:t>
      </w:r>
      <w:r>
        <w:rPr>
          <w:rFonts w:ascii="Times New Roman" w:cs="Times New Roman" w:eastAsia="Times New Roman" w:hAnsi="Times New Roman"/>
          <w:sz w:val="18"/>
          <w:szCs w:val="18"/>
          <w:color w:val="auto"/>
        </w:rPr>
        <w:t>Bank’s failure, at any time or times, to require strict performance by Borrower of any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8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8.7 Demand Waiver. </w:t>
      </w:r>
      <w:r>
        <w:rPr>
          <w:rFonts w:ascii="Times New Roman" w:cs="Times New Roman" w:eastAsia="Times New Roman" w:hAnsi="Times New Roman"/>
          <w:sz w:val="18"/>
          <w:szCs w:val="18"/>
          <w:color w:val="auto"/>
        </w:rPr>
        <w:t>Borrower waives demand, notice of default or dishonor, notice of payment and nonpayment, notice of any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nonpayment at maturity, release, compromise, settlement, extension, or renewal of accounts, documents, instruments, chattel paper, and guarantees held by Bank on which Borrower is liable.</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9.  NOTICES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(c) one (1) Business Day after deposit with a reputable overnight courier with all charges prepaid; or (d) when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0" w:name="page121"/>
    <w:bookmarkEnd w:id="120"/>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delivered, if hand-delivered by messenger, all of which shall be addressed to the party to be notified and sent to the address or email address indicated below;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for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if such notice, consent, request, approval, demand or other communication is not sent during the normal business hours of the recipient, it shall be deemed to have been sent at the opening of business on the next Business Day of the recipient. Bank or Borrower may change its mailing or electronic mail address by giving the other party written notice thereof in accordance with the terms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500"/>
        <w:spacing w:after="0"/>
        <w:tabs>
          <w:tab w:leader="none" w:pos="2920" w:val="left"/>
        </w:tabs>
        <w:rPr>
          <w:sz w:val="20"/>
          <w:szCs w:val="20"/>
          <w:color w:val="auto"/>
        </w:rPr>
      </w:pPr>
      <w:r>
        <w:rPr>
          <w:rFonts w:ascii="Times New Roman" w:cs="Times New Roman" w:eastAsia="Times New Roman" w:hAnsi="Times New Roman"/>
          <w:sz w:val="18"/>
          <w:szCs w:val="18"/>
          <w:color w:val="auto"/>
        </w:rPr>
        <w:t>If to Borrower:</w:t>
      </w:r>
      <w:r>
        <w:rPr>
          <w:sz w:val="20"/>
          <w:szCs w:val="20"/>
          <w:color w:val="auto"/>
        </w:rPr>
        <w:tab/>
      </w:r>
      <w:r>
        <w:rPr>
          <w:rFonts w:ascii="Times New Roman" w:cs="Times New Roman" w:eastAsia="Times New Roman" w:hAnsi="Times New Roman"/>
          <w:sz w:val="17"/>
          <w:szCs w:val="17"/>
          <w:color w:val="auto"/>
        </w:rPr>
        <w:t>Tenaya Therapeutics, Inc.</w:t>
      </w:r>
    </w:p>
    <w:p>
      <w:pPr>
        <w:spacing w:after="0" w:line="2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171 Oyster Point Blvd., Suite 500</w:t>
      </w:r>
    </w:p>
    <w:p>
      <w:pPr>
        <w:spacing w:after="0" w:line="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Website URL: https://www.tenayatherapeutics.com/</w:t>
      </w:r>
    </w:p>
    <w:p>
      <w:pPr>
        <w:spacing w:after="0" w:line="200" w:lineRule="exact"/>
        <w:rPr>
          <w:sz w:val="20"/>
          <w:szCs w:val="20"/>
          <w:color w:val="auto"/>
        </w:rPr>
      </w:pP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Wilson Sonsini Goodrich &amp; Rosati, P.C.</w:t>
      </w:r>
    </w:p>
    <w:p>
      <w:pPr>
        <w:spacing w:after="0" w:line="2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pacing w:after="0" w:line="223" w:lineRule="exact"/>
        <w:rPr>
          <w:sz w:val="20"/>
          <w:szCs w:val="20"/>
          <w:color w:val="auto"/>
        </w:rPr>
      </w:pPr>
    </w:p>
    <w:p>
      <w:pPr>
        <w:ind w:left="1860" w:right="3380" w:hanging="359"/>
        <w:spacing w:after="0" w:line="261" w:lineRule="auto"/>
        <w:rPr>
          <w:sz w:val="20"/>
          <w:szCs w:val="20"/>
          <w:color w:val="auto"/>
        </w:rPr>
      </w:pPr>
      <w:r>
        <w:rPr>
          <w:rFonts w:ascii="Times New Roman" w:cs="Times New Roman" w:eastAsia="Times New Roman" w:hAnsi="Times New Roman"/>
          <w:sz w:val="18"/>
          <w:szCs w:val="18"/>
          <w:color w:val="auto"/>
        </w:rPr>
        <w:t>If to Bank:</w:t>
      </w:r>
      <w:r>
        <w:rPr>
          <w:sz w:val="20"/>
          <w:szCs w:val="20"/>
          <w:color w:val="auto"/>
        </w:rPr>
        <w:t xml:space="preserve"> </w:t>
      </w:r>
      <w:r>
        <w:rPr>
          <w:rFonts w:ascii="Times New Roman" w:cs="Times New Roman" w:eastAsia="Times New Roman" w:hAnsi="Times New Roman"/>
          <w:sz w:val="18"/>
          <w:szCs w:val="18"/>
          <w:color w:val="auto"/>
        </w:rPr>
        <w:t>Silicon Valley Bank, a Division of First-Citizens Bank &amp; Trust Company 222 2nd Street, Floors 17-20</w:t>
      </w:r>
    </w:p>
    <w:p>
      <w:pPr>
        <w:ind w:left="186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4365 Executive Drive, Suite 1100</w:t>
      </w:r>
    </w:p>
    <w:p>
      <w:pPr>
        <w:spacing w:after="0" w:line="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Email: [***]</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10. CHOICE OF LAW, VENUE AND JURY TRIAL WAIVER; JUDICIAL REFERENCE</w:t>
      </w:r>
    </w:p>
    <w:p>
      <w:pPr>
        <w:spacing w:after="0" w:line="22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Except as otherwise expressly provided in any of the Loan Documents, California law governs the Loan Documents without regard to principles of conflicts of law that would require the application of the laws of another jurisdiction. Borrower and Bank each irrevocably and unconditionally submit to the exclusive jurisdiction of the State and Federal courts in San Francisco, California;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nothing in this Agreement shall be deemed to operate to preclude Bank from bringing suit or taking other legal action in any other jurisdiction with respect to the Loan Documents or to realize on the Collateral or any other security for the Obligations, or to enforce a judgment or other court order in favor of Bank. Borrower expressly, irrevocably and unconditionally submits and consents in advance to such jurisdiction in any action or suit commenced in any such court, and Borrower hereby irrevocably and unconditionally waives, to the fullest extent permitted by Applicable Law, any objection that it may have based upon lack of personal jurisdiction, improper venue, or forum non conveniens and hereby irrevocably and unconditionally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of this Agreement and that service so made shall be deemed completed upon the earlier to occur of Borrower’s actual receipt thereof or three (3) days after deposit in the U.S. mails, proper postage prepaid.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1" w:name="page122"/>
    <w:bookmarkEnd w:id="121"/>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TO THE FULLEST EXTENT PERMITTED BY APPLICABLE LAW, BORROWER AND BANK EACH WAIVES ITS RIGHT TO A JURY TRIAL OF ANY CLAIM OR CAUSE OF ACTION ARISING OUT OF OR BASED UPON THIS AGREEMENT, THE LOAN DOCUMENTS OR ANY CONTEMPLATED TRANSACTION, INCLUDING CONTRACT, TORT, BREACH OF DUTY AND ALL OTHER CLAIMS. THIS WAIVER IS A MATERIAL INDUCEMENT FOR THE PARTIES HERETO TO ENTER INTO THIS AGREEMENT. EACH PARTY HERETO HAS REVIEWED THIS WAIVER WITH ITS COUNSEL.</w:t>
      </w:r>
    </w:p>
    <w:p>
      <w:pPr>
        <w:spacing w:after="0" w:line="183"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 Francisco County, California Superior Court) appointed in accordance with California Code of Civil Procedure Section 638 (or pursuant to comparable provisions of federal law if the dispute falls within the exclusive jurisdiction of the federal courts), sitting without a jury, in San Francisco County, California; and the parties hereby submit to the jurisdiction of such court. The reference proceedings shall be conducted pursuant to and in accordance with the provisions of California Code of Civil Procedure Sections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 Francisco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Section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survive the termination of this Agreement and the repayment of all Obligations.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11. GENERAL PROVISIONS</w:t>
      </w:r>
    </w:p>
    <w:p>
      <w:pPr>
        <w:spacing w:after="0" w:line="22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11.1Termination Prior to Maturity Date; Survival. </w:t>
      </w:r>
      <w:r>
        <w:rPr>
          <w:rFonts w:ascii="Times New Roman" w:cs="Times New Roman" w:eastAsia="Times New Roman" w:hAnsi="Times New Roman"/>
          <w:sz w:val="18"/>
          <w:szCs w:val="18"/>
          <w:color w:val="auto"/>
        </w:rPr>
        <w:t>All covenants, representations and warranties made in this Agreement shall continue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force until this Agreement has terminated pursuant to its terms and all Obligations (other than inchoate indemnity obligations) have been satisfied. So long as Borrower has satisfied the Obligations (other than inchoate indemnity obligations, and any other obligations which, by their terms, are to survive the termination of this Agreement and the repayment of all Obligations, and any Obligations under Bank Services Agreements that are cash collateralized in accordance with Section 3.3 of this Agreement), this Agreement (including any unused commitments for Term Loan Advances) may be terminated prior to the Term Loan Maturity Date by Borrower, effective three (3) Business Days after written notice of termination is given to Bank (which notice may be conditioned upon the consummation of a financing or other events and may be revoked by Borrower if such condition has not or will not occur by the proposed termination date). Those obligations that are expressly specified in this Agreement as surviving this Agreement’s termination and the repayment of all Obligations shall continue to survive notwithstanding this Agreement’s termination and the repayment of all Obligations.</w:t>
      </w:r>
    </w:p>
    <w:p>
      <w:pPr>
        <w:spacing w:after="0" w:line="188"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11.2Successors and Assigns. </w:t>
      </w:r>
      <w:r>
        <w:rPr>
          <w:rFonts w:ascii="Times New Roman" w:cs="Times New Roman" w:eastAsia="Times New Roman" w:hAnsi="Times New Roman"/>
          <w:sz w:val="18"/>
          <w:szCs w:val="18"/>
          <w:color w:val="auto"/>
        </w:rPr>
        <w:t>This Agreement binds and is for the benefit of the successors and permitted assigns of each party. Borrower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assign or transfer this Agreement or any rights or obligations under it without Bank’s prior written consent (which may be granted or withheld in Bank’s sole discretion) and any other attempted assignment or transfer by Borrower shall be null and void. Bank has the right, without the consent of or notice to Borrower, to sell, transfer, assign, negotiate, or grant participation in all or any part of, or any interest in, Bank’s obligations, rights, and benefits under this Agreement and the other Loan Documents (other than the Warrant, as to which assignment, transfer and other such actions are governed by the terms thereof).</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2" w:name="page123"/>
    <w:bookmarkEnd w:id="122"/>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Bank, acting solely for this purpose as a non-fiduciary agent of Borrower, shall maintain a register for the recordation of the names and addresses of the applicable lenders hereunder, and the applicable commitment(s) of, and principal amount (and stated interest) of the applicable loans owing to, each lender pursuant to the terms hereof from time to time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The entries in the Register shall be conclusive absent manifest error, and Borrower, Bank and the other lenders hereunder shall treat each Person whose name is recorded in the Register pursuant to the terms hereof as a lender hereunder for all purposes of this Agreement and the other Loan Documents. The Register shall be available for inspection by Borrower and any lender hereunder, at any reasonable time and from time to time upon reasonable prior notice. Bank and each other lender hereunder that sells a participation in any Term Loan Advance or commitment, acting solely for this purpose as a non-fiduciary agent of Borrower, shall maintain a register on which it enters the name and address of each participant and the principal amounts (and stated interest) of each participant’s interest in the applicable commitments or other Obligations under the Loan Documents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provided that neither Bank nor any other lender hereunder shall have any obligation to disclose all or any portion of the Participant Register (including the identity of any participant or any information relating to a participant's interest in any commitments, Letters of Credit or its other Obligations under any Loan Document) to any Person except to the extent that such disclosure is necessary to establish that such commitment, Term Loan Advance, Letter of Credit or other Obligation is in registered form under Section 5f.103-1(c) of the United States Treasury Regulations. The entries in the Participant Register shall be conclusive absent manifest error, and such lender hereunder shall treat each Person whose name is recorded in the Participant Register as the owner of such participation for all purposes of this Agreement and the other Loan Documents notwithstanding notice to the contrary.</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11.3Indemnification; Damage Waiver, etc.</w:t>
      </w:r>
    </w:p>
    <w:p>
      <w:pPr>
        <w:spacing w:after="0" w:line="229" w:lineRule="exact"/>
        <w:rPr>
          <w:sz w:val="20"/>
          <w:szCs w:val="20"/>
          <w:color w:val="auto"/>
        </w:rPr>
      </w:pPr>
    </w:p>
    <w:p>
      <w:pPr>
        <w:jc w:val="both"/>
        <w:ind w:firstLine="1505"/>
        <w:spacing w:after="0" w:line="252" w:lineRule="auto"/>
        <w:tabs>
          <w:tab w:leader="none" w:pos="2036" w:val="left"/>
        </w:tabs>
        <w:numPr>
          <w:ilvl w:val="0"/>
          <w:numId w:val="11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General Indemnification</w:t>
      </w:r>
      <w:r>
        <w:rPr>
          <w:rFonts w:ascii="Times New Roman" w:cs="Times New Roman" w:eastAsia="Times New Roman" w:hAnsi="Times New Roman"/>
          <w:sz w:val="18"/>
          <w:szCs w:val="18"/>
          <w:color w:val="auto"/>
        </w:rPr>
        <w:t>. Borrower shall indemnify, defend and hold Bank and its Affiliates and the partners, directors, officers, employees, agents, trustees, administrators, managers, advisors and representatives of Bank and its Affiliates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harmless against: all losses, claims, damages, liabilities and related expenses (including Bank Expenses and the reasonable fees, charges and disbursements of any counsel for any Indemnified Person)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xml:space="preserve">”)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Credit Extension or the use or proposed use of the proceeds therefrom, (iii) any actual or alleged presence or release of hazardous materials on or from any property owned or operated by Borrower or any of its Subsidiaries, or any environmental liability related in any way to Borrower or any of its Subsidiaries, or (iv) any actual or prospective claim, litigation, investigation or proceeding relating to any of the foregoing, whether based on contract, tort or any other theory, whether brought by a third party or by Borrower, Borrower’s equity holders, affiliates, creditors or any other person, and regardless of whether any Indemnified Person is a party thereto;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indemnity shall not, as to any Indemnified Person, be available to the extent that such losses, claims, damages, liabilities or related expenses are determined by a court of competent jurisdiction by final and nonappealable judgment to have resulted from the gross negligence or willful misconduct of such Indemnified Person. All amounts due under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shall be payable promptly after demand therefor. Notwithstanding anything to contrary given in this Agreement, this Section 11.3(a) shall not apply with respect to Taxes other than any Taxes that represent losses, claims, damages, etc. arising from any non-Tax claim.</w:t>
      </w:r>
    </w:p>
    <w:p>
      <w:pPr>
        <w:spacing w:after="0" w:line="195" w:lineRule="exact"/>
        <w:rPr>
          <w:rFonts w:ascii="Times New Roman" w:cs="Times New Roman" w:eastAsia="Times New Roman" w:hAnsi="Times New Roman"/>
          <w:sz w:val="18"/>
          <w:szCs w:val="18"/>
          <w:u w:val="single" w:color="auto"/>
          <w:color w:val="auto"/>
        </w:rPr>
      </w:pPr>
    </w:p>
    <w:p>
      <w:pPr>
        <w:jc w:val="both"/>
        <w:ind w:firstLine="1505"/>
        <w:spacing w:after="0" w:line="254" w:lineRule="auto"/>
        <w:tabs>
          <w:tab w:leader="none" w:pos="2036" w:val="left"/>
        </w:tabs>
        <w:numPr>
          <w:ilvl w:val="0"/>
          <w:numId w:val="11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Waiver of Consequential Damages, Etc</w:t>
      </w:r>
      <w:r>
        <w:rPr>
          <w:rFonts w:ascii="Times New Roman" w:cs="Times New Roman" w:eastAsia="Times New Roman" w:hAnsi="Times New Roman"/>
          <w:sz w:val="18"/>
          <w:szCs w:val="18"/>
          <w:color w:val="auto"/>
        </w:rPr>
        <w:t>. To the fullest extent permitted by Applicable Law, Borrower shall not assert, and hereby waives, any claim against Bank and its Affiliates and the partners, directors, officers, employees, agents, trustees, administrators, managers, advisors and representatives of Bank and its Affiliates (each, a “</w:t>
      </w:r>
      <w:r>
        <w:rPr>
          <w:rFonts w:ascii="Times New Roman" w:cs="Times New Roman" w:eastAsia="Times New Roman" w:hAnsi="Times New Roman"/>
          <w:sz w:val="18"/>
          <w:szCs w:val="18"/>
          <w:b w:val="1"/>
          <w:bCs w:val="1"/>
          <w:color w:val="auto"/>
        </w:rPr>
        <w:t>Protected Person</w:t>
      </w:r>
      <w:r>
        <w:rPr>
          <w:rFonts w:ascii="Times New Roman" w:cs="Times New Roman" w:eastAsia="Times New Roman" w:hAnsi="Times New Roman"/>
          <w:sz w:val="18"/>
          <w:szCs w:val="18"/>
          <w:color w:val="auto"/>
        </w:rPr>
        <w:t>”), on any theory of liability, for special, indirect, consequential or punitive damages (as opposed to direct or actual damages) or any loss of profits arising out of, in connection with, or as a result of, this Agreement, any other Loan Document or any agreement or instrument contemplated hereby, the transactions contemplated hereby or thereby, any Credit Extension, or the use of the proceeds thereof. No Protected Person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9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shall survive the termination of this Agreement and the repayment of all Obligations until all statutes of limitation with respect to the Claims, losses, and expenses for which indemnity is given shall have run.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3" w:name="page124"/>
    <w:bookmarkEnd w:id="123"/>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11.4Time of Essence. </w:t>
      </w:r>
      <w:r>
        <w:rPr>
          <w:rFonts w:ascii="Times New Roman" w:cs="Times New Roman" w:eastAsia="Times New Roman" w:hAnsi="Times New Roman"/>
          <w:sz w:val="18"/>
          <w:szCs w:val="18"/>
          <w:color w:val="auto"/>
        </w:rPr>
        <w:t>Time is of the essence for the performance of all Obligations in this Agreement.</w:t>
      </w:r>
    </w:p>
    <w:p>
      <w:pPr>
        <w:spacing w:after="0" w:line="225"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11.5Severability of Provisions. </w:t>
      </w:r>
      <w:r>
        <w:rPr>
          <w:rFonts w:ascii="Times New Roman" w:cs="Times New Roman" w:eastAsia="Times New Roman" w:hAnsi="Times New Roman"/>
          <w:sz w:val="18"/>
          <w:szCs w:val="18"/>
          <w:color w:val="auto"/>
        </w:rPr>
        <w:t>Each provision of this Agreement is severable from every other provision in determining the enforceability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provision.</w:t>
      </w:r>
    </w:p>
    <w:p>
      <w:pPr>
        <w:spacing w:after="0" w:line="15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11.6Amendments in Writing; Waiver; Integration. </w:t>
      </w:r>
      <w:r>
        <w:rPr>
          <w:rFonts w:ascii="Times New Roman" w:cs="Times New Roman" w:eastAsia="Times New Roman" w:hAnsi="Times New Roman"/>
          <w:sz w:val="18"/>
          <w:szCs w:val="18"/>
          <w:color w:val="auto"/>
        </w:rPr>
        <w:t>No purported amendment or modification of this Agreement or any other Loan Document,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waiver, discharge or termination of any obligation under this Agreement or any other Loan Document, shall be effective unless, and only to the extent, expressly set forth in a writing signed by each party hereto; provided that a Loan Document may otherwise be amended in accordance with its terms.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8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11.7Counterparts. </w:t>
      </w:r>
      <w:r>
        <w:rPr>
          <w:rFonts w:ascii="Times New Roman" w:cs="Times New Roman" w:eastAsia="Times New Roman" w:hAnsi="Times New Roman"/>
          <w:sz w:val="18"/>
          <w:szCs w:val="18"/>
          <w:color w:val="auto"/>
        </w:rPr>
        <w:t>This Agreement may be executed in any number of counterparts and by different parties on separate counterparts,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when executed and delivered, is an original, and all taken together, constitute one Agreement. Delivery of an executed signature page of this Agreement by electronic mail transmission shall be effective as delivery of a manually executed counterpart hereof.</w:t>
      </w:r>
    </w:p>
    <w:p>
      <w:pPr>
        <w:spacing w:after="0" w:line="17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11.8Confidentiality. </w:t>
      </w:r>
      <w:r>
        <w:rPr>
          <w:rFonts w:ascii="Times New Roman" w:cs="Times New Roman" w:eastAsia="Times New Roman" w:hAnsi="Times New Roman"/>
          <w:sz w:val="18"/>
          <w:szCs w:val="18"/>
          <w:color w:val="auto"/>
        </w:rPr>
        <w:t>Bank agrees to maintain the confidentiality of Information (as defined below), except that Information may be disclosed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Bank’s Subsidiaries and Affiliates and their respective employees, directors, agents, attorneys, accountants and other professional advisors (collectively,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and, together with Bank, collectively, “</w:t>
      </w:r>
      <w:r>
        <w:rPr>
          <w:rFonts w:ascii="Times New Roman" w:cs="Times New Roman" w:eastAsia="Times New Roman" w:hAnsi="Times New Roman"/>
          <w:sz w:val="18"/>
          <w:szCs w:val="18"/>
          <w:b w:val="1"/>
          <w:bCs w:val="1"/>
          <w:color w:val="auto"/>
        </w:rPr>
        <w:t>Bank Entities</w:t>
      </w:r>
      <w:r>
        <w:rPr>
          <w:rFonts w:ascii="Times New Roman" w:cs="Times New Roman" w:eastAsia="Times New Roman" w:hAnsi="Times New Roman"/>
          <w:sz w:val="18"/>
          <w:szCs w:val="18"/>
          <w:color w:val="auto"/>
        </w:rPr>
        <w:t>”); provided such Bank Entities are bound by confidentiality obligations substantially similar to those set forth in this Section; (b) to prospective transferees, assignees, credit providers or purchasers of Bank’s interests under or in connection with this Agreement and their Representatives (provided, however, any such prospective transferee’s, assignee’s, credit provider’s, purchaser’s or their Representatives shall have entered into an agreement containing provisions substantially the same as those in this Section); (c) as required by law, regulation, subpoena, or other order; (d) to Bank’s regulators or as otherwise required or requested in connection with Bank’s examination or audit; (e) in connection with the exercise of remedies under the Loan Documents or any action or proceeding relating to this Agreement or any other Loan Document or the enforcement of rights hereunder or thereunder; and (f) to third-party service providers of Bank so long as such service providers have executed a confidentiality agreement with Bank with terms no less restrictive than those contained herein.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means all information received from Borrower regarding Borrower or its business, in each case other than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8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11.9Electronic Execution of Documents. </w:t>
      </w:r>
      <w:r>
        <w:rPr>
          <w:rFonts w:ascii="Times New Roman" w:cs="Times New Roman" w:eastAsia="Times New Roman" w:hAnsi="Times New Roman"/>
          <w:sz w:val="18"/>
          <w:szCs w:val="18"/>
          <w:color w:val="auto"/>
        </w:rPr>
        <w:t>The words “execution,” “signed,” “signature” and words of like import in any Loan Document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to include electronic signatures, including any Electronic Signature as defined in the Electronic Transactions Law (2003 Revision) of the Cayman Islands (the “</w:t>
      </w:r>
      <w:r>
        <w:rPr>
          <w:rFonts w:ascii="Times New Roman" w:cs="Times New Roman" w:eastAsia="Times New Roman" w:hAnsi="Times New Roman"/>
          <w:sz w:val="18"/>
          <w:szCs w:val="18"/>
          <w:b w:val="1"/>
          <w:bCs w:val="1"/>
          <w:color w:val="auto"/>
        </w:rPr>
        <w:t>Cayman Islands Electronic Signature Law</w:t>
      </w:r>
      <w:r>
        <w:rPr>
          <w:rFonts w:ascii="Times New Roman" w:cs="Times New Roman" w:eastAsia="Times New Roman" w:hAnsi="Times New Roman"/>
          <w:sz w:val="18"/>
          <w:szCs w:val="18"/>
          <w:color w:val="auto"/>
        </w:rPr>
        <w:t xml:space="preserve">”), if applicable, or the keeping of records in electronic form, including any Electronic Record, as defined in Cayman Islands Electronic Signature Law,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 or the Cayman Islands Electronic Signature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sections 8 and 19(3) of the Cayman Islands Electronic Signature Law shall not apply to this Agreement or the execution or delivery thereof.</w:t>
      </w:r>
    </w:p>
    <w:p>
      <w:pPr>
        <w:spacing w:after="0" w:line="18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11.10Right of Setoff. </w:t>
      </w:r>
      <w:r>
        <w:rPr>
          <w:rFonts w:ascii="Times New Roman" w:cs="Times New Roman" w:eastAsia="Times New Roman" w:hAnsi="Times New Roman"/>
          <w:sz w:val="18"/>
          <w:szCs w:val="18"/>
          <w:color w:val="auto"/>
        </w:rPr>
        <w:t>Borrower hereby grants to Bank a Lien and a right of setoff as security for all Obligations to Bank, whether now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hereafter arising upon and against all deposits, credits, collateral and property, now or hereafter in the possession, custody, safekeeping or control of Bank or any entity under the control</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4" w:name="page125"/>
    <w:bookmarkEnd w:id="124"/>
    <w:p>
      <w:pPr>
        <w:jc w:val="both"/>
        <w:spacing w:after="0" w:line="256" w:lineRule="auto"/>
        <w:rPr>
          <w:sz w:val="20"/>
          <w:szCs w:val="20"/>
          <w:color w:val="auto"/>
        </w:rPr>
      </w:pPr>
      <w:r>
        <w:rPr>
          <w:rFonts w:ascii="Times New Roman" w:cs="Times New Roman" w:eastAsia="Times New Roman" w:hAnsi="Times New Roman"/>
          <w:sz w:val="18"/>
          <w:szCs w:val="18"/>
          <w:color w:val="auto"/>
        </w:rPr>
        <w:t>of Bank (including a subsidiary of Bank) or in transit to any of them, and other obligations owing to Bank or any such entity. At any time after the occurrence and during the continuance of an Event of Default, without demand or notice, Bank may setoff the same or any part thereof and apply the same to any liability or Obligation of 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83"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11.11Captions and Section References. </w:t>
      </w:r>
      <w:r>
        <w:rPr>
          <w:rFonts w:ascii="Times New Roman" w:cs="Times New Roman" w:eastAsia="Times New Roman" w:hAnsi="Times New Roman"/>
          <w:sz w:val="18"/>
          <w:szCs w:val="18"/>
          <w:color w:val="auto"/>
        </w:rPr>
        <w:t>The headings used in this Agreement are for convenience only and shall not affect the interpretation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Unless indicated otherwise, section references herein are to sections of this Agreement.</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11.12Construction of Agreement. </w:t>
      </w:r>
      <w:r>
        <w:rPr>
          <w:rFonts w:ascii="Times New Roman" w:cs="Times New Roman" w:eastAsia="Times New Roman" w:hAnsi="Times New Roman"/>
          <w:sz w:val="18"/>
          <w:szCs w:val="18"/>
          <w:color w:val="auto"/>
        </w:rPr>
        <w:t>The parties hereto mutually acknowledge that they and their attorneys have participated in the preparation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negotiation of this Agreement. In cases of uncertainty this Agreement shall be construed without regard to which of the parties caused the uncertainty to exist.</w:t>
      </w:r>
    </w:p>
    <w:p>
      <w:pPr>
        <w:spacing w:after="0" w:line="17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11.13Relationship. </w:t>
      </w:r>
      <w:r>
        <w:rPr>
          <w:rFonts w:ascii="Times New Roman" w:cs="Times New Roman" w:eastAsia="Times New Roman" w:hAnsi="Times New Roman"/>
          <w:sz w:val="18"/>
          <w:szCs w:val="18"/>
          <w:color w:val="auto"/>
        </w:rPr>
        <w:t>The relationship of the parties to this Agreement is determined solely by the provisions of this Agreement. The parties 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intend to create any agency, partnership, joint venture, trust, fiduciary or other relationship with duties or incidents different from those of parties to an arm’s-length contract.</w:t>
      </w:r>
    </w:p>
    <w:p>
      <w:pPr>
        <w:spacing w:after="0" w:line="17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11.14Third Parties. </w:t>
      </w:r>
      <w:r>
        <w:rPr>
          <w:rFonts w:ascii="Times New Roman" w:cs="Times New Roman" w:eastAsia="Times New Roman" w:hAnsi="Times New Roman"/>
          <w:sz w:val="18"/>
          <w:szCs w:val="18"/>
          <w:color w:val="auto"/>
        </w:rPr>
        <w:t>Nothing in this Agreement, whether express or implied, is intended to: (a) confer any benefits, rights or remedies 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11.15Anti-Terrorism Law. </w:t>
      </w:r>
      <w:r>
        <w:rPr>
          <w:rFonts w:ascii="Times New Roman" w:cs="Times New Roman" w:eastAsia="Times New Roman" w:hAnsi="Times New Roman"/>
          <w:sz w:val="18"/>
          <w:szCs w:val="18"/>
          <w:color w:val="auto"/>
        </w:rPr>
        <w:t>Bank hereby notifies Borrower that, pursuant to the requirements of Anti-Terrorism Law, Bank may be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 verify and record information that identifies Borrower, which information may include the name and address of Borrower and other information that will allow Bank to identify Borrower in accordance with Anti-Terrorism Law. Borrower hereby agrees to take any action necessary to enable Bank to comply with the requirements of Anti-Terrorism Law.</w:t>
      </w:r>
    </w:p>
    <w:p>
      <w:pPr>
        <w:spacing w:after="0" w:line="17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11.16Online Banking Platform. </w:t>
      </w:r>
      <w:r>
        <w:rPr>
          <w:rFonts w:ascii="Times New Roman" w:cs="Times New Roman" w:eastAsia="Times New Roman" w:hAnsi="Times New Roman"/>
          <w:sz w:val="18"/>
          <w:szCs w:val="18"/>
          <w:color w:val="auto"/>
        </w:rPr>
        <w:t>If Borrower uses Bank’s online banking platform in connection with this Agreement, Borrower agrees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bound by and comply with the applicable online banking terms and conditions and related online banking documents as in effect from time to time. The online banking terms and conditions may be provided as hyperlinks or “click-through” agreements on the website, which may be updated from time to time. Continued use of Bank’s online banking platform shall constitute Borrower’s acceptance of the applicable terms and conditions. Borrower is solely responsible for any of Borrower’s employees’ or agents’ compliance with the online banking terms and conditions and shall ensure that (a) all persons utilizing Bank’s online banking platform in connection with this Agreement, including the Administrator and other users added by them, have all relevant authority to perform the specified roles and functions on Borrower’s behalf, and (b) any use of Bank’s online banking platform in connection with this Agreement complies with the terms of this Agreement. Bank shall be entitled to assume the authenticity, accuracy and completeness of any information, instruction or request for a Credit Extension submitted via Bank’s online banking platform and to further assume that any submissions or requests made via Bank’s online banking platform have been duly authorized by an Administrator and are otherwise in accordance with the terms of this Agreement.</w:t>
      </w:r>
    </w:p>
    <w:p>
      <w:pPr>
        <w:spacing w:after="0" w:line="185" w:lineRule="exact"/>
        <w:rPr>
          <w:sz w:val="20"/>
          <w:szCs w:val="20"/>
          <w:color w:val="auto"/>
        </w:rPr>
      </w:pPr>
    </w:p>
    <w:p>
      <w:pPr>
        <w:ind w:left="1020" w:hanging="263"/>
        <w:spacing w:after="0"/>
        <w:tabs>
          <w:tab w:leader="none" w:pos="1020" w:val="left"/>
        </w:tabs>
        <w:numPr>
          <w:ilvl w:val="0"/>
          <w:numId w:val="113"/>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ACCOUNTING TERMS AND OTHER DEFINITIONS</w:t>
      </w:r>
    </w:p>
    <w:p>
      <w:pPr>
        <w:spacing w:after="0" w:line="225" w:lineRule="exact"/>
        <w:rPr>
          <w:rFonts w:ascii="Times New Roman" w:cs="Times New Roman" w:eastAsia="Times New Roman" w:hAnsi="Times New Roman"/>
          <w:sz w:val="18"/>
          <w:szCs w:val="18"/>
          <w:b w:val="1"/>
          <w:bCs w:val="1"/>
          <w:u w:val="single" w:color="auto"/>
          <w:color w:val="auto"/>
        </w:rPr>
      </w:pPr>
    </w:p>
    <w:p>
      <w:pPr>
        <w:ind w:left="760"/>
        <w:spacing w:after="0"/>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color w:val="auto"/>
        </w:rPr>
        <w:t>12.1Accounting and Other Terms.</w:t>
      </w:r>
    </w:p>
    <w:p>
      <w:pPr>
        <w:spacing w:after="0" w:line="229" w:lineRule="exact"/>
        <w:rPr>
          <w:rFonts w:ascii="Times New Roman" w:cs="Times New Roman" w:eastAsia="Times New Roman" w:hAnsi="Times New Roman"/>
          <w:sz w:val="18"/>
          <w:szCs w:val="18"/>
          <w:b w:val="1"/>
          <w:bCs w:val="1"/>
          <w:u w:val="single" w:color="auto"/>
          <w:color w:val="auto"/>
        </w:rPr>
      </w:pPr>
    </w:p>
    <w:p>
      <w:pPr>
        <w:jc w:val="both"/>
        <w:ind w:firstLine="1505"/>
        <w:spacing w:after="0" w:line="266" w:lineRule="auto"/>
        <w:tabs>
          <w:tab w:leader="none" w:pos="2036" w:val="left"/>
        </w:tabs>
        <w:numPr>
          <w:ilvl w:val="1"/>
          <w:numId w:val="11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Accounting terms not defined in this Agreement shall be construed following GAAP. Calculations and determinations must be made following GAAP (except for with respect to unaudited financial statements for the absence of footnotes and subject to year-end audit adjustments), provided that if at any time 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5" w:name="page126"/>
    <w:bookmarkEnd w:id="125"/>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change in GAAP would affect the computation of any financial ratio or requirement set forth in any Loan Document, and either Borrower or Bank shall so request, Borrower and Bank shall negotiate in good faith to amend such ratio or requirement to preserve the original intent thereof in light of such change in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until so amended, (i) such ratio or requirement shall continue to be computed in accordance with GAAP prior to such change therein and (ii) Borrower shall provide Bank financial statements and other documents required under this Agreement or as reasonably requested hereunder setting forth a reconciliation between calculations of such ratio or requirement made before and after giving effect to such change in GAAP; provided, further, that (x) all obligations of any Person that are or would have been treated as operating leases for purposes of GAAP prior to the issuance by the Financial Accounting Standards Board on February 25, 2016 of an Accounting Standards Update No. 2016-02, Leases (Topic 842) (the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shall continue to be accounted for as operating leases for purposes of all financial definitions, calculations and covenants (other than the preparation and delivery of financial statements in accordance with GAAP) for purpose of this Agreement (whether or not such operating lease obligations were in effect on such date) notwithstanding the fact that such obligations are required in accordance with the ASU (on a prospective or retroactive basis or otherwise) to be treated as capital lease obligations in accordance with GAAP.</w:t>
      </w:r>
    </w:p>
    <w:p>
      <w:pPr>
        <w:spacing w:after="0" w:line="192" w:lineRule="exact"/>
        <w:rPr>
          <w:sz w:val="20"/>
          <w:szCs w:val="20"/>
          <w:color w:val="auto"/>
        </w:rPr>
      </w:pPr>
    </w:p>
    <w:p>
      <w:pPr>
        <w:jc w:val="both"/>
        <w:ind w:firstLine="1505"/>
        <w:spacing w:after="0" w:line="277" w:lineRule="auto"/>
        <w:tabs>
          <w:tab w:leader="none" w:pos="2036" w:val="left"/>
        </w:tabs>
        <w:numPr>
          <w:ilvl w:val="0"/>
          <w:numId w:val="114"/>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As used in the Loan Documents: (i) the words “shall” or “will” are mandatory, the word “may” is permissive, the word “or” is not exclusive, the words “includes” and “including” are not limiting, the singular includes the plural, and numbers denoting amounts that are set off in brackets are negative; (ii) the term “continuing” in the context of an Event of Default means that the Event of Default has not been remedied (if capable of being remedied) or waived; and (iii) whenever a representation or warranty is made to Borrower’s knowledge or awareness, to the “best of” Borrower’s knowledge, or with a similar qualification, knowledge or awareness means the actual knowledge, after reasonable investigation, of any Responsible Officer.</w:t>
      </w:r>
    </w:p>
    <w:p>
      <w:pPr>
        <w:spacing w:after="0" w:line="164"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12.2Definitions. </w:t>
      </w:r>
      <w:r>
        <w:rPr>
          <w:rFonts w:ascii="Times New Roman" w:cs="Times New Roman" w:eastAsia="Times New Roman" w:hAnsi="Times New Roman"/>
          <w:sz w:val="18"/>
          <w:szCs w:val="18"/>
          <w:color w:val="auto"/>
        </w:rPr>
        <w:t>Capitalized terms not otherwise defined in this Agreement shall have the meanings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All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contained in this Agreement, unless otherwise indicated, shall have the meaning provided by the Code to the extent such terms are defined therein. As used in this Agreement, the following capitalized terms have the following meanings:</w:t>
      </w:r>
    </w:p>
    <w:p>
      <w:pPr>
        <w:spacing w:after="0" w:line="171"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is, as to any Person, any “account” of such Person as “account” is defined in the Code with such additions to such term as may hereafter be made, and includes, without limitation, all accounts receivable and other sums owing to such Person.</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is any “account debtor” as defined in the Code with such additions to such term as may hereafter be made.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is an individual that is named:</w:t>
      </w:r>
    </w:p>
    <w:p>
      <w:pPr>
        <w:spacing w:after="0" w:line="229" w:lineRule="exact"/>
        <w:rPr>
          <w:sz w:val="20"/>
          <w:szCs w:val="20"/>
          <w:color w:val="auto"/>
        </w:rPr>
      </w:pPr>
    </w:p>
    <w:p>
      <w:pPr>
        <w:ind w:right="20" w:firstLine="757"/>
        <w:spacing w:after="0" w:line="282" w:lineRule="auto"/>
        <w:tabs>
          <w:tab w:leader="none" w:pos="110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“Administrator” or similar role in the online banking enrollment form or related documents completed by Borrower with the authority to determine who will be authorized to use Bank’s online banking platform on behalf of Borrower in connection with this Agreement; and</w:t>
      </w:r>
    </w:p>
    <w:p>
      <w:pPr>
        <w:spacing w:after="0" w:line="16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Authorized Signer of Borrower in an approval by the Board.</w:t>
      </w:r>
    </w:p>
    <w:p>
      <w:pPr>
        <w:spacing w:after="0" w:line="22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Anti-Terrorism Law</w:t>
      </w:r>
      <w:r>
        <w:rPr>
          <w:rFonts w:ascii="Times New Roman" w:cs="Times New Roman" w:eastAsia="Times New Roman" w:hAnsi="Times New Roman"/>
          <w:sz w:val="18"/>
          <w:szCs w:val="18"/>
          <w:color w:val="auto"/>
        </w:rPr>
        <w:t>” means any law relating to terrorism or money-laundering, including Executive Order No. 13224 and the USA Patriot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6" w:name="page127"/>
    <w:bookmarkEnd w:id="126"/>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all applicable provisions of constitutions, laws, statutes, ordinances, rules, treaties, regulations, permits, licenses, approvals, interpretations and orders of courts or Governmental Authorities and all orders and decrees of all courts and arbitrators, including the Corporate Transparency Act.</w:t>
      </w:r>
    </w:p>
    <w:p>
      <w:pPr>
        <w:spacing w:after="0" w:line="171"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Signer</w:t>
      </w:r>
      <w:r>
        <w:rPr>
          <w:rFonts w:ascii="Times New Roman" w:cs="Times New Roman" w:eastAsia="Times New Roman" w:hAnsi="Times New Roman"/>
          <w:sz w:val="18"/>
          <w:szCs w:val="18"/>
          <w:color w:val="auto"/>
        </w:rPr>
        <w:t>” means any individual listed in Borrower’s Borrowing Resolution who is authorized to execute the Loan Documents, including making (and executing if applicable) any Credit Extension request, on behalf of Borrower.</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Entities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Expenses</w:t>
      </w:r>
      <w:r>
        <w:rPr>
          <w:rFonts w:ascii="Times New Roman" w:cs="Times New Roman" w:eastAsia="Times New Roman" w:hAnsi="Times New Roman"/>
          <w:sz w:val="18"/>
          <w:szCs w:val="18"/>
          <w:color w:val="auto"/>
        </w:rPr>
        <w:t>” are all audit fees, costs and reasonable expenses (including reasonable, out-of-pocket and documented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17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Services</w:t>
      </w:r>
      <w:r>
        <w:rPr>
          <w:rFonts w:ascii="Times New Roman" w:cs="Times New Roman" w:eastAsia="Times New Roman" w:hAnsi="Times New Roman"/>
          <w:sz w:val="18"/>
          <w:szCs w:val="18"/>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Times New Roman" w:cs="Times New Roman" w:eastAsia="Times New Roman" w:hAnsi="Times New Roman"/>
          <w:sz w:val="18"/>
          <w:szCs w:val="18"/>
          <w:b w:val="1"/>
          <w:bCs w:val="1"/>
          <w:color w:val="auto"/>
        </w:rPr>
        <w:t>Bank Services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Services Agreement</w:t>
      </w:r>
      <w:r>
        <w:rPr>
          <w:rFonts w:ascii="Times New Roman" w:cs="Times New Roman" w:eastAsia="Times New Roman" w:hAnsi="Times New Roman"/>
          <w:sz w:val="18"/>
          <w:szCs w:val="18"/>
          <w:color w:val="auto"/>
        </w:rPr>
        <w:t>” is defined in the definition of Bank Services.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is Borrower’s board of directors or equivalent governing body.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is set forth in the first paragraph of this Agreement.</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Borrower’s Books</w:t>
      </w:r>
      <w:r>
        <w:rPr>
          <w:rFonts w:ascii="Times New Roman" w:cs="Times New Roman" w:eastAsia="Times New Roman" w:hAnsi="Times New Roman"/>
          <w:sz w:val="18"/>
          <w:szCs w:val="18"/>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5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Resolutions</w:t>
      </w:r>
      <w:r>
        <w:rPr>
          <w:rFonts w:ascii="Times New Roman" w:cs="Times New Roman" w:eastAsia="Times New Roman" w:hAnsi="Times New Roman"/>
          <w:sz w:val="18"/>
          <w:szCs w:val="18"/>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88"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is a day other than a Saturday, Sunday or other day on which commercial banks in the State of California are authorized or required by law to close.</w:t>
      </w:r>
    </w:p>
    <w:p>
      <w:pPr>
        <w:spacing w:after="0" w:line="15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7" w:name="page128"/>
    <w:bookmarkEnd w:id="127"/>
    <w:p>
      <w:pPr>
        <w:jc w:val="both"/>
        <w:spacing w:after="0" w:line="282" w:lineRule="auto"/>
        <w:rPr>
          <w:sz w:val="20"/>
          <w:szCs w:val="20"/>
          <w:color w:val="auto"/>
        </w:rPr>
      </w:pPr>
      <w:r>
        <w:rPr>
          <w:rFonts w:ascii="Times New Roman" w:cs="Times New Roman" w:eastAsia="Times New Roman" w:hAnsi="Times New Roman"/>
          <w:sz w:val="18"/>
          <w:szCs w:val="18"/>
          <w:color w:val="auto"/>
        </w:rPr>
        <w:t>maturing no more than one (1) year after issue; and (d) money market funds at least ninety-five percent (95.0%) of the assets of which constitute Cash Equivalents of the kinds described in clauses (a) through (c) of this definition.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Cayman Islands Electronic Signature Law</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1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(a) at any time, any “person” or “group” (as such terms are used in Sections 13(d) and 14(d) of the Exchange Act), shall become, or obtain rights (whether by means of warrants, options or otherwise) to become, the “beneficial owner” (as defined in Rules 13(d)-3 and 13(d)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 under the Exchange Act), directly or indirectly, of thirty-five percent (35.0%) or more of the ordinary voting power for the election of directors, partners, managers and members, as applicable, of Borrower (determined on a fully diluted basis) other than by the sale of Borrower’s equity securities in a public offering or the sale of Borrower’s equity securities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 (b) during any period of twelve (12) consecutive months, a majority of the members of the Board of Borrower cease to be composed of individuals (i) who were members of that board or equivalent governing body on the first (1st)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Borrower shall cease to own and control, of record and beneficially, directly or indirectly, one hundred percent (100.0%) of each class of outstanding stock, partnership, membership, or other ownership interest or other equity securities of each Subsidiary of Borrower (other than director’s qualifying shares and other similar shares as required by Applicable Law) free and clear of all Liens (except Permitted Liens).</w:t>
      </w:r>
    </w:p>
    <w:p>
      <w:pPr>
        <w:spacing w:after="0" w:line="19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xml:space="preserve">” means the occurrence, after the Effective Date, of: (a) the adoption or taking effect of any law, rule, regulation or treaty; (b) any change in Applicable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notwithstanding anything herein to the contrary, (i) the Dodd-Frank Wall Street Reform and Consumer Protection Act and all requests, rules, guidelines or directives thereunder or issued in connection therewith and (ii) all requests, rules, guidelines or directives promulgated by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xml:space="preserve">” is the Uniform Commercial Code, as the same may, from time to time, be enacted and in effect in the State of California;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to the extent that the Code is used to define any term herein or in any Loan Document and such term is defined differently in different Articles or Divisions of the Code, the definition of such term contained in Article or Division 9 shall govern;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event that, by reason of mandatory provisions of law, any or all of the attachment, perfection, or priority of, or remedies with respect to, Bank’s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consists of all of Borrower’s right, title and interest in and to the following personal property:</w:t>
      </w:r>
    </w:p>
    <w:p>
      <w:pPr>
        <w:spacing w:after="0" w:line="229" w:lineRule="exact"/>
        <w:rPr>
          <w:sz w:val="20"/>
          <w:szCs w:val="20"/>
          <w:color w:val="auto"/>
        </w:rPr>
      </w:pPr>
    </w:p>
    <w:p>
      <w:pPr>
        <w:jc w:val="both"/>
        <w:ind w:firstLine="1505"/>
        <w:spacing w:after="0" w:line="258" w:lineRule="auto"/>
        <w:tabs>
          <w:tab w:leader="none" w:pos="2036" w:val="left"/>
        </w:tabs>
        <w:numPr>
          <w:ilvl w:val="0"/>
          <w:numId w:val="11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(i) 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securities accounts, securities entitlements and all other investment property, supporting obligations, and financial assets, whether now owned or hereafter acquired, wherever</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8" w:name="page129"/>
    <w:bookmarkEnd w:id="128"/>
    <w:p>
      <w:pPr>
        <w:jc w:val="both"/>
        <w:spacing w:after="0" w:line="266" w:lineRule="auto"/>
        <w:rPr>
          <w:sz w:val="20"/>
          <w:szCs w:val="20"/>
          <w:color w:val="auto"/>
        </w:rPr>
      </w:pPr>
      <w:r>
        <w:rPr>
          <w:rFonts w:ascii="Times New Roman" w:cs="Times New Roman" w:eastAsia="Times New Roman" w:hAnsi="Times New Roman"/>
          <w:sz w:val="18"/>
          <w:szCs w:val="18"/>
          <w:color w:val="auto"/>
        </w:rPr>
        <w:t>located; and (ii) 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76" w:lineRule="exact"/>
        <w:rPr>
          <w:sz w:val="20"/>
          <w:szCs w:val="20"/>
          <w:color w:val="auto"/>
        </w:rPr>
      </w:pPr>
    </w:p>
    <w:p>
      <w:pPr>
        <w:jc w:val="both"/>
        <w:ind w:firstLine="1505"/>
        <w:spacing w:after="0" w:line="253" w:lineRule="auto"/>
        <w:tabs>
          <w:tab w:leader="none" w:pos="2036" w:val="left"/>
        </w:tabs>
        <w:numPr>
          <w:ilvl w:val="0"/>
          <w:numId w:val="11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Notwithstanding the foregoing, the Collateral does not include (i) any interest of Borrower as a lessee or sublessee under a real property lease; (ii) rights held under a license that are not assignable by their terms without the consent of the licensor thereof (but only to the extent such restriction on assignment is enforceable under applicable law); provided that upon the termination, lapsing or expiration of any such prohibition, such license shall automatically be subject to the security interest granted in favor of Bank hereunder and become part of the “Collateral”, (iii) any Excluded Account, (iv) any interest of Borrower as a lessee under an Equipment lease if Borrower is prohibited by the terms of such lease from granting a security interest in such lease or under which such an assignment or Lien would cause a default to occur under such lease; provided, however, that upon termination of such prohibition, such interest shall immediately become Collateral without any action by Borrower or Bank; and (v) any Intellectual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w:t>
      </w:r>
    </w:p>
    <w:p>
      <w:pPr>
        <w:spacing w:after="0" w:line="189" w:lineRule="exact"/>
        <w:rPr>
          <w:rFonts w:ascii="Times New Roman" w:cs="Times New Roman" w:eastAsia="Times New Roman" w:hAnsi="Times New Roman"/>
          <w:sz w:val="18"/>
          <w:szCs w:val="18"/>
          <w:u w:val="single" w:color="auto"/>
          <w:color w:val="auto"/>
        </w:rPr>
      </w:pPr>
    </w:p>
    <w:p>
      <w:pPr>
        <w:ind w:right="20" w:firstLine="1505"/>
        <w:spacing w:after="0" w:line="282" w:lineRule="auto"/>
        <w:tabs>
          <w:tab w:leader="none" w:pos="2036" w:val="left"/>
        </w:tabs>
        <w:numPr>
          <w:ilvl w:val="0"/>
          <w:numId w:val="11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Pursuant to the terms of a certain negative pledge arrangement with Bank as set forth in this Agreement, Borrower has agreed not to encumber any of its Intellectual Property without Bank’s prior written consent.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Account</w:t>
      </w:r>
      <w:r>
        <w:rPr>
          <w:rFonts w:ascii="Times New Roman" w:cs="Times New Roman" w:eastAsia="Times New Roman" w:hAnsi="Times New Roman"/>
          <w:sz w:val="18"/>
          <w:szCs w:val="18"/>
          <w:color w:val="auto"/>
        </w:rPr>
        <w:t>” is any Deposit Account, Securities Account, or Commodity Account.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Account</w:t>
      </w:r>
      <w:r>
        <w:rPr>
          <w:rFonts w:ascii="Times New Roman" w:cs="Times New Roman" w:eastAsia="Times New Roman" w:hAnsi="Times New Roman"/>
          <w:sz w:val="18"/>
          <w:szCs w:val="18"/>
          <w:color w:val="auto"/>
        </w:rPr>
        <w:t>” is any “commodity account” as defined in the Code with such additions to such term as may hereafter be made.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Statement</w:t>
      </w:r>
      <w:r>
        <w:rPr>
          <w:rFonts w:ascii="Times New Roman" w:cs="Times New Roman" w:eastAsia="Times New Roman" w:hAnsi="Times New Roman"/>
          <w:sz w:val="18"/>
          <w:szCs w:val="18"/>
          <w:color w:val="auto"/>
        </w:rPr>
        <w:t>” is that certain statement in the form attached hereto as Exhibit A.</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5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is, for any Person, any direct or indirect liability of that Person for (a) any direct or indirect guaranty by such Person of any indebtedness, lease, dividend, letter of credit, credit card or other obligation of another Person, (b) any other obligation of another Person endorsed, co-made, discounted or sold with recourse by that Person, or for which that Person is directly or indirectly liable; (c) any obligations for undrawn letters of credit for the account of that Person; and (d)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8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 Agreement</w:t>
      </w:r>
      <w:r>
        <w:rPr>
          <w:rFonts w:ascii="Times New Roman" w:cs="Times New Roman" w:eastAsia="Times New Roman" w:hAnsi="Times New Roman"/>
          <w:sz w:val="18"/>
          <w:szCs w:val="18"/>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71"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9" w:name="page130"/>
    <w:bookmarkEnd w:id="129"/>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is any Letter of Credit, amount utilized for cash management services, Term Loan Advance, or any other extension of credit by Bank for Borrower’s benefit.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Currency</w:t>
      </w:r>
      <w:r>
        <w:rPr>
          <w:rFonts w:ascii="Times New Roman" w:cs="Times New Roman" w:eastAsia="Times New Roman" w:hAnsi="Times New Roman"/>
          <w:sz w:val="18"/>
          <w:szCs w:val="18"/>
          <w:color w:val="auto"/>
        </w:rPr>
        <w:t>” is coined money and such other banknotes or other paper money as are authorized by law and circulate as a medium of exchange.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which with notice or passage of time or both, would constitute an Event of Default.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is any “</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as defined in the Code with such additions to such term as may hereafter be made.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Deposit Account</w:t>
      </w:r>
      <w:r>
        <w:rPr>
          <w:rFonts w:ascii="Times New Roman" w:cs="Times New Roman" w:eastAsia="Times New Roman" w:hAnsi="Times New Roman"/>
          <w:sz w:val="18"/>
          <w:szCs w:val="18"/>
          <w:color w:val="auto"/>
        </w:rPr>
        <w:t>” is the deposit account established by Borrower with Bank for purposes of receiving Credit Extensions.</w:t>
      </w:r>
    </w:p>
    <w:p>
      <w:pPr>
        <w:spacing w:after="0" w:line="22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Division</w:t>
      </w:r>
      <w:r>
        <w:rPr>
          <w:rFonts w:ascii="Times New Roman" w:cs="Times New Roman" w:eastAsia="Times New Roman" w:hAnsi="Times New Roman"/>
          <w:sz w:val="18"/>
          <w:szCs w:val="18"/>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Section 17-220 of the Delaware Revised Uniform Limited Partnership Act for limited partnerships formed under Delaware law, or any analogous action taken pursuant to any other Applicable Law with respect to any corporation, limited liability company, partnership or other entity.</w:t>
      </w:r>
    </w:p>
    <w:p>
      <w:pPr>
        <w:spacing w:after="0" w:line="179"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 Equivalent</w:t>
      </w:r>
      <w:r>
        <w:rPr>
          <w:rFonts w:ascii="Times New Roman" w:cs="Times New Roman" w:eastAsia="Times New Roman" w:hAnsi="Times New Roman"/>
          <w:sz w:val="18"/>
          <w:szCs w:val="18"/>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71"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is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Applicable Law (including any permits, concessions, grants, franchises, licenses, agreements or governmental restrictions) relating to pollution or the protection of health, safety or the environment or the release of any materials into the environment (including those related to hazardous materials, air emissions, discharges to waste or public systems and health and safety matters).</w:t>
      </w:r>
    </w:p>
    <w:p>
      <w:pPr>
        <w:spacing w:after="0" w:line="171"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is the Employee Retirement Income Security Act of 1974, as amended, and its regulations.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is the Securities Exchange Act of 1934, as amended.</w:t>
      </w:r>
    </w:p>
    <w:p>
      <w:pPr>
        <w:spacing w:after="0" w:line="22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means any of the following Taxes imposed on or with respect to Bank or required to be withheld or deducted from a payment to Bank, (a) Taxes imposed on or measured by net income (however denominated), franchise Taxes, and branch profits Taxes, in each case, (i) imposed as a result of Bank being organized under the laws of, or having its principal office or its applicable lending office located in, the jurisdiction imposing such Tax (or any political subdivision thereof) or (ii) that are Other Connection Taxes, (b) U.S. federal withholding</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0" w:name="page131"/>
    <w:bookmarkEnd w:id="130"/>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Taxes imposed on amounts payable to or for the account of Bank with respect to an applicable interest in a Credit Extension pursuant to a law in effect on the date on which (i) Bank acquires such interest in the Credit Extensions or (ii) Bank changes its lending office, except in each case to the extent that, pursuant to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amounts with respect to such Taxes were payable either to Bank’s assignor immediately before Bank became a party hereto or to Bank immediately before it changed its lending office, (c) Taxes attributable to Bank’s failure to comply with </w:t>
      </w:r>
      <w:r>
        <w:rPr>
          <w:rFonts w:ascii="Times New Roman" w:cs="Times New Roman" w:eastAsia="Times New Roman" w:hAnsi="Times New Roman"/>
          <w:sz w:val="18"/>
          <w:szCs w:val="18"/>
          <w:u w:val="single" w:color="auto"/>
          <w:color w:val="auto"/>
        </w:rPr>
        <w:t>Section 1.12(e)</w:t>
      </w:r>
      <w:r>
        <w:rPr>
          <w:rFonts w:ascii="Times New Roman" w:cs="Times New Roman" w:eastAsia="Times New Roman" w:hAnsi="Times New Roman"/>
          <w:sz w:val="18"/>
          <w:szCs w:val="18"/>
          <w:color w:val="auto"/>
        </w:rPr>
        <w:t>, (d) any withholding Taxes imposed under FATCA, and (e) Taxes (including withholding Taxes) imposed on or with respect to payments pursuant to the Warrant for which Bank is liable.</w:t>
      </w:r>
    </w:p>
    <w:p>
      <w:pPr>
        <w:spacing w:after="0" w:line="183"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Letter of Credit</w:t>
      </w:r>
      <w:r>
        <w:rPr>
          <w:rFonts w:ascii="Times New Roman" w:cs="Times New Roman" w:eastAsia="Times New Roman" w:hAnsi="Times New Roman"/>
          <w:sz w:val="18"/>
          <w:szCs w:val="18"/>
          <w:color w:val="auto"/>
        </w:rPr>
        <w:t>” is that certain letter of credit existing on the Effective Date issued by JPMorgan Chase Bank, N.A. on behalf of Borrower for the benefit of HCP Oyster Point III LLC.</w:t>
      </w:r>
    </w:p>
    <w:p>
      <w:pPr>
        <w:spacing w:after="0" w:line="15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spacing w:after="0" w:line="17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Payment</w:t>
      </w:r>
      <w:r>
        <w:rPr>
          <w:rFonts w:ascii="Times New Roman" w:cs="Times New Roman" w:eastAsia="Times New Roman" w:hAnsi="Times New Roman"/>
          <w:sz w:val="18"/>
          <w:szCs w:val="18"/>
          <w:color w:val="auto"/>
        </w:rPr>
        <w:t xml:space="preserve">” is a payment (in addition to and not a substitution for the regular monthly payments of principal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interest) due on the earliest to occur of (a) the Term Loan Maturity Date, (b) the repayment of the Term Loan Advances in full, (c) as required pursuant to </w:t>
      </w:r>
      <w:r>
        <w:rPr>
          <w:rFonts w:ascii="Times New Roman" w:cs="Times New Roman" w:eastAsia="Times New Roman" w:hAnsi="Times New Roman"/>
          <w:sz w:val="18"/>
          <w:szCs w:val="18"/>
          <w:u w:val="single" w:color="auto"/>
          <w:color w:val="auto"/>
        </w:rPr>
        <w:t>Sections 1.5(c)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1.5(d)</w:t>
      </w:r>
      <w:r>
        <w:rPr>
          <w:rFonts w:ascii="Times New Roman" w:cs="Times New Roman" w:eastAsia="Times New Roman" w:hAnsi="Times New Roman"/>
          <w:sz w:val="18"/>
          <w:szCs w:val="18"/>
          <w:color w:val="auto"/>
        </w:rPr>
        <w:t xml:space="preserve">, or (d) the termination of this Agreement, in an amount equal to the aggregate original principal amount of the Term Loan Advances being repaid or prepaid made by Bank to Borrower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four percent (4.0%).</w:t>
      </w:r>
    </w:p>
    <w:p>
      <w:pPr>
        <w:spacing w:after="0" w:line="176"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 Repository</w:t>
      </w:r>
      <w:r>
        <w:rPr>
          <w:rFonts w:ascii="Times New Roman" w:cs="Times New Roman" w:eastAsia="Times New Roman" w:hAnsi="Times New Roman"/>
          <w:sz w:val="18"/>
          <w:szCs w:val="18"/>
          <w:color w:val="auto"/>
        </w:rPr>
        <w:t>” is [***] or such other means of collecting information approved and designated by Bank after providing notice thereof to Borrower from time to time.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Currency</w:t>
      </w:r>
      <w:r>
        <w:rPr>
          <w:rFonts w:ascii="Times New Roman" w:cs="Times New Roman" w:eastAsia="Times New Roman" w:hAnsi="Times New Roman"/>
          <w:sz w:val="18"/>
          <w:szCs w:val="18"/>
          <w:color w:val="auto"/>
        </w:rPr>
        <w:t>” is the lawful money of a country other than the United States.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Date</w:t>
      </w:r>
      <w:r>
        <w:rPr>
          <w:rFonts w:ascii="Times New Roman" w:cs="Times New Roman" w:eastAsia="Times New Roman" w:hAnsi="Times New Roman"/>
          <w:sz w:val="18"/>
          <w:szCs w:val="18"/>
          <w:color w:val="auto"/>
        </w:rPr>
        <w:t>” is any date on which a Credit Extension is made to or for the account of Borrower which shall be a Business Day.</w:t>
      </w:r>
    </w:p>
    <w:p>
      <w:pPr>
        <w:spacing w:after="0" w:line="225"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FX Contract</w:t>
      </w:r>
      <w:r>
        <w:rPr>
          <w:rFonts w:ascii="Times New Roman" w:cs="Times New Roman" w:eastAsia="Times New Roman" w:hAnsi="Times New Roman"/>
          <w:sz w:val="18"/>
          <w:szCs w:val="18"/>
          <w:color w:val="auto"/>
        </w:rPr>
        <w:t>” is any foreign exchange contract by and between Borrower and Bank under which Borrower commits to purchase from or sell to Bank a specific amount of Foreign Currency at a set price or on a specified date.</w:t>
      </w:r>
    </w:p>
    <w:p>
      <w:pPr>
        <w:spacing w:after="0" w:line="15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76"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Intangibles</w:t>
      </w:r>
      <w:r>
        <w:rPr>
          <w:rFonts w:ascii="Times New Roman" w:cs="Times New Roman" w:eastAsia="Times New Roman" w:hAnsi="Times New Roman"/>
          <w:sz w:val="18"/>
          <w:szCs w:val="18"/>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Faith Deposit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1.9(c)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Approval</w:t>
      </w:r>
      <w:r>
        <w:rPr>
          <w:rFonts w:ascii="Times New Roman" w:cs="Times New Roman" w:eastAsia="Times New Roman" w:hAnsi="Times New Roman"/>
          <w:sz w:val="18"/>
          <w:szCs w:val="18"/>
          <w:color w:val="auto"/>
        </w:rPr>
        <w:t>” is any consent, authorization, approval, order, license, franchise, permit, certificate, accreditation, registration, filing or notice, of, issued by, from or to, or other act by or in respect of, any Governmental Authority, including, without limitation, Healthcare Permits.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1" w:name="page132"/>
    <w:bookmarkEnd w:id="131"/>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is any Person providing a Guaranty in favor of Bank.</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is any guarantee of all or any part of the Obligations, as the same may from time to time be amended, restated, modified or otherwise supplemented.</w:t>
      </w:r>
    </w:p>
    <w:p>
      <w:pPr>
        <w:spacing w:after="0" w:line="15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Healthcare Laws</w:t>
      </w:r>
      <w:r>
        <w:rPr>
          <w:rFonts w:ascii="Times New Roman" w:cs="Times New Roman" w:eastAsia="Times New Roman" w:hAnsi="Times New Roman"/>
          <w:sz w:val="18"/>
          <w:szCs w:val="18"/>
          <w:color w:val="auto"/>
        </w:rPr>
        <w:t>” means all applicable laws relating to the operation or management of hospitalist practices, the provision of hospitalist services, proper billing and collection practices relating to the payment for healthcare services, insurance law (including law related to payment for “no-fault” claims) and workers compensation law as they relate to the provision of, and billing and payment for, healthcare services, patient healthcare, patient healthcare information, patient abuse, the quality and adequacy of rehabilitative care, rate setting, equipment, personnel, operating policies, fee splitting, including, without limitation, (a) all federal and state fraud and abuse laws, including, without limitation, the federal Anti-Kickback Statute (42 U.S.C. §1320a-7b(b)), the Stark Law (42 U.S.C. §1395nn), the civil False Claims Act (31 U.S.C. §3729 et seq.), the administrative False Claims Law (42 U.S.C. § 1320a-7b(a)), the Anti-Inducement Law (42 U.S.C. § 1320a-7a(a)(5)), the exclusion laws (42 U.S.C. § 1320a-7); (b) the Health Insurance Portability and Accountability Act of 1996, as amended by the Health Information Technology for Economic and Clinical Health Act of 2009; (c) the Medicare Regulations and the Medicaid Program (Title XIX of the Social Security Act); (d) quality, safety and accreditation standards and requirements of all applicable state laws or regulatory bodies; (e) all laws, policies, procedures, requirements and regulations pursuant to which Healthcare Permits are issued;</w:t>
      </w:r>
    </w:p>
    <w:p>
      <w:pPr>
        <w:jc w:val="both"/>
        <w:ind w:firstLine="8"/>
        <w:spacing w:after="0" w:line="253" w:lineRule="auto"/>
        <w:tabs>
          <w:tab w:leader="none" w:pos="23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 regulations or administrative guidance with respect to fee splitting by healthcare professionals and the corporate practice of medicine in any jurisdiction in which any Borrower or any Guarantor operates; and (g) any and all comparable state or local laws and other applicable health care laws, regulations, manual provisions, policies and administrative guidance, each of (a) through (g) as may be amended from time to time and the regulations promulgated pursuant to each such law.</w:t>
      </w:r>
    </w:p>
    <w:p>
      <w:pPr>
        <w:spacing w:after="0" w:line="18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Healthcare Permit</w:t>
      </w:r>
      <w:r>
        <w:rPr>
          <w:rFonts w:ascii="Times New Roman" w:cs="Times New Roman" w:eastAsia="Times New Roman" w:hAnsi="Times New Roman"/>
          <w:sz w:val="18"/>
          <w:szCs w:val="18"/>
          <w:color w:val="auto"/>
        </w:rPr>
        <w:t>” means, with respect to any Person, a permit issued or required under Healthcare Laws applicable to the business of Borrower or any Guarantor, or necessary in the possession, ownership, warehousing, marketing, promoting, sale, labeling, furnishing, distribution or delivery of goods or services under Healthcare Laws applicable to the business of Borrower or any Guarantor.</w:t>
      </w:r>
    </w:p>
    <w:p>
      <w:pPr>
        <w:spacing w:after="0" w:line="171"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means, collectively, the Health Insurance Portability and Accountability Act of 1996, as amended by the Health Information Technology for Economic Clinical Health (HITECH) Act and the implementing regulations thereto.</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is (a) indebtedness for borrowed money or the deferred price of property or services, such as reimbursement and other obligations for surety bonds, letters of credit and credit cards, (b) obligations evidenced by notes, bonds, debentures or similar instruments, (c) capital lease obligations, (d) Contingent Obligations, and (e) other short- and long-term obligations under debt agreements, lines of credit and extensions of credit.</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Borrower under any Loan Document and (b) to the extent not otherwise described in clause (a), Other Taxes.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receivership or other relief.</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2" w:name="page133"/>
    <w:bookmarkEnd w:id="132"/>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with respect to any Person, all of such Person’s right, title, and interest in and to the following:</w:t>
      </w:r>
    </w:p>
    <w:p>
      <w:pPr>
        <w:spacing w:after="0" w:line="229" w:lineRule="exact"/>
        <w:rPr>
          <w:sz w:val="20"/>
          <w:szCs w:val="20"/>
          <w:color w:val="auto"/>
        </w:rPr>
      </w:pPr>
    </w:p>
    <w:p>
      <w:pPr>
        <w:ind w:left="2040" w:hanging="535"/>
        <w:spacing w:after="0"/>
        <w:tabs>
          <w:tab w:leader="none" w:pos="20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Copyrights, Trademarks and Patents;</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trade secrets and trade secret rights, including, without limitation, any rights to unpatented inventions, know-how</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operating manuals;</w:t>
      </w:r>
    </w:p>
    <w:p>
      <w:pPr>
        <w:spacing w:after="0" w:line="206"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source code;</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design rights which may be available to such Person;</w:t>
      </w:r>
    </w:p>
    <w:p>
      <w:pPr>
        <w:spacing w:after="0" w:line="22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61"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amendments, renewals and extensions of any of the Copyrights, Trademarks or Patents.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Interest-Only Extension Milestone 1</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Interest-Only Extension Milestone 2</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Interest-Only Period</w:t>
      </w:r>
      <w:r>
        <w:rPr>
          <w:rFonts w:ascii="Times New Roman" w:cs="Times New Roman" w:eastAsia="Times New Roman" w:hAnsi="Times New Roman"/>
          <w:sz w:val="18"/>
          <w:szCs w:val="18"/>
          <w:color w:val="auto"/>
        </w:rPr>
        <w:t xml:space="preserve">” is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Internal Revenue Code</w:t>
      </w:r>
      <w:r>
        <w:rPr>
          <w:rFonts w:ascii="Times New Roman" w:cs="Times New Roman" w:eastAsia="Times New Roman" w:hAnsi="Times New Roman"/>
          <w:sz w:val="18"/>
          <w:szCs w:val="18"/>
          <w:color w:val="auto"/>
        </w:rPr>
        <w:t>” means the U.S. Internal Revenue Code of 1986, and the rules and regulations promulgated thereunder, each as amended or modified from time to time.</w:t>
      </w:r>
    </w:p>
    <w:p>
      <w:pPr>
        <w:spacing w:after="0" w:line="15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is all “</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76"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is any beneficial ownership interest in any Person (including stock, partnership, membership, or other ownership interest or other equity securities), and any loan, advance or capital contribution to any Person.</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Person</w:t>
      </w:r>
      <w:r>
        <w:rPr>
          <w:rFonts w:ascii="Times New Roman" w:cs="Times New Roman" w:eastAsia="Times New Roman" w:hAnsi="Times New Roman"/>
          <w:sz w:val="18"/>
          <w:szCs w:val="18"/>
          <w:color w:val="auto"/>
        </w:rPr>
        <w:t>” is Borrower’s Chief Executive Officer, who is Faraz Ali, as of the Effective Date.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Cash Collateral Account</w:t>
      </w:r>
      <w:r>
        <w:rPr>
          <w:rFonts w:ascii="Times New Roman" w:cs="Times New Roman" w:eastAsia="Times New Roman" w:hAnsi="Times New Roman"/>
          <w:sz w:val="18"/>
          <w:szCs w:val="18"/>
          <w:color w:val="auto"/>
        </w:rPr>
        <w:t>” means [***] securing the Existing Letter of Credit.</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is a standby or commercial letter of credit issued by Bank upon request of Borrower based upon an application, guarantee, indemnity, or similar agreement.</w:t>
      </w:r>
    </w:p>
    <w:p>
      <w:pPr>
        <w:spacing w:after="0" w:line="15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is a claim, mortgage, deed of trust, levy, attachment, charge, pledge, hypothecation, security interest or other encumbrance of any kind, whether voluntarily incurred or arising by operation of law or otherwise against any property.</w:t>
      </w:r>
    </w:p>
    <w:p>
      <w:pPr>
        <w:spacing w:after="0" w:line="15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are, collectively, this Agreement and any schedules, exhibits, certificates, notices, and any other documents related to this Agreement, the Perfection Certificate, the Warrant, any Control Agreement, any Bank Services Agreement, any subordination agreement in respect of Subordinated Debt, any note, or notes or guaranties executed by Borrower or any Guarantor pursuant to this Agreement, landlord waivers and consents pursuant to this Agreement, bailee waivers and consents pursuant to this Agreement, and any other present or future agreement by Borrower and/or any Guarantor with or for the benefit of Bank in connection with this Agreement or Bank Services, all as amended, restated, or otherwise modified in accordance with the terms thereof.</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3" w:name="page134"/>
    <w:bookmarkEnd w:id="133"/>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is (a) a material impairment in the perfection or priority of Bank’s Lien in the Collateral or in the value of such Collateral; (b) a material adverse change in the business, operations, or condition (financial or otherwise) of Borrower; or (c) a material impairment of the prospect of repayment of any portion of the Obligations.</w:t>
      </w:r>
    </w:p>
    <w:p>
      <w:pPr>
        <w:spacing w:after="0" w:line="17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are Borrower’s obligations to pay when due any debts, principal, interest, fees, Bank Expenses, the Prepayment Fee, the Final Payment, and other amounts Borrower owes Bank now or later, whether under this Agreement, the other Loan Documents (other than the Warrant), or otherwise, including, without limitation, all obligations relating to Bank Services and interest accruing after Insolvency Proceedings begin and debts, liabilities, or obligations of Borrower assigned to Bank, and to perform Borrower’s duties under the Loan Documents (other than the Warrant).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is the Office of Foreign Assets Control of the United States Department of the Treasury and any successor thereto.</w:t>
      </w:r>
    </w:p>
    <w:p>
      <w:pPr>
        <w:spacing w:after="0" w:line="22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Documents</w:t>
      </w:r>
      <w:r>
        <w:rPr>
          <w:rFonts w:ascii="Times New Roman" w:cs="Times New Roman" w:eastAsia="Times New Roman" w:hAnsi="Times New Roman"/>
          <w:sz w:val="18"/>
          <w:szCs w:val="18"/>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w:t>
      </w:r>
    </w:p>
    <w:p>
      <w:pPr>
        <w:ind w:firstLine="8"/>
        <w:spacing w:after="0" w:line="260" w:lineRule="auto"/>
        <w:tabs>
          <w:tab w:leader="none" w:pos="26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a partnership or limited partnership, its partnership agreement or limited partnership agreement (or similar agreement), each of the foregoing with all current amendments or modifications thereto.</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Bank, Taxes imposed as a result of a present or former connection between Bank and the jurisdiction imposing such Tax (other than connections arising from Bank having executed, delivered, become a party to, performed its obligations under, received payments under, received or perfected a security interest under, engaged in any other transaction pursuant to or enforced any Loan Document, or sold or assigned an interest in any Credit Extension or Loan Document).</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71"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all patents, patent applications and like protections including without limitation improvements, divisions, continuations, renewals, reissues, extensions and continuations-in-part of the same.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Payment/Advance Form</w:t>
      </w:r>
      <w:r>
        <w:rPr>
          <w:rFonts w:ascii="Times New Roman" w:cs="Times New Roman" w:eastAsia="Times New Roman" w:hAnsi="Times New Roman"/>
          <w:sz w:val="18"/>
          <w:szCs w:val="18"/>
          <w:color w:val="auto"/>
        </w:rPr>
        <w:t>” is that certain form in the form attached hereto as Exhibit B.</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xml:space="preserve">” is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is the Perfection Certificate delivered by Borrower in connection with this Agreement, as amended or supplemented from time to time.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is:</w:t>
      </w:r>
    </w:p>
    <w:p>
      <w:pPr>
        <w:spacing w:after="0" w:line="229" w:lineRule="exact"/>
        <w:rPr>
          <w:sz w:val="20"/>
          <w:szCs w:val="20"/>
          <w:color w:val="auto"/>
        </w:rPr>
      </w:pPr>
    </w:p>
    <w:p>
      <w:pPr>
        <w:ind w:left="2040" w:hanging="535"/>
        <w:spacing w:after="0"/>
        <w:tabs>
          <w:tab w:leader="none" w:pos="20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Indebtedness to Bank under this Agreement and the other Loan Documents;</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existing on the Effective Date which is shown on the Perfection Certificate;</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to trade creditors incurred in the ordinary course of business;</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as a result of endorsing negotiable instruments received in the ordinary course of business;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4" w:name="page135"/>
    <w:bookmarkEnd w:id="134"/>
    <w:p>
      <w:pPr>
        <w:ind w:left="2040" w:hanging="535"/>
        <w:spacing w:after="0"/>
        <w:tabs>
          <w:tab w:leader="none" w:pos="20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secured by Liens permitted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the definition of “Permitted Liens” hereunder;</w:t>
      </w:r>
    </w:p>
    <w:p>
      <w:pPr>
        <w:spacing w:after="0" w:line="22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owing in connection with the Existing Letter of Credit, provided that the aggregate amount of such Indebtedness does not exceed Four Hundred Thousand Dollars ($400,000) at any time;</w:t>
      </w:r>
    </w:p>
    <w:p>
      <w:pPr>
        <w:spacing w:after="0" w:line="161" w:lineRule="exact"/>
        <w:rPr>
          <w:rFonts w:ascii="Times New Roman" w:cs="Times New Roman" w:eastAsia="Times New Roman" w:hAnsi="Times New Roman"/>
          <w:sz w:val="18"/>
          <w:szCs w:val="18"/>
          <w:color w:val="auto"/>
        </w:rPr>
      </w:pPr>
    </w:p>
    <w:p>
      <w:pPr>
        <w:ind w:right="20" w:firstLine="1505"/>
        <w:spacing w:after="0" w:line="282" w:lineRule="auto"/>
        <w:tabs>
          <w:tab w:leader="none" w:pos="20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Indebtedness not otherwise permitted by Section 6.4 in an aggregate principal amount at any time outstanding not to exceed Two Hundred Fifty Thousand Dollars ($250,000);</w:t>
      </w:r>
    </w:p>
    <w:p>
      <w:pPr>
        <w:spacing w:after="0" w:line="161"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as a result of endorsing negotiable instruments received in the ordinary course of business;</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permitted by clause (l) of the definition of Permitted Investments;</w:t>
      </w:r>
    </w:p>
    <w:p>
      <w:pPr>
        <w:spacing w:after="0" w:line="22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performance, bid, appeal and surety bonds, and performance and completion guarantees and similar obligations in the ordinary course of business in an aggregate amount not to exceed One Hundred Thousand Dollars ($100,000) at any time; and</w:t>
      </w:r>
    </w:p>
    <w:p>
      <w:pPr>
        <w:spacing w:after="0" w:line="161"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extensions, refinancings, modifications, amendments and restatements of any items of Permitted Indebtedness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above, provided that the principal amount thereof is not increased or the terms thereof are not modified to impose more burdensome terms upon Borrower or its Subsidiary, as the case may be.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are:</w:t>
      </w:r>
    </w:p>
    <w:p>
      <w:pPr>
        <w:spacing w:after="0" w:line="229" w:lineRule="exact"/>
        <w:rPr>
          <w:sz w:val="20"/>
          <w:szCs w:val="20"/>
          <w:color w:val="auto"/>
        </w:rPr>
      </w:pPr>
    </w:p>
    <w:p>
      <w:pPr>
        <w:ind w:left="2040" w:hanging="535"/>
        <w:spacing w:after="0"/>
        <w:tabs>
          <w:tab w:leader="none" w:pos="20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without limitation, Subsidiaries) existing on the Effective Date which are shown on the Perfection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w:t>
      </w:r>
    </w:p>
    <w:p>
      <w:pPr>
        <w:spacing w:after="0" w:line="207" w:lineRule="exact"/>
        <w:rPr>
          <w:sz w:val="20"/>
          <w:szCs w:val="20"/>
          <w:color w:val="auto"/>
        </w:rPr>
      </w:pPr>
    </w:p>
    <w:p>
      <w:pPr>
        <w:jc w:val="both"/>
        <w:ind w:firstLine="1505"/>
        <w:spacing w:after="0" w:line="266" w:lineRule="auto"/>
        <w:tabs>
          <w:tab w:leader="none" w:pos="20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consisting of Cash Equivalents and (ii) any other Investments permitted by Borrower’s investment policy, as amended from time to time, provided that for purposes of this Agreement such investment policy (and any such amendment thereto) has been approved in writing by Bank (it being understood that Borrower’s investment policy existing on the Effective Date is approved by Bank);</w:t>
      </w:r>
    </w:p>
    <w:p>
      <w:pPr>
        <w:spacing w:after="0" w:line="175" w:lineRule="exact"/>
        <w:rPr>
          <w:rFonts w:ascii="Times New Roman" w:cs="Times New Roman" w:eastAsia="Times New Roman" w:hAnsi="Times New Roman"/>
          <w:sz w:val="18"/>
          <w:szCs w:val="18"/>
          <w:color w:val="auto"/>
        </w:rPr>
      </w:pPr>
    </w:p>
    <w:p>
      <w:pPr>
        <w:ind w:right="20" w:firstLine="1505"/>
        <w:spacing w:after="0" w:line="282" w:lineRule="auto"/>
        <w:tabs>
          <w:tab w:leader="none" w:pos="20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endorsement of negotiable instruments for deposit or collection or similar transactions in the ordinary course of Borrower’s business;</w:t>
      </w:r>
    </w:p>
    <w:p>
      <w:pPr>
        <w:spacing w:after="0" w:line="161"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deposit accounts (but only to the extent that Borrower or any Subsidiary is permitted to maintain such accounts pursuant to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of this Agreement) in which Bank has a first priority perfected security interest;</w:t>
      </w:r>
    </w:p>
    <w:p>
      <w:pPr>
        <w:spacing w:after="0" w:line="161"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accepted in connection with Transfers permitted by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505"/>
        <w:spacing w:after="0" w:line="282" w:lineRule="auto"/>
        <w:tabs>
          <w:tab w:leader="none" w:pos="20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the creation of a Subsidiary for the purpose of consummating a merger transaction permitted by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this Agreement, which is otherwise a Permitted Investment;</w:t>
      </w:r>
    </w:p>
    <w:p>
      <w:pPr>
        <w:spacing w:after="0" w:line="161"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 travel advances and employee relocation loans and other employee loans and advances in the ordinary course of business, and (ii) loans to employees, officers, directors, partners, managers and members relating to the purchase of equity securities of Borrower or its Subsidiaries pursuant to employee equity purchase plans or similar agreements approved by the Board;</w:t>
      </w:r>
    </w:p>
    <w:p>
      <w:pPr>
        <w:spacing w:after="0" w:line="17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5" w:name="page136"/>
    <w:bookmarkEnd w:id="135"/>
    <w:p>
      <w:pPr>
        <w:ind w:firstLine="1505"/>
        <w:spacing w:after="0" w:line="282" w:lineRule="auto"/>
        <w:tabs>
          <w:tab w:leader="none" w:pos="20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notes receivable of, or prepaid royalties and other credit extensions, to customers and suppliers who are not Affiliates, in the ordinary course of business;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paragraph (i)</w:t>
      </w:r>
      <w:r>
        <w:rPr>
          <w:rFonts w:ascii="Times New Roman" w:cs="Times New Roman" w:eastAsia="Times New Roman" w:hAnsi="Times New Roman"/>
          <w:sz w:val="18"/>
          <w:szCs w:val="18"/>
          <w:color w:val="auto"/>
        </w:rPr>
        <w:t xml:space="preserve"> shall not apply to Investments of Borrower in any Subsidiary;</w:t>
      </w:r>
    </w:p>
    <w:p>
      <w:pPr>
        <w:spacing w:after="0" w:line="161"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or strategic alliances in the ordinary course of the applicable Borrower’s or Subsidiary’s business consisting of nonexclusive licenses of technology, the development of technology, commercialization agreements or the providing of technical support; provided that cash Investments by Borrower or any Guarantor do not exceed Two Hundred Fifty Thousand Dollars ($250,000) in the aggregate in any fiscal year;</w:t>
      </w:r>
    </w:p>
    <w:p>
      <w:pPr>
        <w:spacing w:after="0" w:line="175"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disposition of assets related to any of Borrower’s therapy programs into another Person in exchange for equity interests in such Person and the right to receive payments of milestones and royalties so long as the aggregate value of all such assets do not exceed Two Hundred Fifty Thousand Dollars ($250,000) in any fiscal year;</w:t>
      </w:r>
    </w:p>
    <w:p>
      <w:pPr>
        <w:spacing w:after="0" w:line="175"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by Borrower or any Guarantor in Borrower or any Guarantor, (ii) Investments by a Subsidiary that is not a Borrower or Guarantor in another Subsidiary that is not a Borrower or Guarantor for the ordinary and necessary current operating expenses of such Subsidiaries in an amount not to exceed Five Hundred Thousand Dollars ($500,000) in the aggregate in any fiscal year and (iii) Investments by Borrower or a Guarantor in any Subsidiary that is not a Borrower or Guarantor for the ordinary and necessary current operating expenses of such Subsidiaries in an amount not to exceed Five Hundred Thousand Dollars ($500,000) in the aggregate in any fiscal year; and</w:t>
      </w:r>
    </w:p>
    <w:p>
      <w:pPr>
        <w:spacing w:after="0" w:line="183"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not otherwise permitted herein not to exceed Two Hundred Fifty Thousand Dollars ($250,000)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in any fiscal year</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are:</w:t>
      </w:r>
    </w:p>
    <w:p>
      <w:pPr>
        <w:spacing w:after="0" w:line="229" w:lineRule="exact"/>
        <w:rPr>
          <w:sz w:val="20"/>
          <w:szCs w:val="20"/>
          <w:color w:val="auto"/>
        </w:rPr>
      </w:pPr>
    </w:p>
    <w:p>
      <w:pPr>
        <w:ind w:left="2040" w:hanging="535"/>
        <w:spacing w:after="0"/>
        <w:tabs>
          <w:tab w:leader="none" w:pos="20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Effective Date which are shown on the Perfection Certificate or arising under this Agreement or the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Documents;</w:t>
      </w:r>
    </w:p>
    <w:p>
      <w:pPr>
        <w:spacing w:after="0" w:line="207" w:lineRule="exact"/>
        <w:rPr>
          <w:sz w:val="20"/>
          <w:szCs w:val="20"/>
          <w:color w:val="auto"/>
        </w:rPr>
      </w:pPr>
    </w:p>
    <w:p>
      <w:pPr>
        <w:jc w:val="both"/>
        <w:ind w:firstLine="1505"/>
        <w:spacing w:after="0" w:line="266" w:lineRule="auto"/>
        <w:tabs>
          <w:tab w:leader="none" w:pos="203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w:t>
      </w:r>
    </w:p>
    <w:p>
      <w:pPr>
        <w:spacing w:after="0" w:line="175"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Liens (i) on Equipment acquired or held by Borrower incurred for financing the acquisition of the Equipment securing no more than Two Hundred Fifty Thousand Dollars ($250,000) in the aggregate amount outstanding, or (ii) existing on Equipment when acquired, if the Lien is confined to the property and improvements and the proceeds of the Equipment;</w:t>
      </w:r>
    </w:p>
    <w:p>
      <w:pPr>
        <w:spacing w:after="0" w:line="17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61"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175"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w:t>
      </w:r>
    </w:p>
    <w:p>
      <w:pPr>
        <w:spacing w:after="0" w:line="179"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of Intellectual Property granted to third parties in the ordinary course of business;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6" w:name="page137"/>
    <w:bookmarkEnd w:id="136"/>
    <w:p>
      <w:pPr>
        <w:ind w:left="2040" w:hanging="535"/>
        <w:spacing w:after="0"/>
        <w:tabs>
          <w:tab w:leader="none" w:pos="20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attachments or judgments, orders, or decrees in circumstances not constituting an Event of Default under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Sections 7.4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7.7</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Liens of any bank in connection with statutory, common law and contractual rights of setoff and recoupment with respect to any deposit account or securities account of Borrower or any Subsidiary, provided that (i) Bank has a first priority perfected security interest in such account to the extent required pursuant to Section 5.9 of this Agreement and (ii) such account is permitted to be maintained pursuant to Section 5.9 of this Agreement;</w:t>
      </w:r>
    </w:p>
    <w:p>
      <w:pPr>
        <w:spacing w:after="0" w:line="179"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75"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or deposits made to secure the performance of bids, trade contracts (other than for borrowed money), leases, statutory obligations, surety and appeal bond, performance bonds and other obligations of a like nature incurred in the ordinary course of business in an aggregate amount not to exceed Two Hundred Fifty Thousand Dollars ($250,000);</w:t>
      </w:r>
    </w:p>
    <w:p>
      <w:pPr>
        <w:spacing w:after="0" w:line="175"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or revenue authorities arising as a matter of law to secure payment of customs duties in connection with the importation of goods; and</w:t>
      </w:r>
    </w:p>
    <w:p>
      <w:pPr>
        <w:spacing w:after="0" w:line="161"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JPMorgan Chase Bank, N.A. on the LC Cash Collateral Account provided that at no time shall the LC Cash Collateral Account contain assets with a value in excess of Four Hundred Thousand Dollars ($400,000).</w:t>
      </w:r>
    </w:p>
    <w:p>
      <w:pPr>
        <w:spacing w:after="0" w:line="158"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5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Fee</w:t>
      </w:r>
      <w:r>
        <w:rPr>
          <w:rFonts w:ascii="Times New Roman" w:cs="Times New Roman" w:eastAsia="Times New Roman" w:hAnsi="Times New Roman"/>
          <w:sz w:val="18"/>
          <w:szCs w:val="18"/>
          <w:color w:val="auto"/>
        </w:rPr>
        <w:t>” is a fee due upon prepayment (whether voluntary or otherwise) of the Term Loan Advances equal to (a) three percent (3.0%) of the aggregate outstanding principal amount of the Term Loan Advances at the time of such prepayment if such prepayment occurs prior to the first (1st) anniversary of the Effective Date, (b) two percent (2.0%) of the aggregate outstanding principal amount of the Term Loan Advances at the time of such prepayment if such prepayment occurs on or at any time after the first (1st) anniversary of the Effective Date but prior to the second (2nd) anniversary of the Effective Date, and (c) one percent (1.0%) of the aggregate outstanding principal amount of the Term Loan Advances at the time of such prepayment if such prepayment occurs on or at any time after the second (2nd) anniversary of the Effective Date but prior to the Term Loan Maturity Date. Notwithstanding the foregoing, the Prepayment Fee shall be waived by Bank if the Term Loan Advances are refinanced using the proceeds of a new facility provided by Bank (the determination as to whether to provide such new facility being in Bank’s sole and absolute discretion).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xml:space="preserve">” is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Protected Person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Funding Sources</w:t>
      </w:r>
      <w:r>
        <w:rPr>
          <w:rFonts w:ascii="Times New Roman" w:cs="Times New Roman" w:eastAsia="Times New Roman" w:hAnsi="Times New Roman"/>
          <w:sz w:val="18"/>
          <w:szCs w:val="18"/>
          <w:color w:val="auto"/>
        </w:rPr>
        <w:t>” are (a) the sale of Borrower’s equity securities and/or (b) upfront and nonrefundable milestone payments from licensing, collaboration, co-development agreements, or any combination thereof, on terms and conditions acceptable to Bank in its sole but reasonable discretion.</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Organization</w:t>
      </w:r>
      <w:r>
        <w:rPr>
          <w:rFonts w:ascii="Times New Roman" w:cs="Times New Roman" w:eastAsia="Times New Roman" w:hAnsi="Times New Roman"/>
          <w:sz w:val="18"/>
          <w:szCs w:val="18"/>
          <w:color w:val="auto"/>
        </w:rPr>
        <w:t>” is any “registered organization” as defined in the Code with such additions to such term as may hereafter be made.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Section11.8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7" w:name="page138"/>
    <w:bookmarkEnd w:id="137"/>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is any of the Chief Executive Officer, President, Chief Financial Officer and Controller of Borrower.</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License</w:t>
      </w:r>
      <w:r>
        <w:rPr>
          <w:rFonts w:ascii="Times New Roman" w:cs="Times New Roman" w:eastAsia="Times New Roman" w:hAnsi="Times New Roman"/>
          <w:sz w:val="18"/>
          <w:szCs w:val="18"/>
          <w:color w:val="auto"/>
        </w:rPr>
        <w:t>” is any material license or other material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Bank’s right to sell any Collateral.</w:t>
      </w:r>
    </w:p>
    <w:p>
      <w:pPr>
        <w:spacing w:after="0" w:line="17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xml:space="preserve">” means a Person that: (a) is listed on any Sanctions list maintained by OFAC or any similar Sanctions list maintained by any other Governmental Authority having jurisdiction over Borrower; (b) is located, organized, or resident in any country, territory, or region that is the subject or target of Sanctions; or (c) is fifty percent (50.0%) or more owned or controlled by one (1) or more Persons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the economic sanctions laws, regulations, embargoes or restrictive measures administered, enacted or enforced by the United States government and any of its agencies, including, without limitation, OFAC and the U.S. State Department, or any other Governmental Authority having jurisdiction over Borrower.</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is the Securities and Exchange Commission, any successor thereto, and any analogous Governmental Authority.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Account</w:t>
      </w:r>
      <w:r>
        <w:rPr>
          <w:rFonts w:ascii="Times New Roman" w:cs="Times New Roman" w:eastAsia="Times New Roman" w:hAnsi="Times New Roman"/>
          <w:sz w:val="18"/>
          <w:szCs w:val="18"/>
          <w:color w:val="auto"/>
        </w:rPr>
        <w:t>” is any “securities account” as defined in the Code with such additions to such term as may hereafter be made.</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is indebtedness incurred by Borrower or any of its Subsidiaries subordinated to all of Borrower’s or any of its Subsidiaries’ now or hereafter indebtedness to Bank (pursuant to a subordination, intercreditor, or other similar agreement in form and substance satisfactory to Bank entered into between Bank and the other creditor), on terms acceptable to Bank.</w:t>
      </w:r>
    </w:p>
    <w:p>
      <w:pPr>
        <w:spacing w:after="0" w:line="171"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is, as to any Person, a corporation, partnership, limited liability company or other entity of which shares of stock, partnership, membership, or other ownership interest or other equity securities having ordinary voting power (other than stock, partnership, membership, or other ownership interest or other equity securities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182"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Advance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Term Loan Advances</w:t>
      </w:r>
      <w:r>
        <w:rPr>
          <w:rFonts w:ascii="Times New Roman" w:cs="Times New Roman" w:eastAsia="Times New Roman" w:hAnsi="Times New Roman"/>
          <w:sz w:val="18"/>
          <w:szCs w:val="18"/>
          <w:color w:val="auto"/>
        </w:rPr>
        <w:t xml:space="preserve">” are each defined in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Amortization Date</w:t>
      </w:r>
      <w:r>
        <w:rPr>
          <w:rFonts w:ascii="Times New Roman" w:cs="Times New Roman" w:eastAsia="Times New Roman" w:hAnsi="Times New Roman"/>
          <w:sz w:val="18"/>
          <w:szCs w:val="18"/>
          <w:color w:val="auto"/>
        </w:rPr>
        <w:t xml:space="preserve">” is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Availability Amount</w:t>
      </w:r>
      <w:r>
        <w:rPr>
          <w:rFonts w:ascii="Times New Roman" w:cs="Times New Roman" w:eastAsia="Times New Roman" w:hAnsi="Times New Roman"/>
          <w:sz w:val="18"/>
          <w:szCs w:val="18"/>
          <w:color w:val="auto"/>
        </w:rPr>
        <w:t xml:space="preserve">” is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Maturity Date</w:t>
      </w:r>
      <w:r>
        <w:rPr>
          <w:rFonts w:ascii="Times New Roman" w:cs="Times New Roman" w:eastAsia="Times New Roman" w:hAnsi="Times New Roman"/>
          <w:sz w:val="18"/>
          <w:szCs w:val="18"/>
          <w:color w:val="auto"/>
        </w:rPr>
        <w:t xml:space="preserve">” is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with respect to any Person, any trademark and servicemark rights, whether registered or not, applications to register and registrations of the same and like protections, and the entire goodwill of the business of such Person connected with and symbolized by such trademarks.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of this Agreement.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8" w:name="page139"/>
    <w:bookmarkEnd w:id="138"/>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 Availability Amount</w:t>
      </w:r>
      <w:r>
        <w:rPr>
          <w:rFonts w:ascii="Times New Roman" w:cs="Times New Roman" w:eastAsia="Times New Roman" w:hAnsi="Times New Roman"/>
          <w:sz w:val="18"/>
          <w:szCs w:val="18"/>
          <w:color w:val="auto"/>
        </w:rPr>
        <w:t xml:space="preserve">” is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 Draw Period</w:t>
      </w:r>
      <w:r>
        <w:rPr>
          <w:rFonts w:ascii="Times New Roman" w:cs="Times New Roman" w:eastAsia="Times New Roman" w:hAnsi="Times New Roman"/>
          <w:sz w:val="18"/>
          <w:szCs w:val="18"/>
          <w:color w:val="auto"/>
        </w:rPr>
        <w:t xml:space="preserve">” is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 Term Loan Advance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Tranche A Term Loan Advances</w:t>
      </w:r>
      <w:r>
        <w:rPr>
          <w:rFonts w:ascii="Times New Roman" w:cs="Times New Roman" w:eastAsia="Times New Roman" w:hAnsi="Times New Roman"/>
          <w:sz w:val="18"/>
          <w:szCs w:val="18"/>
          <w:color w:val="auto"/>
        </w:rPr>
        <w:t xml:space="preserve">” are each defined in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Availability Amount</w:t>
      </w:r>
      <w:r>
        <w:rPr>
          <w:rFonts w:ascii="Times New Roman" w:cs="Times New Roman" w:eastAsia="Times New Roman" w:hAnsi="Times New Roman"/>
          <w:sz w:val="18"/>
          <w:szCs w:val="18"/>
          <w:color w:val="auto"/>
        </w:rPr>
        <w:t xml:space="preserve">” is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Availability Milestone</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Draw Period</w:t>
      </w:r>
      <w:r>
        <w:rPr>
          <w:rFonts w:ascii="Times New Roman" w:cs="Times New Roman" w:eastAsia="Times New Roman" w:hAnsi="Times New Roman"/>
          <w:sz w:val="18"/>
          <w:szCs w:val="18"/>
          <w:color w:val="auto"/>
        </w:rPr>
        <w:t xml:space="preserve">” is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Term Loan Advance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C</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C Availability Amount</w:t>
      </w:r>
      <w:r>
        <w:rPr>
          <w:rFonts w:ascii="Times New Roman" w:cs="Times New Roman" w:eastAsia="Times New Roman" w:hAnsi="Times New Roman"/>
          <w:sz w:val="18"/>
          <w:szCs w:val="18"/>
          <w:color w:val="auto"/>
        </w:rPr>
        <w:t xml:space="preserve">” is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C Availability Milestone</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C Draw Period</w:t>
      </w:r>
      <w:r>
        <w:rPr>
          <w:rFonts w:ascii="Times New Roman" w:cs="Times New Roman" w:eastAsia="Times New Roman" w:hAnsi="Times New Roman"/>
          <w:sz w:val="18"/>
          <w:szCs w:val="18"/>
          <w:color w:val="auto"/>
        </w:rPr>
        <w:t xml:space="preserve">” is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C Term Loan Advance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D</w:t>
      </w:r>
      <w:r>
        <w:rPr>
          <w:rFonts w:ascii="Times New Roman" w:cs="Times New Roman" w:eastAsia="Times New Roman" w:hAnsi="Times New Roman"/>
          <w:sz w:val="18"/>
          <w:szCs w:val="18"/>
          <w:color w:val="auto"/>
        </w:rPr>
        <w:t xml:space="preserve">” defined in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D Availability Amount</w:t>
      </w:r>
      <w:r>
        <w:rPr>
          <w:rFonts w:ascii="Times New Roman" w:cs="Times New Roman" w:eastAsia="Times New Roman" w:hAnsi="Times New Roman"/>
          <w:sz w:val="18"/>
          <w:szCs w:val="18"/>
          <w:color w:val="auto"/>
        </w:rPr>
        <w:t xml:space="preserve">” is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D Availability Milestone</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D Draw Period</w:t>
      </w:r>
      <w:r>
        <w:rPr>
          <w:rFonts w:ascii="Times New Roman" w:cs="Times New Roman" w:eastAsia="Times New Roman" w:hAnsi="Times New Roman"/>
          <w:sz w:val="18"/>
          <w:szCs w:val="18"/>
          <w:color w:val="auto"/>
        </w:rPr>
        <w:t xml:space="preserve">” is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D Term Loan Advance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Uncommitted Accordion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(Public Law 107-56, signed into law on October 26, 2001), as amended from time to time.</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is (a) that certain Warrant to Purchase Stock dated as of the Effective Date between Borrower and Bank, together with (b) any other warrant to purchase stock issued by Borrower in favor of Bank theretofore or thereafter, in each case, as amended, modified, supplemented and/or restated from time to time.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executed as of the Effective Date.</w:t>
      </w:r>
    </w:p>
    <w:p>
      <w:pPr>
        <w:sectPr>
          <w:pgSz w:w="11900" w:h="16838" w:orient="portrait"/>
          <w:cols w:equalWidth="0" w:num="1">
            <w:col w:w="9379"/>
          </w:cols>
          <w:pgMar w:left="1080" w:top="1413" w:right="1440" w:bottom="1440" w:gutter="0" w:footer="0" w:header="0"/>
        </w:sectPr>
      </w:pPr>
    </w:p>
    <w:p>
      <w:pPr>
        <w:spacing w:after="0" w:line="23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Leone Patterson</w:t>
      </w:r>
      <w:r>
        <w:rPr>
          <w:rFonts w:ascii="Times New Roman" w:cs="Times New Roman" w:eastAsia="Times New Roman" w:hAnsi="Times New Roman"/>
          <w:sz w:val="18"/>
          <w:szCs w:val="18"/>
          <w:color w:val="auto"/>
        </w:rPr>
        <w:t>_______________________</w:t>
      </w:r>
    </w:p>
    <w:p>
      <w:pPr>
        <w:spacing w:after="0" w:line="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 Leone Patterson</w:t>
      </w:r>
    </w:p>
    <w:p>
      <w:pPr>
        <w:spacing w:after="0" w:line="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Chief Financial and Business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970280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13" w:right="1440"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executed as of the Effective Date.</w:t>
      </w:r>
    </w:p>
    <w:p>
      <w:pPr>
        <w:sectPr>
          <w:pgSz w:w="11900" w:h="16838" w:orient="portrait"/>
          <w:cols w:equalWidth="0" w:num="1">
            <w:col w:w="9379"/>
          </w:cols>
          <w:pgMar w:left="1080" w:top="1413" w:right="1440" w:bottom="1440" w:gutter="0" w:footer="0" w:header="0"/>
        </w:sectPr>
      </w:pPr>
    </w:p>
    <w:p>
      <w:pPr>
        <w:spacing w:after="0" w:line="23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BANK:</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auto"/>
        </w:rPr>
        <w:t>FIRST-CITIZENS BANK &amp; TRUST COMPANY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Peter Sletteland</w:t>
      </w:r>
      <w:r>
        <w:rPr>
          <w:rFonts w:ascii="Times New Roman" w:cs="Times New Roman" w:eastAsia="Times New Roman" w:hAnsi="Times New Roman"/>
          <w:sz w:val="18"/>
          <w:szCs w:val="18"/>
          <w:color w:val="auto"/>
        </w:rPr>
        <w:t>_______________________</w:t>
      </w:r>
    </w:p>
    <w:p>
      <w:pPr>
        <w:spacing w:after="0" w:line="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 Peter Sletteland</w:t>
      </w:r>
    </w:p>
    <w:p>
      <w:pPr>
        <w:spacing w:after="0" w:line="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1373505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13" w:right="1440" w:bottom="1440" w:gutter="0" w:footer="0" w:header="0"/>
          <w:type w:val="continuous"/>
        </w:sectPr>
      </w:pPr>
    </w:p>
    <w:bookmarkStart w:id="141" w:name="page142"/>
    <w:bookmarkEnd w:id="141"/>
    <w:tbl>
      <w:tblPr>
        <w:tblLayout w:type="fixed"/>
        <w:tblInd w:w="1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4940" w:type="dxa"/>
            <w:vAlign w:val="bottom"/>
            <w:gridSpan w:val="15"/>
          </w:tcPr>
          <w:p>
            <w:pPr>
              <w:spacing w:after="0"/>
              <w:rPr>
                <w:sz w:val="17"/>
                <w:szCs w:val="17"/>
                <w:color w:val="auto"/>
              </w:rPr>
            </w:pPr>
          </w:p>
        </w:tc>
        <w:tc>
          <w:tcPr>
            <w:tcW w:w="120" w:type="dxa"/>
            <w:vAlign w:val="bottom"/>
          </w:tcPr>
          <w:p>
            <w:pPr>
              <w:spacing w:after="0"/>
              <w:rPr>
                <w:sz w:val="17"/>
                <w:szCs w:val="17"/>
                <w:color w:val="auto"/>
              </w:rPr>
            </w:pPr>
          </w:p>
        </w:tc>
      </w:tr>
      <w:tr>
        <w:trPr>
          <w:trHeight w:val="412"/>
        </w:trPr>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60" w:type="dxa"/>
            <w:vAlign w:val="bottom"/>
            <w:gridSpan w:val="23"/>
          </w:tcPr>
          <w:p>
            <w:pPr>
              <w:jc w:val="center"/>
              <w:ind w:right="4740"/>
              <w:spacing w:after="0"/>
              <w:rPr>
                <w:sz w:val="20"/>
                <w:szCs w:val="20"/>
                <w:color w:val="auto"/>
              </w:rPr>
            </w:pPr>
            <w:r>
              <w:rPr>
                <w:rFonts w:ascii="Times New Roman" w:cs="Times New Roman" w:eastAsia="Times New Roman" w:hAnsi="Times New Roman"/>
                <w:sz w:val="18"/>
                <w:szCs w:val="18"/>
                <w:b w:val="1"/>
                <w:bCs w:val="1"/>
                <w:color w:val="auto"/>
              </w:rPr>
              <w:t>LSA PROVISIONS</w:t>
            </w:r>
          </w:p>
        </w:tc>
        <w:tc>
          <w:tcPr>
            <w:tcW w:w="120" w:type="dxa"/>
            <w:vAlign w:val="bottom"/>
          </w:tcPr>
          <w:p>
            <w:pPr>
              <w:spacing w:after="0"/>
              <w:rPr>
                <w:sz w:val="24"/>
                <w:szCs w:val="24"/>
                <w:color w:val="auto"/>
              </w:rPr>
            </w:pPr>
          </w:p>
        </w:tc>
      </w:tr>
      <w:tr>
        <w:trPr>
          <w:trHeight w:val="253"/>
        </w:trPr>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166"/>
        </w:trPr>
        <w:tc>
          <w:tcPr>
            <w:tcW w:w="120" w:type="dxa"/>
            <w:vAlign w:val="bottom"/>
            <w:tcBorders>
              <w:left w:val="single" w:sz="8" w:color="auto"/>
            </w:tcBorders>
          </w:tcPr>
          <w:p>
            <w:pPr>
              <w:spacing w:after="0"/>
              <w:rPr>
                <w:sz w:val="14"/>
                <w:szCs w:val="14"/>
                <w:color w:val="auto"/>
              </w:rPr>
            </w:pPr>
          </w:p>
        </w:tc>
        <w:tc>
          <w:tcPr>
            <w:tcW w:w="3660" w:type="dxa"/>
            <w:vAlign w:val="bottom"/>
            <w:tcBorders>
              <w:right w:val="single" w:sz="8" w:color="auto"/>
            </w:tcBorders>
            <w:gridSpan w:val="2"/>
          </w:tcPr>
          <w:p>
            <w:pPr>
              <w:spacing w:after="0" w:line="166" w:lineRule="exact"/>
              <w:rPr>
                <w:sz w:val="20"/>
                <w:szCs w:val="20"/>
                <w:color w:val="auto"/>
              </w:rPr>
            </w:pPr>
            <w:r>
              <w:rPr>
                <w:rFonts w:ascii="Times New Roman" w:cs="Times New Roman" w:eastAsia="Times New Roman" w:hAnsi="Times New Roman"/>
                <w:sz w:val="18"/>
                <w:szCs w:val="18"/>
                <w:b w:val="1"/>
                <w:bCs w:val="1"/>
                <w:color w:val="auto"/>
              </w:rPr>
              <w:t>LSA Section</w:t>
            </w:r>
          </w:p>
        </w:tc>
        <w:tc>
          <w:tcPr>
            <w:tcW w:w="60" w:type="dxa"/>
            <w:vAlign w:val="bottom"/>
          </w:tcPr>
          <w:p>
            <w:pPr>
              <w:spacing w:after="0"/>
              <w:rPr>
                <w:sz w:val="14"/>
                <w:szCs w:val="14"/>
                <w:color w:val="auto"/>
              </w:rPr>
            </w:pPr>
          </w:p>
        </w:tc>
        <w:tc>
          <w:tcPr>
            <w:tcW w:w="7280" w:type="dxa"/>
            <w:vAlign w:val="bottom"/>
            <w:tcBorders>
              <w:right w:val="single" w:sz="8" w:color="auto"/>
            </w:tcBorders>
            <w:gridSpan w:val="26"/>
          </w:tcPr>
          <w:p>
            <w:pPr>
              <w:spacing w:after="0" w:line="166" w:lineRule="exact"/>
              <w:rPr>
                <w:sz w:val="20"/>
                <w:szCs w:val="20"/>
                <w:color w:val="auto"/>
              </w:rPr>
            </w:pPr>
            <w:r>
              <w:rPr>
                <w:rFonts w:ascii="Times New Roman" w:cs="Times New Roman" w:eastAsia="Times New Roman" w:hAnsi="Times New Roman"/>
                <w:sz w:val="18"/>
                <w:szCs w:val="18"/>
                <w:b w:val="1"/>
                <w:bCs w:val="1"/>
                <w:color w:val="auto"/>
              </w:rPr>
              <w:t>LSA Provision</w:t>
            </w:r>
          </w:p>
        </w:tc>
        <w:tc>
          <w:tcPr>
            <w:tcW w:w="120" w:type="dxa"/>
            <w:vAlign w:val="bottom"/>
          </w:tcPr>
          <w:p>
            <w:pPr>
              <w:spacing w:after="0"/>
              <w:rPr>
                <w:sz w:val="14"/>
                <w:szCs w:val="14"/>
                <w:color w:val="auto"/>
              </w:rPr>
            </w:pPr>
          </w:p>
        </w:tc>
      </w:tr>
      <w:tr>
        <w:trPr>
          <w:trHeight w:val="267"/>
        </w:trPr>
        <w:tc>
          <w:tcPr>
            <w:tcW w:w="120" w:type="dxa"/>
            <w:vAlign w:val="bottom"/>
            <w:tcBorders>
              <w:left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spacing w:after="0"/>
              <w:rPr>
                <w:sz w:val="23"/>
                <w:szCs w:val="23"/>
                <w:color w:val="auto"/>
              </w:rPr>
            </w:pPr>
          </w:p>
        </w:tc>
        <w:tc>
          <w:tcPr>
            <w:tcW w:w="270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40" w:type="dxa"/>
            <w:vAlign w:val="bottom"/>
            <w:tcBorders>
              <w:top w:val="single" w:sz="8" w:color="auto"/>
              <w:bottom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188"/>
        </w:trPr>
        <w:tc>
          <w:tcPr>
            <w:tcW w:w="120" w:type="dxa"/>
            <w:vAlign w:val="bottom"/>
            <w:tcBorders>
              <w:left w:val="single" w:sz="8" w:color="auto"/>
            </w:tcBorders>
          </w:tcPr>
          <w:p>
            <w:pPr>
              <w:spacing w:after="0"/>
              <w:rPr>
                <w:sz w:val="16"/>
                <w:szCs w:val="16"/>
                <w:color w:val="auto"/>
              </w:rPr>
            </w:pPr>
          </w:p>
        </w:tc>
        <w:tc>
          <w:tcPr>
            <w:tcW w:w="3660" w:type="dxa"/>
            <w:vAlign w:val="bottom"/>
            <w:tcBorders>
              <w:right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color w:val="auto"/>
              </w:rPr>
              <w:t>1.5(a) – Term Loan Advances – Availability</w:t>
            </w:r>
          </w:p>
        </w:tc>
        <w:tc>
          <w:tcPr>
            <w:tcW w:w="60" w:type="dxa"/>
            <w:vAlign w:val="bottom"/>
          </w:tcPr>
          <w:p>
            <w:pPr>
              <w:spacing w:after="0"/>
              <w:rPr>
                <w:sz w:val="16"/>
                <w:szCs w:val="16"/>
                <w:color w:val="auto"/>
              </w:rPr>
            </w:pPr>
          </w:p>
        </w:tc>
        <w:tc>
          <w:tcPr>
            <w:tcW w:w="7280" w:type="dxa"/>
            <w:vAlign w:val="bottom"/>
            <w:tcBorders>
              <w:right w:val="single" w:sz="8" w:color="auto"/>
            </w:tcBorders>
            <w:gridSpan w:val="26"/>
          </w:tcPr>
          <w:p>
            <w:pPr>
              <w:spacing w:after="0" w:line="188" w:lineRule="exact"/>
              <w:rPr>
                <w:sz w:val="20"/>
                <w:szCs w:val="20"/>
                <w:color w:val="auto"/>
              </w:rPr>
            </w:pPr>
            <w:r>
              <w:rPr>
                <w:rFonts w:ascii="Times New Roman" w:cs="Times New Roman" w:eastAsia="Times New Roman" w:hAnsi="Times New Roman"/>
                <w:sz w:val="18"/>
                <w:szCs w:val="18"/>
                <w:color w:val="auto"/>
              </w:rPr>
              <w:t>Each Term Loan Advance must be in an amount equal to at least Five Million Dollars ($5,000,000)</w:t>
            </w:r>
          </w:p>
        </w:tc>
        <w:tc>
          <w:tcPr>
            <w:tcW w:w="120" w:type="dxa"/>
            <w:vAlign w:val="bottom"/>
          </w:tcPr>
          <w:p>
            <w:pPr>
              <w:spacing w:after="0"/>
              <w:rPr>
                <w:sz w:val="16"/>
                <w:szCs w:val="16"/>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80" w:type="dxa"/>
            <w:vAlign w:val="bottom"/>
            <w:tcBorders>
              <w:right w:val="single" w:sz="8" w:color="auto"/>
            </w:tcBorders>
            <w:gridSpan w:val="26"/>
          </w:tcPr>
          <w:p>
            <w:pPr>
              <w:spacing w:after="0"/>
              <w:rPr>
                <w:sz w:val="20"/>
                <w:szCs w:val="20"/>
                <w:color w:val="auto"/>
              </w:rPr>
            </w:pPr>
            <w:r>
              <w:rPr>
                <w:rFonts w:ascii="Times New Roman" w:cs="Times New Roman" w:eastAsia="Times New Roman" w:hAnsi="Times New Roman"/>
                <w:sz w:val="18"/>
                <w:szCs w:val="18"/>
                <w:color w:val="auto"/>
              </w:rPr>
              <w:t>or such lesser amount as remains available under the applicable tranche. After repayment, no Term</w:t>
            </w:r>
          </w:p>
        </w:tc>
        <w:tc>
          <w:tcPr>
            <w:tcW w:w="120" w:type="dxa"/>
            <w:vAlign w:val="bottom"/>
          </w:tcPr>
          <w:p>
            <w:pPr>
              <w:spacing w:after="0"/>
              <w:rPr>
                <w:sz w:val="18"/>
                <w:szCs w:val="18"/>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80" w:type="dxa"/>
            <w:vAlign w:val="bottom"/>
            <w:tcBorders>
              <w:right w:val="single" w:sz="8" w:color="auto"/>
            </w:tcBorders>
            <w:gridSpan w:val="26"/>
          </w:tcPr>
          <w:p>
            <w:pPr>
              <w:spacing w:after="0"/>
              <w:rPr>
                <w:sz w:val="20"/>
                <w:szCs w:val="20"/>
                <w:color w:val="auto"/>
              </w:rPr>
            </w:pPr>
            <w:r>
              <w:rPr>
                <w:rFonts w:ascii="Times New Roman" w:cs="Times New Roman" w:eastAsia="Times New Roman" w:hAnsi="Times New Roman"/>
                <w:sz w:val="18"/>
                <w:szCs w:val="18"/>
                <w:color w:val="auto"/>
              </w:rPr>
              <w:t>Loan Advance (or any portion thereof) may be reborrowed.</w:t>
            </w:r>
          </w:p>
        </w:tc>
        <w:tc>
          <w:tcPr>
            <w:tcW w:w="120" w:type="dxa"/>
            <w:vAlign w:val="bottom"/>
          </w:tcPr>
          <w:p>
            <w:pPr>
              <w:spacing w:after="0"/>
              <w:rPr>
                <w:sz w:val="20"/>
                <w:szCs w:val="20"/>
                <w:color w:val="auto"/>
              </w:rPr>
            </w:pPr>
          </w:p>
        </w:tc>
      </w:tr>
      <w:tr>
        <w:trPr>
          <w:trHeight w:val="229"/>
        </w:trPr>
        <w:tc>
          <w:tcPr>
            <w:tcW w:w="120" w:type="dxa"/>
            <w:vAlign w:val="bottom"/>
            <w:tcBorders>
              <w:left w:val="single" w:sz="8" w:color="auto"/>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5"/>
        </w:trPr>
        <w:tc>
          <w:tcPr>
            <w:tcW w:w="120" w:type="dxa"/>
            <w:vAlign w:val="bottom"/>
            <w:tcBorders>
              <w:left w:val="single" w:sz="8" w:color="auto"/>
            </w:tcBorders>
          </w:tcPr>
          <w:p>
            <w:pPr>
              <w:spacing w:after="0"/>
              <w:rPr>
                <w:sz w:val="17"/>
                <w:szCs w:val="17"/>
                <w:color w:val="auto"/>
              </w:rPr>
            </w:pPr>
          </w:p>
        </w:tc>
        <w:tc>
          <w:tcPr>
            <w:tcW w:w="3660" w:type="dxa"/>
            <w:vAlign w:val="bottom"/>
            <w:tcBorders>
              <w:right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1.5(b) – Term Loan Advances – Repayment</w:t>
            </w:r>
          </w:p>
        </w:tc>
        <w:tc>
          <w:tcPr>
            <w:tcW w:w="60" w:type="dxa"/>
            <w:vAlign w:val="bottom"/>
          </w:tcPr>
          <w:p>
            <w:pPr>
              <w:spacing w:after="0"/>
              <w:rPr>
                <w:sz w:val="17"/>
                <w:szCs w:val="17"/>
                <w:color w:val="auto"/>
              </w:rPr>
            </w:pPr>
          </w:p>
        </w:tc>
        <w:tc>
          <w:tcPr>
            <w:tcW w:w="7280" w:type="dxa"/>
            <w:vAlign w:val="bottom"/>
            <w:tcBorders>
              <w:right w:val="single" w:sz="8" w:color="auto"/>
            </w:tcBorders>
            <w:gridSpan w:val="26"/>
          </w:tcPr>
          <w:p>
            <w:pPr>
              <w:spacing w:after="0" w:line="205" w:lineRule="exact"/>
              <w:rPr>
                <w:sz w:val="20"/>
                <w:szCs w:val="20"/>
                <w:color w:val="auto"/>
              </w:rPr>
            </w:pPr>
            <w:r>
              <w:rPr>
                <w:rFonts w:ascii="Times New Roman" w:cs="Times New Roman" w:eastAsia="Times New Roman" w:hAnsi="Times New Roman"/>
                <w:sz w:val="18"/>
                <w:szCs w:val="18"/>
                <w:color w:val="auto"/>
              </w:rPr>
              <w:t>The Term Loan Advances shall be “interest-only” through the Interest-Only Period, with interest</w:t>
            </w:r>
          </w:p>
        </w:tc>
        <w:tc>
          <w:tcPr>
            <w:tcW w:w="120" w:type="dxa"/>
            <w:vAlign w:val="bottom"/>
          </w:tcPr>
          <w:p>
            <w:pPr>
              <w:spacing w:after="0"/>
              <w:rPr>
                <w:sz w:val="17"/>
                <w:szCs w:val="17"/>
                <w:color w:val="auto"/>
              </w:rPr>
            </w:pPr>
          </w:p>
        </w:tc>
      </w:tr>
      <w:tr>
        <w:trPr>
          <w:trHeight w:val="194"/>
        </w:trPr>
        <w:tc>
          <w:tcPr>
            <w:tcW w:w="120" w:type="dxa"/>
            <w:vAlign w:val="bottom"/>
            <w:tcBorders>
              <w:lef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80" w:type="dxa"/>
            <w:vAlign w:val="bottom"/>
            <w:tcBorders>
              <w:right w:val="single" w:sz="8" w:color="auto"/>
            </w:tcBorders>
            <w:gridSpan w:val="26"/>
          </w:tcPr>
          <w:p>
            <w:pPr>
              <w:spacing w:after="0" w:line="194" w:lineRule="exact"/>
              <w:rPr>
                <w:sz w:val="20"/>
                <w:szCs w:val="20"/>
                <w:color w:val="auto"/>
              </w:rPr>
            </w:pPr>
            <w:r>
              <w:rPr>
                <w:rFonts w:ascii="Times New Roman" w:cs="Times New Roman" w:eastAsia="Times New Roman" w:hAnsi="Times New Roman"/>
                <w:sz w:val="18"/>
                <w:szCs w:val="18"/>
                <w:color w:val="auto"/>
              </w:rPr>
              <w:t>due and payable in accordance with Section 1.8(a)(ii).   Commencing on the Term Loan</w:t>
            </w:r>
          </w:p>
        </w:tc>
        <w:tc>
          <w:tcPr>
            <w:tcW w:w="120" w:type="dxa"/>
            <w:vAlign w:val="bottom"/>
          </w:tcPr>
          <w:p>
            <w:pPr>
              <w:spacing w:after="0"/>
              <w:rPr>
                <w:sz w:val="16"/>
                <w:szCs w:val="16"/>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Borders>
              <w:right w:val="single" w:sz="8" w:color="auto"/>
            </w:tcBorders>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8"/>
        </w:trPr>
        <w:tc>
          <w:tcPr>
            <w:tcW w:w="12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80" w:type="dxa"/>
            <w:vAlign w:val="bottom"/>
            <w:tcBorders>
              <w:right w:val="single" w:sz="8" w:color="auto"/>
            </w:tcBorders>
            <w:gridSpan w:val="26"/>
          </w:tcPr>
          <w:p>
            <w:pPr>
              <w:spacing w:after="0"/>
              <w:rPr>
                <w:sz w:val="20"/>
                <w:szCs w:val="20"/>
                <w:color w:val="auto"/>
              </w:rPr>
            </w:pPr>
            <w:r>
              <w:rPr>
                <w:rFonts w:ascii="Times New Roman" w:cs="Times New Roman" w:eastAsia="Times New Roman" w:hAnsi="Times New Roman"/>
                <w:sz w:val="18"/>
                <w:szCs w:val="18"/>
                <w:color w:val="auto"/>
              </w:rPr>
              <w:t>Amortization Date and continuing on each Payment Date thereafter, Borrower shall repay each</w:t>
            </w:r>
          </w:p>
        </w:tc>
        <w:tc>
          <w:tcPr>
            <w:tcW w:w="120" w:type="dxa"/>
            <w:vAlign w:val="bottom"/>
          </w:tcPr>
          <w:p>
            <w:pPr>
              <w:spacing w:after="0"/>
              <w:rPr>
                <w:sz w:val="18"/>
                <w:szCs w:val="18"/>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80" w:type="dxa"/>
            <w:vAlign w:val="bottom"/>
            <w:tcBorders>
              <w:right w:val="single" w:sz="8" w:color="auto"/>
            </w:tcBorders>
            <w:gridSpan w:val="26"/>
          </w:tcPr>
          <w:p>
            <w:pPr>
              <w:spacing w:after="0"/>
              <w:rPr>
                <w:sz w:val="20"/>
                <w:szCs w:val="20"/>
                <w:color w:val="auto"/>
              </w:rPr>
            </w:pPr>
            <w:r>
              <w:rPr>
                <w:rFonts w:ascii="Times New Roman" w:cs="Times New Roman" w:eastAsia="Times New Roman" w:hAnsi="Times New Roman"/>
                <w:sz w:val="18"/>
                <w:szCs w:val="18"/>
                <w:color w:val="auto"/>
              </w:rPr>
              <w:t>Term Loan Advance in (a) thirty (30) equal monthly installments of principal, which shall reduce</w:t>
            </w:r>
          </w:p>
        </w:tc>
        <w:tc>
          <w:tcPr>
            <w:tcW w:w="120" w:type="dxa"/>
            <w:vAlign w:val="bottom"/>
          </w:tcPr>
          <w:p>
            <w:pPr>
              <w:spacing w:after="0"/>
              <w:rPr>
                <w:sz w:val="18"/>
                <w:szCs w:val="18"/>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80" w:type="dxa"/>
            <w:vAlign w:val="bottom"/>
            <w:tcBorders>
              <w:right w:val="single" w:sz="8" w:color="auto"/>
            </w:tcBorders>
            <w:gridSpan w:val="26"/>
          </w:tcPr>
          <w:p>
            <w:pPr>
              <w:spacing w:after="0"/>
              <w:rPr>
                <w:sz w:val="20"/>
                <w:szCs w:val="20"/>
                <w:color w:val="auto"/>
              </w:rPr>
            </w:pPr>
            <w:r>
              <w:rPr>
                <w:rFonts w:ascii="Times New Roman" w:cs="Times New Roman" w:eastAsia="Times New Roman" w:hAnsi="Times New Roman"/>
                <w:sz w:val="18"/>
                <w:szCs w:val="18"/>
                <w:color w:val="auto"/>
              </w:rPr>
              <w:t>to twenty-four (24) equal monthly installments of principal upon the occurrence of the Interest-</w:t>
            </w:r>
          </w:p>
        </w:tc>
        <w:tc>
          <w:tcPr>
            <w:tcW w:w="120" w:type="dxa"/>
            <w:vAlign w:val="bottom"/>
          </w:tcPr>
          <w:p>
            <w:pPr>
              <w:spacing w:after="0"/>
              <w:rPr>
                <w:sz w:val="18"/>
                <w:szCs w:val="18"/>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80" w:type="dxa"/>
            <w:vAlign w:val="bottom"/>
            <w:tcBorders>
              <w:right w:val="single" w:sz="8" w:color="auto"/>
            </w:tcBorders>
            <w:gridSpan w:val="26"/>
          </w:tcPr>
          <w:p>
            <w:pPr>
              <w:spacing w:after="0"/>
              <w:rPr>
                <w:sz w:val="20"/>
                <w:szCs w:val="20"/>
                <w:color w:val="auto"/>
              </w:rPr>
            </w:pPr>
            <w:r>
              <w:rPr>
                <w:rFonts w:ascii="Times New Roman" w:cs="Times New Roman" w:eastAsia="Times New Roman" w:hAnsi="Times New Roman"/>
                <w:sz w:val="18"/>
                <w:szCs w:val="18"/>
                <w:color w:val="auto"/>
              </w:rPr>
              <w:t>Only Extension Milestone 1, and which shall reduce to eighteen (18) equal monthly installments of</w:t>
            </w:r>
          </w:p>
        </w:tc>
        <w:tc>
          <w:tcPr>
            <w:tcW w:w="120" w:type="dxa"/>
            <w:vAlign w:val="bottom"/>
          </w:tcPr>
          <w:p>
            <w:pPr>
              <w:spacing w:after="0"/>
              <w:rPr>
                <w:sz w:val="18"/>
                <w:szCs w:val="18"/>
                <w:color w:val="auto"/>
              </w:rPr>
            </w:pPr>
          </w:p>
        </w:tc>
      </w:tr>
      <w:tr>
        <w:trPr>
          <w:trHeight w:val="194"/>
        </w:trPr>
        <w:tc>
          <w:tcPr>
            <w:tcW w:w="120" w:type="dxa"/>
            <w:vAlign w:val="bottom"/>
            <w:tcBorders>
              <w:lef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80" w:type="dxa"/>
            <w:vAlign w:val="bottom"/>
            <w:tcBorders>
              <w:right w:val="single" w:sz="8" w:color="auto"/>
            </w:tcBorders>
            <w:gridSpan w:val="26"/>
          </w:tcPr>
          <w:p>
            <w:pPr>
              <w:spacing w:after="0" w:line="194" w:lineRule="exact"/>
              <w:rPr>
                <w:sz w:val="20"/>
                <w:szCs w:val="20"/>
                <w:color w:val="auto"/>
              </w:rPr>
            </w:pPr>
            <w:r>
              <w:rPr>
                <w:rFonts w:ascii="Times New Roman" w:cs="Times New Roman" w:eastAsia="Times New Roman" w:hAnsi="Times New Roman"/>
                <w:sz w:val="18"/>
                <w:szCs w:val="18"/>
                <w:color w:val="auto"/>
              </w:rPr>
              <w:t>principal upon the occurrence of the Interest-Only Extension Milestone 2, plus (b) monthly</w:t>
            </w:r>
          </w:p>
        </w:tc>
        <w:tc>
          <w:tcPr>
            <w:tcW w:w="120" w:type="dxa"/>
            <w:vAlign w:val="bottom"/>
          </w:tcPr>
          <w:p>
            <w:pPr>
              <w:spacing w:after="0"/>
              <w:rPr>
                <w:sz w:val="16"/>
                <w:szCs w:val="16"/>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7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payments of accrued interest at the rate set forth in Section 1.8(b)(ii).</w:t>
            </w:r>
          </w:p>
        </w:tc>
        <w:tc>
          <w:tcPr>
            <w:tcW w:w="300" w:type="dxa"/>
            <w:vAlign w:val="bottom"/>
            <w:tcBorders>
              <w:top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5"/>
        </w:trPr>
        <w:tc>
          <w:tcPr>
            <w:tcW w:w="120" w:type="dxa"/>
            <w:vAlign w:val="bottom"/>
            <w:tcBorders>
              <w:left w:val="single" w:sz="8" w:color="auto"/>
            </w:tcBorders>
          </w:tcPr>
          <w:p>
            <w:pPr>
              <w:spacing w:after="0"/>
              <w:rPr>
                <w:sz w:val="17"/>
                <w:szCs w:val="17"/>
                <w:color w:val="auto"/>
              </w:rPr>
            </w:pPr>
          </w:p>
        </w:tc>
        <w:tc>
          <w:tcPr>
            <w:tcW w:w="3660" w:type="dxa"/>
            <w:vAlign w:val="bottom"/>
            <w:tcBorders>
              <w:right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1.8(a)(ii) – Interest Payments – Term Loan</w:t>
            </w:r>
          </w:p>
        </w:tc>
        <w:tc>
          <w:tcPr>
            <w:tcW w:w="60" w:type="dxa"/>
            <w:vAlign w:val="bottom"/>
          </w:tcPr>
          <w:p>
            <w:pPr>
              <w:spacing w:after="0"/>
              <w:rPr>
                <w:sz w:val="17"/>
                <w:szCs w:val="17"/>
                <w:color w:val="auto"/>
              </w:rPr>
            </w:pPr>
          </w:p>
        </w:tc>
        <w:tc>
          <w:tcPr>
            <w:tcW w:w="7280" w:type="dxa"/>
            <w:vAlign w:val="bottom"/>
            <w:tcBorders>
              <w:right w:val="single" w:sz="8" w:color="auto"/>
            </w:tcBorders>
            <w:gridSpan w:val="26"/>
          </w:tcPr>
          <w:p>
            <w:pPr>
              <w:spacing w:after="0" w:line="205" w:lineRule="exact"/>
              <w:rPr>
                <w:sz w:val="20"/>
                <w:szCs w:val="20"/>
                <w:color w:val="auto"/>
              </w:rPr>
            </w:pPr>
            <w:r>
              <w:rPr>
                <w:rFonts w:ascii="Times New Roman" w:cs="Times New Roman" w:eastAsia="Times New Roman" w:hAnsi="Times New Roman"/>
                <w:sz w:val="18"/>
                <w:szCs w:val="18"/>
                <w:color w:val="auto"/>
              </w:rPr>
              <w:t>Interest on the principal amount of each Term Loan Advance is payable in arrears monthly (a) on</w:t>
            </w:r>
          </w:p>
        </w:tc>
        <w:tc>
          <w:tcPr>
            <w:tcW w:w="120" w:type="dxa"/>
            <w:vAlign w:val="bottom"/>
          </w:tcPr>
          <w:p>
            <w:pPr>
              <w:spacing w:after="0"/>
              <w:rPr>
                <w:sz w:val="17"/>
                <w:szCs w:val="17"/>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6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Advances</w:t>
            </w:r>
          </w:p>
        </w:tc>
        <w:tc>
          <w:tcPr>
            <w:tcW w:w="60" w:type="dxa"/>
            <w:vAlign w:val="bottom"/>
          </w:tcPr>
          <w:p>
            <w:pPr>
              <w:spacing w:after="0"/>
              <w:rPr>
                <w:sz w:val="18"/>
                <w:szCs w:val="18"/>
                <w:color w:val="auto"/>
              </w:rPr>
            </w:pPr>
          </w:p>
        </w:tc>
        <w:tc>
          <w:tcPr>
            <w:tcW w:w="7280" w:type="dxa"/>
            <w:vAlign w:val="bottom"/>
            <w:tcBorders>
              <w:right w:val="single" w:sz="8" w:color="auto"/>
            </w:tcBorders>
            <w:gridSpan w:val="26"/>
          </w:tcPr>
          <w:p>
            <w:pPr>
              <w:spacing w:after="0"/>
              <w:rPr>
                <w:sz w:val="20"/>
                <w:szCs w:val="20"/>
                <w:color w:val="auto"/>
              </w:rPr>
            </w:pPr>
            <w:r>
              <w:rPr>
                <w:rFonts w:ascii="Times New Roman" w:cs="Times New Roman" w:eastAsia="Times New Roman" w:hAnsi="Times New Roman"/>
                <w:sz w:val="18"/>
                <w:szCs w:val="18"/>
                <w:color w:val="auto"/>
              </w:rPr>
              <w:t>each Payment Date commencing on the first Payment Date following the Funding Date of each</w:t>
            </w:r>
          </w:p>
        </w:tc>
        <w:tc>
          <w:tcPr>
            <w:tcW w:w="120" w:type="dxa"/>
            <w:vAlign w:val="bottom"/>
          </w:tcPr>
          <w:p>
            <w:pPr>
              <w:spacing w:after="0"/>
              <w:rPr>
                <w:sz w:val="18"/>
                <w:szCs w:val="18"/>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80" w:type="dxa"/>
            <w:vAlign w:val="bottom"/>
            <w:tcBorders>
              <w:right w:val="single" w:sz="8" w:color="auto"/>
            </w:tcBorders>
            <w:gridSpan w:val="26"/>
          </w:tcPr>
          <w:p>
            <w:pPr>
              <w:spacing w:after="0"/>
              <w:rPr>
                <w:sz w:val="20"/>
                <w:szCs w:val="20"/>
                <w:color w:val="auto"/>
              </w:rPr>
            </w:pPr>
            <w:r>
              <w:rPr>
                <w:rFonts w:ascii="Times New Roman" w:cs="Times New Roman" w:eastAsia="Times New Roman" w:hAnsi="Times New Roman"/>
                <w:sz w:val="18"/>
                <w:szCs w:val="18"/>
                <w:color w:val="auto"/>
              </w:rPr>
              <w:t>such Term Loan Advance, (b) on the date of any prepayment, and (c) on the Term Loan Maturity</w:t>
            </w:r>
          </w:p>
        </w:tc>
        <w:tc>
          <w:tcPr>
            <w:tcW w:w="120" w:type="dxa"/>
            <w:vAlign w:val="bottom"/>
          </w:tcPr>
          <w:p>
            <w:pPr>
              <w:spacing w:after="0"/>
              <w:rPr>
                <w:sz w:val="18"/>
                <w:szCs w:val="18"/>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80" w:type="dxa"/>
            <w:vAlign w:val="bottom"/>
            <w:tcBorders>
              <w:right w:val="single" w:sz="8" w:color="auto"/>
            </w:tcBorders>
            <w:gridSpan w:val="26"/>
          </w:tcPr>
          <w:p>
            <w:pPr>
              <w:spacing w:after="0"/>
              <w:rPr>
                <w:sz w:val="20"/>
                <w:szCs w:val="20"/>
                <w:color w:val="auto"/>
              </w:rPr>
            </w:pPr>
            <w:r>
              <w:rPr>
                <w:rFonts w:ascii="Times New Roman" w:cs="Times New Roman" w:eastAsia="Times New Roman" w:hAnsi="Times New Roman"/>
                <w:sz w:val="18"/>
                <w:szCs w:val="18"/>
                <w:color w:val="auto"/>
              </w:rPr>
              <w:t>Date.</w:t>
            </w:r>
          </w:p>
        </w:tc>
        <w:tc>
          <w:tcPr>
            <w:tcW w:w="120" w:type="dxa"/>
            <w:vAlign w:val="bottom"/>
          </w:tcPr>
          <w:p>
            <w:pPr>
              <w:spacing w:after="0"/>
              <w:rPr>
                <w:sz w:val="20"/>
                <w:szCs w:val="20"/>
                <w:color w:val="auto"/>
              </w:rPr>
            </w:pPr>
          </w:p>
        </w:tc>
      </w:tr>
      <w:tr>
        <w:trPr>
          <w:trHeight w:val="230"/>
        </w:trPr>
        <w:tc>
          <w:tcPr>
            <w:tcW w:w="120" w:type="dxa"/>
            <w:vAlign w:val="bottom"/>
            <w:tcBorders>
              <w:left w:val="single" w:sz="8" w:color="auto"/>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5"/>
        </w:trPr>
        <w:tc>
          <w:tcPr>
            <w:tcW w:w="120" w:type="dxa"/>
            <w:vAlign w:val="bottom"/>
            <w:tcBorders>
              <w:left w:val="single" w:sz="8" w:color="auto"/>
            </w:tcBorders>
          </w:tcPr>
          <w:p>
            <w:pPr>
              <w:spacing w:after="0"/>
              <w:rPr>
                <w:sz w:val="17"/>
                <w:szCs w:val="17"/>
                <w:color w:val="auto"/>
              </w:rPr>
            </w:pPr>
          </w:p>
        </w:tc>
        <w:tc>
          <w:tcPr>
            <w:tcW w:w="3660" w:type="dxa"/>
            <w:vAlign w:val="bottom"/>
            <w:tcBorders>
              <w:right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1.8(b)(ii) – Interest Rate – Term Loan Advances</w:t>
            </w:r>
          </w:p>
        </w:tc>
        <w:tc>
          <w:tcPr>
            <w:tcW w:w="60" w:type="dxa"/>
            <w:vAlign w:val="bottom"/>
          </w:tcPr>
          <w:p>
            <w:pPr>
              <w:spacing w:after="0"/>
              <w:rPr>
                <w:sz w:val="17"/>
                <w:szCs w:val="17"/>
                <w:color w:val="auto"/>
              </w:rPr>
            </w:pPr>
          </w:p>
        </w:tc>
        <w:tc>
          <w:tcPr>
            <w:tcW w:w="7280" w:type="dxa"/>
            <w:vAlign w:val="bottom"/>
            <w:tcBorders>
              <w:right w:val="single" w:sz="8" w:color="auto"/>
            </w:tcBorders>
            <w:gridSpan w:val="26"/>
          </w:tcPr>
          <w:p>
            <w:pPr>
              <w:spacing w:after="0" w:line="205" w:lineRule="exact"/>
              <w:rPr>
                <w:sz w:val="20"/>
                <w:szCs w:val="20"/>
                <w:color w:val="auto"/>
              </w:rPr>
            </w:pPr>
            <w:r>
              <w:rPr>
                <w:rFonts w:ascii="Times New Roman" w:cs="Times New Roman" w:eastAsia="Times New Roman" w:hAnsi="Times New Roman"/>
                <w:sz w:val="18"/>
                <w:szCs w:val="18"/>
                <w:color w:val="auto"/>
              </w:rPr>
              <w:t>The outstanding principal amount of any Term Loan Advance shall accrue interest at a floating rate</w:t>
            </w:r>
          </w:p>
        </w:tc>
        <w:tc>
          <w:tcPr>
            <w:tcW w:w="120" w:type="dxa"/>
            <w:vAlign w:val="bottom"/>
          </w:tcPr>
          <w:p>
            <w:pPr>
              <w:spacing w:after="0"/>
              <w:rPr>
                <w:sz w:val="17"/>
                <w:szCs w:val="17"/>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80" w:type="dxa"/>
            <w:vAlign w:val="bottom"/>
            <w:tcBorders>
              <w:right w:val="single" w:sz="8" w:color="auto"/>
            </w:tcBorders>
            <w:gridSpan w:val="26"/>
          </w:tcPr>
          <w:p>
            <w:pPr>
              <w:spacing w:after="0"/>
              <w:rPr>
                <w:sz w:val="20"/>
                <w:szCs w:val="20"/>
                <w:color w:val="auto"/>
              </w:rPr>
            </w:pPr>
            <w:r>
              <w:rPr>
                <w:rFonts w:ascii="Times New Roman" w:cs="Times New Roman" w:eastAsia="Times New Roman" w:hAnsi="Times New Roman"/>
                <w:sz w:val="18"/>
                <w:szCs w:val="18"/>
                <w:color w:val="auto"/>
              </w:rPr>
              <w:t>per annum equal to the greater of (a) eight and one half of one percent (8.50%) and (b) the Prime</w:t>
            </w:r>
          </w:p>
        </w:tc>
        <w:tc>
          <w:tcPr>
            <w:tcW w:w="120" w:type="dxa"/>
            <w:vAlign w:val="bottom"/>
          </w:tcPr>
          <w:p>
            <w:pPr>
              <w:spacing w:after="0"/>
              <w:rPr>
                <w:sz w:val="18"/>
                <w:szCs w:val="18"/>
                <w:color w:val="auto"/>
              </w:rPr>
            </w:pPr>
          </w:p>
        </w:tc>
      </w:tr>
      <w:tr>
        <w:trPr>
          <w:trHeight w:val="194"/>
        </w:trPr>
        <w:tc>
          <w:tcPr>
            <w:tcW w:w="120" w:type="dxa"/>
            <w:vAlign w:val="bottom"/>
            <w:tcBorders>
              <w:lef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80" w:type="dxa"/>
            <w:vAlign w:val="bottom"/>
            <w:tcBorders>
              <w:right w:val="single" w:sz="8" w:color="auto"/>
            </w:tcBorders>
            <w:gridSpan w:val="26"/>
          </w:tcPr>
          <w:p>
            <w:pPr>
              <w:spacing w:after="0" w:line="194" w:lineRule="exact"/>
              <w:rPr>
                <w:sz w:val="20"/>
                <w:szCs w:val="20"/>
                <w:color w:val="auto"/>
              </w:rPr>
            </w:pPr>
            <w:r>
              <w:rPr>
                <w:rFonts w:ascii="Times New Roman" w:cs="Times New Roman" w:eastAsia="Times New Roman" w:hAnsi="Times New Roman"/>
                <w:sz w:val="18"/>
                <w:szCs w:val="18"/>
                <w:color w:val="auto"/>
              </w:rPr>
              <w:t>Rate, which interest shall be payable in accordance with Section 1.8(a)(ii).</w:t>
            </w:r>
          </w:p>
        </w:tc>
        <w:tc>
          <w:tcPr>
            <w:tcW w:w="120" w:type="dxa"/>
            <w:vAlign w:val="bottom"/>
          </w:tcPr>
          <w:p>
            <w:pPr>
              <w:spacing w:after="0"/>
              <w:rPr>
                <w:sz w:val="16"/>
                <w:szCs w:val="16"/>
                <w:color w:val="auto"/>
              </w:rPr>
            </w:pPr>
          </w:p>
        </w:tc>
      </w:tr>
      <w:tr>
        <w:trPr>
          <w:trHeight w:val="250"/>
        </w:trPr>
        <w:tc>
          <w:tcPr>
            <w:tcW w:w="120" w:type="dxa"/>
            <w:vAlign w:val="bottom"/>
            <w:tcBorders>
              <w:left w:val="single" w:sz="8" w:color="auto"/>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5"/>
        </w:trPr>
        <w:tc>
          <w:tcPr>
            <w:tcW w:w="120" w:type="dxa"/>
            <w:vAlign w:val="bottom"/>
            <w:tcBorders>
              <w:left w:val="single" w:sz="8" w:color="auto"/>
            </w:tcBorders>
          </w:tcPr>
          <w:p>
            <w:pPr>
              <w:spacing w:after="0"/>
              <w:rPr>
                <w:sz w:val="17"/>
                <w:szCs w:val="17"/>
                <w:color w:val="auto"/>
              </w:rPr>
            </w:pPr>
          </w:p>
        </w:tc>
        <w:tc>
          <w:tcPr>
            <w:tcW w:w="3660" w:type="dxa"/>
            <w:vAlign w:val="bottom"/>
            <w:tcBorders>
              <w:right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1.8(e) – Interest Computation</w:t>
            </w:r>
          </w:p>
        </w:tc>
        <w:tc>
          <w:tcPr>
            <w:tcW w:w="60" w:type="dxa"/>
            <w:vAlign w:val="bottom"/>
          </w:tcPr>
          <w:p>
            <w:pPr>
              <w:spacing w:after="0"/>
              <w:rPr>
                <w:sz w:val="17"/>
                <w:szCs w:val="17"/>
                <w:color w:val="auto"/>
              </w:rPr>
            </w:pPr>
          </w:p>
        </w:tc>
        <w:tc>
          <w:tcPr>
            <w:tcW w:w="7280" w:type="dxa"/>
            <w:vAlign w:val="bottom"/>
            <w:tcBorders>
              <w:right w:val="single" w:sz="8" w:color="auto"/>
            </w:tcBorders>
            <w:gridSpan w:val="26"/>
          </w:tcPr>
          <w:p>
            <w:pPr>
              <w:spacing w:after="0" w:line="205" w:lineRule="exact"/>
              <w:rPr>
                <w:sz w:val="20"/>
                <w:szCs w:val="20"/>
                <w:color w:val="auto"/>
              </w:rPr>
            </w:pPr>
            <w:r>
              <w:rPr>
                <w:rFonts w:ascii="Times New Roman" w:cs="Times New Roman" w:eastAsia="Times New Roman" w:hAnsi="Times New Roman"/>
                <w:sz w:val="18"/>
                <w:szCs w:val="18"/>
                <w:color w:val="auto"/>
              </w:rPr>
              <w:t>Interest shall be computed on the basis of the actual number of days elapsed and a 360-day year for</w:t>
            </w:r>
          </w:p>
        </w:tc>
        <w:tc>
          <w:tcPr>
            <w:tcW w:w="120" w:type="dxa"/>
            <w:vAlign w:val="bottom"/>
          </w:tcPr>
          <w:p>
            <w:pPr>
              <w:spacing w:after="0"/>
              <w:rPr>
                <w:sz w:val="17"/>
                <w:szCs w:val="17"/>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80" w:type="dxa"/>
            <w:vAlign w:val="bottom"/>
            <w:tcBorders>
              <w:right w:val="single" w:sz="8" w:color="auto"/>
            </w:tcBorders>
            <w:gridSpan w:val="26"/>
          </w:tcPr>
          <w:p>
            <w:pPr>
              <w:spacing w:after="0"/>
              <w:rPr>
                <w:sz w:val="20"/>
                <w:szCs w:val="20"/>
                <w:color w:val="auto"/>
              </w:rPr>
            </w:pPr>
            <w:r>
              <w:rPr>
                <w:rFonts w:ascii="Times New Roman" w:cs="Times New Roman" w:eastAsia="Times New Roman" w:hAnsi="Times New Roman"/>
                <w:sz w:val="18"/>
                <w:szCs w:val="18"/>
                <w:color w:val="auto"/>
              </w:rPr>
              <w:t>any Credit Extension outstanding.</w:t>
            </w:r>
          </w:p>
        </w:tc>
        <w:tc>
          <w:tcPr>
            <w:tcW w:w="120" w:type="dxa"/>
            <w:vAlign w:val="bottom"/>
          </w:tcPr>
          <w:p>
            <w:pPr>
              <w:spacing w:after="0"/>
              <w:rPr>
                <w:sz w:val="20"/>
                <w:szCs w:val="20"/>
                <w:color w:val="auto"/>
              </w:rPr>
            </w:pPr>
          </w:p>
        </w:tc>
      </w:tr>
      <w:tr>
        <w:trPr>
          <w:trHeight w:val="230"/>
        </w:trPr>
        <w:tc>
          <w:tcPr>
            <w:tcW w:w="120" w:type="dxa"/>
            <w:vAlign w:val="bottom"/>
            <w:tcBorders>
              <w:left w:val="single" w:sz="8" w:color="auto"/>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2"/>
        </w:trPr>
        <w:tc>
          <w:tcPr>
            <w:tcW w:w="120" w:type="dxa"/>
            <w:vAlign w:val="bottom"/>
            <w:tcBorders>
              <w:left w:val="single" w:sz="8" w:color="auto"/>
            </w:tcBorders>
          </w:tcPr>
          <w:p>
            <w:pPr>
              <w:spacing w:after="0"/>
              <w:rPr>
                <w:sz w:val="20"/>
                <w:szCs w:val="20"/>
                <w:color w:val="auto"/>
              </w:rPr>
            </w:pPr>
          </w:p>
        </w:tc>
        <w:tc>
          <w:tcPr>
            <w:tcW w:w="36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12.2 – “Effective Date”</w:t>
            </w:r>
          </w:p>
        </w:tc>
        <w:tc>
          <w:tcPr>
            <w:tcW w:w="60" w:type="dxa"/>
            <w:vAlign w:val="bottom"/>
          </w:tcPr>
          <w:p>
            <w:pPr>
              <w:spacing w:after="0"/>
              <w:rPr>
                <w:sz w:val="20"/>
                <w:szCs w:val="20"/>
                <w:color w:val="auto"/>
              </w:rPr>
            </w:pPr>
          </w:p>
        </w:tc>
        <w:tc>
          <w:tcPr>
            <w:tcW w:w="7280" w:type="dxa"/>
            <w:vAlign w:val="bottom"/>
            <w:tcBorders>
              <w:right w:val="single" w:sz="8" w:color="auto"/>
            </w:tcBorders>
            <w:gridSpan w:val="26"/>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August 6, 2024.</w:t>
            </w:r>
          </w:p>
        </w:tc>
        <w:tc>
          <w:tcPr>
            <w:tcW w:w="120" w:type="dxa"/>
            <w:vAlign w:val="bottom"/>
          </w:tcPr>
          <w:p>
            <w:pPr>
              <w:spacing w:after="0"/>
              <w:rPr>
                <w:sz w:val="20"/>
                <w:szCs w:val="20"/>
                <w:color w:val="auto"/>
              </w:rPr>
            </w:pPr>
          </w:p>
        </w:tc>
      </w:tr>
      <w:tr>
        <w:trPr>
          <w:trHeight w:val="221"/>
        </w:trPr>
        <w:tc>
          <w:tcPr>
            <w:tcW w:w="120" w:type="dxa"/>
            <w:vAlign w:val="bottom"/>
            <w:tcBorders>
              <w:left w:val="single" w:sz="8" w:color="auto"/>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5"/>
        </w:trPr>
        <w:tc>
          <w:tcPr>
            <w:tcW w:w="120" w:type="dxa"/>
            <w:vAlign w:val="bottom"/>
            <w:tcBorders>
              <w:left w:val="single" w:sz="8" w:color="auto"/>
            </w:tcBorders>
          </w:tcPr>
          <w:p>
            <w:pPr>
              <w:spacing w:after="0"/>
              <w:rPr>
                <w:sz w:val="17"/>
                <w:szCs w:val="17"/>
                <w:color w:val="auto"/>
              </w:rPr>
            </w:pPr>
          </w:p>
        </w:tc>
        <w:tc>
          <w:tcPr>
            <w:tcW w:w="3660" w:type="dxa"/>
            <w:vAlign w:val="bottom"/>
            <w:tcBorders>
              <w:right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12.2 – “Interest-Only Period”</w:t>
            </w:r>
          </w:p>
        </w:tc>
        <w:tc>
          <w:tcPr>
            <w:tcW w:w="60" w:type="dxa"/>
            <w:vAlign w:val="bottom"/>
          </w:tcPr>
          <w:p>
            <w:pPr>
              <w:spacing w:after="0"/>
              <w:rPr>
                <w:sz w:val="17"/>
                <w:szCs w:val="17"/>
                <w:color w:val="auto"/>
              </w:rPr>
            </w:pPr>
          </w:p>
        </w:tc>
        <w:tc>
          <w:tcPr>
            <w:tcW w:w="7280" w:type="dxa"/>
            <w:vAlign w:val="bottom"/>
            <w:tcBorders>
              <w:right w:val="single" w:sz="8" w:color="auto"/>
            </w:tcBorders>
            <w:gridSpan w:val="26"/>
          </w:tcPr>
          <w:p>
            <w:pPr>
              <w:spacing w:after="0" w:line="20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Interest-Only Period</w:t>
            </w:r>
            <w:r>
              <w:rPr>
                <w:rFonts w:ascii="Times New Roman" w:cs="Times New Roman" w:eastAsia="Times New Roman" w:hAnsi="Times New Roman"/>
                <w:sz w:val="18"/>
                <w:szCs w:val="18"/>
                <w:color w:val="auto"/>
              </w:rPr>
              <w:t>” is the period of time commencing on the Effective Date and ending on</w:t>
            </w:r>
          </w:p>
        </w:tc>
        <w:tc>
          <w:tcPr>
            <w:tcW w:w="120" w:type="dxa"/>
            <w:vAlign w:val="bottom"/>
          </w:tcPr>
          <w:p>
            <w:pPr>
              <w:spacing w:after="0"/>
              <w:rPr>
                <w:sz w:val="17"/>
                <w:szCs w:val="17"/>
                <w:color w:val="auto"/>
              </w:rPr>
            </w:pPr>
          </w:p>
        </w:tc>
      </w:tr>
      <w:tr>
        <w:trPr>
          <w:trHeight w:val="194"/>
        </w:trPr>
        <w:tc>
          <w:tcPr>
            <w:tcW w:w="120" w:type="dxa"/>
            <w:vAlign w:val="bottom"/>
            <w:tcBorders>
              <w:lef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80" w:type="dxa"/>
            <w:vAlign w:val="bottom"/>
            <w:tcBorders>
              <w:right w:val="single" w:sz="8" w:color="auto"/>
            </w:tcBorders>
            <w:gridSpan w:val="26"/>
          </w:tcPr>
          <w:p>
            <w:pPr>
              <w:spacing w:after="0" w:line="194" w:lineRule="exact"/>
              <w:rPr>
                <w:sz w:val="20"/>
                <w:szCs w:val="20"/>
                <w:color w:val="auto"/>
              </w:rPr>
            </w:pPr>
            <w:r>
              <w:rPr>
                <w:rFonts w:ascii="Times New Roman" w:cs="Times New Roman" w:eastAsia="Times New Roman" w:hAnsi="Times New Roman"/>
                <w:sz w:val="18"/>
                <w:szCs w:val="18"/>
                <w:color w:val="auto"/>
              </w:rPr>
              <w:t>December 31, 2025; provided, however, upon the occurrence of the Interest-Only Extension</w:t>
            </w:r>
          </w:p>
        </w:tc>
        <w:tc>
          <w:tcPr>
            <w:tcW w:w="120" w:type="dxa"/>
            <w:vAlign w:val="bottom"/>
          </w:tcPr>
          <w:p>
            <w:pPr>
              <w:spacing w:after="0"/>
              <w:rPr>
                <w:sz w:val="16"/>
                <w:szCs w:val="16"/>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300" w:type="dxa"/>
            <w:vAlign w:val="bottom"/>
            <w:tcBorders>
              <w:right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8"/>
        </w:trPr>
        <w:tc>
          <w:tcPr>
            <w:tcW w:w="12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80" w:type="dxa"/>
            <w:vAlign w:val="bottom"/>
            <w:tcBorders>
              <w:right w:val="single" w:sz="8" w:color="auto"/>
            </w:tcBorders>
            <w:gridSpan w:val="26"/>
          </w:tcPr>
          <w:p>
            <w:pPr>
              <w:spacing w:after="0"/>
              <w:rPr>
                <w:sz w:val="20"/>
                <w:szCs w:val="20"/>
                <w:color w:val="auto"/>
              </w:rPr>
            </w:pPr>
            <w:r>
              <w:rPr>
                <w:rFonts w:ascii="Times New Roman" w:cs="Times New Roman" w:eastAsia="Times New Roman" w:hAnsi="Times New Roman"/>
                <w:sz w:val="18"/>
                <w:szCs w:val="18"/>
                <w:color w:val="auto"/>
              </w:rPr>
              <w:t>Milestone 1, the Interest-Only Period shall automatically, with no further action by the parties</w:t>
            </w:r>
          </w:p>
        </w:tc>
        <w:tc>
          <w:tcPr>
            <w:tcW w:w="120" w:type="dxa"/>
            <w:vAlign w:val="bottom"/>
          </w:tcPr>
          <w:p>
            <w:pPr>
              <w:spacing w:after="0"/>
              <w:rPr>
                <w:sz w:val="18"/>
                <w:szCs w:val="18"/>
                <w:color w:val="auto"/>
              </w:rPr>
            </w:pPr>
          </w:p>
        </w:tc>
      </w:tr>
      <w:tr>
        <w:trPr>
          <w:trHeight w:val="194"/>
        </w:trPr>
        <w:tc>
          <w:tcPr>
            <w:tcW w:w="120" w:type="dxa"/>
            <w:vAlign w:val="bottom"/>
            <w:tcBorders>
              <w:lef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80" w:type="dxa"/>
            <w:vAlign w:val="bottom"/>
            <w:tcBorders>
              <w:right w:val="single" w:sz="8" w:color="auto"/>
            </w:tcBorders>
            <w:gridSpan w:val="26"/>
          </w:tcPr>
          <w:p>
            <w:pPr>
              <w:spacing w:after="0" w:line="194" w:lineRule="exact"/>
              <w:rPr>
                <w:sz w:val="20"/>
                <w:szCs w:val="20"/>
                <w:color w:val="auto"/>
              </w:rPr>
            </w:pPr>
            <w:r>
              <w:rPr>
                <w:rFonts w:ascii="Times New Roman" w:cs="Times New Roman" w:eastAsia="Times New Roman" w:hAnsi="Times New Roman"/>
                <w:sz w:val="18"/>
                <w:szCs w:val="18"/>
                <w:color w:val="auto"/>
              </w:rPr>
              <w:t>hereto, be extended through June 30, 2026; and provided, further, upon the occurrence of the</w:t>
            </w:r>
          </w:p>
        </w:tc>
        <w:tc>
          <w:tcPr>
            <w:tcW w:w="120" w:type="dxa"/>
            <w:vAlign w:val="bottom"/>
          </w:tcPr>
          <w:p>
            <w:pPr>
              <w:spacing w:after="0"/>
              <w:rPr>
                <w:sz w:val="16"/>
                <w:szCs w:val="16"/>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300" w:type="dxa"/>
            <w:vAlign w:val="bottom"/>
            <w:tcBorders>
              <w:right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8"/>
        </w:trPr>
        <w:tc>
          <w:tcPr>
            <w:tcW w:w="12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80" w:type="dxa"/>
            <w:vAlign w:val="bottom"/>
            <w:tcBorders>
              <w:right w:val="single" w:sz="8" w:color="auto"/>
            </w:tcBorders>
            <w:gridSpan w:val="26"/>
          </w:tcPr>
          <w:p>
            <w:pPr>
              <w:spacing w:after="0"/>
              <w:rPr>
                <w:sz w:val="20"/>
                <w:szCs w:val="20"/>
                <w:color w:val="auto"/>
              </w:rPr>
            </w:pPr>
            <w:r>
              <w:rPr>
                <w:rFonts w:ascii="Times New Roman" w:cs="Times New Roman" w:eastAsia="Times New Roman" w:hAnsi="Times New Roman"/>
                <w:sz w:val="18"/>
                <w:szCs w:val="18"/>
                <w:color w:val="auto"/>
              </w:rPr>
              <w:t>Interest-Only Extension Milestone 2, the Interest-Only Period shall automatically, with no further</w:t>
            </w:r>
          </w:p>
        </w:tc>
        <w:tc>
          <w:tcPr>
            <w:tcW w:w="120" w:type="dxa"/>
            <w:vAlign w:val="bottom"/>
          </w:tcPr>
          <w:p>
            <w:pPr>
              <w:spacing w:after="0"/>
              <w:rPr>
                <w:sz w:val="18"/>
                <w:szCs w:val="18"/>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80" w:type="dxa"/>
            <w:vAlign w:val="bottom"/>
            <w:tcBorders>
              <w:right w:val="single" w:sz="8" w:color="auto"/>
            </w:tcBorders>
            <w:gridSpan w:val="26"/>
          </w:tcPr>
          <w:p>
            <w:pPr>
              <w:spacing w:after="0"/>
              <w:rPr>
                <w:sz w:val="20"/>
                <w:szCs w:val="20"/>
                <w:color w:val="auto"/>
              </w:rPr>
            </w:pPr>
            <w:r>
              <w:rPr>
                <w:rFonts w:ascii="Times New Roman" w:cs="Times New Roman" w:eastAsia="Times New Roman" w:hAnsi="Times New Roman"/>
                <w:sz w:val="18"/>
                <w:szCs w:val="18"/>
                <w:color w:val="auto"/>
              </w:rPr>
              <w:t>action by the parties hereto, be extended through December 31, 2026.</w:t>
            </w:r>
          </w:p>
        </w:tc>
        <w:tc>
          <w:tcPr>
            <w:tcW w:w="120" w:type="dxa"/>
            <w:vAlign w:val="bottom"/>
          </w:tcPr>
          <w:p>
            <w:pPr>
              <w:spacing w:after="0"/>
              <w:rPr>
                <w:sz w:val="20"/>
                <w:szCs w:val="20"/>
                <w:color w:val="auto"/>
              </w:rPr>
            </w:pPr>
          </w:p>
        </w:tc>
      </w:tr>
      <w:tr>
        <w:trPr>
          <w:trHeight w:val="229"/>
        </w:trPr>
        <w:tc>
          <w:tcPr>
            <w:tcW w:w="120" w:type="dxa"/>
            <w:vAlign w:val="bottom"/>
            <w:tcBorders>
              <w:left w:val="single" w:sz="8" w:color="auto"/>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2"/>
        </w:trPr>
        <w:tc>
          <w:tcPr>
            <w:tcW w:w="120" w:type="dxa"/>
            <w:vAlign w:val="bottom"/>
            <w:tcBorders>
              <w:left w:val="single" w:sz="8" w:color="auto"/>
            </w:tcBorders>
          </w:tcPr>
          <w:p>
            <w:pPr>
              <w:spacing w:after="0"/>
              <w:rPr>
                <w:sz w:val="20"/>
                <w:szCs w:val="20"/>
                <w:color w:val="auto"/>
              </w:rPr>
            </w:pPr>
          </w:p>
        </w:tc>
        <w:tc>
          <w:tcPr>
            <w:tcW w:w="36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12.2 – “Payment Date”</w:t>
            </w:r>
          </w:p>
        </w:tc>
        <w:tc>
          <w:tcPr>
            <w:tcW w:w="60" w:type="dxa"/>
            <w:vAlign w:val="bottom"/>
          </w:tcPr>
          <w:p>
            <w:pPr>
              <w:spacing w:after="0"/>
              <w:rPr>
                <w:sz w:val="20"/>
                <w:szCs w:val="20"/>
                <w:color w:val="auto"/>
              </w:rPr>
            </w:pPr>
          </w:p>
        </w:tc>
        <w:tc>
          <w:tcPr>
            <w:tcW w:w="7280" w:type="dxa"/>
            <w:vAlign w:val="bottom"/>
            <w:tcBorders>
              <w:right w:val="single" w:sz="8" w:color="auto"/>
            </w:tcBorders>
            <w:gridSpan w:val="26"/>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is the first (1st) calendar day of each month.</w:t>
            </w:r>
          </w:p>
        </w:tc>
        <w:tc>
          <w:tcPr>
            <w:tcW w:w="120" w:type="dxa"/>
            <w:vAlign w:val="bottom"/>
          </w:tcPr>
          <w:p>
            <w:pPr>
              <w:spacing w:after="0"/>
              <w:rPr>
                <w:sz w:val="20"/>
                <w:szCs w:val="20"/>
                <w:color w:val="auto"/>
              </w:rPr>
            </w:pPr>
          </w:p>
        </w:tc>
      </w:tr>
      <w:tr>
        <w:trPr>
          <w:trHeight w:val="221"/>
        </w:trPr>
        <w:tc>
          <w:tcPr>
            <w:tcW w:w="120" w:type="dxa"/>
            <w:vAlign w:val="bottom"/>
            <w:tcBorders>
              <w:left w:val="single" w:sz="8" w:color="auto"/>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5"/>
        </w:trPr>
        <w:tc>
          <w:tcPr>
            <w:tcW w:w="120" w:type="dxa"/>
            <w:vAlign w:val="bottom"/>
            <w:tcBorders>
              <w:left w:val="single" w:sz="8" w:color="auto"/>
            </w:tcBorders>
          </w:tcPr>
          <w:p>
            <w:pPr>
              <w:spacing w:after="0"/>
              <w:rPr>
                <w:sz w:val="17"/>
                <w:szCs w:val="17"/>
                <w:color w:val="auto"/>
              </w:rPr>
            </w:pPr>
          </w:p>
        </w:tc>
        <w:tc>
          <w:tcPr>
            <w:tcW w:w="3660" w:type="dxa"/>
            <w:vAlign w:val="bottom"/>
            <w:tcBorders>
              <w:right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12.2 – “Prime Rate”</w:t>
            </w:r>
          </w:p>
        </w:tc>
        <w:tc>
          <w:tcPr>
            <w:tcW w:w="60" w:type="dxa"/>
            <w:vAlign w:val="bottom"/>
          </w:tcPr>
          <w:p>
            <w:pPr>
              <w:spacing w:after="0"/>
              <w:rPr>
                <w:sz w:val="17"/>
                <w:szCs w:val="17"/>
                <w:color w:val="auto"/>
              </w:rPr>
            </w:pPr>
          </w:p>
        </w:tc>
        <w:tc>
          <w:tcPr>
            <w:tcW w:w="7280" w:type="dxa"/>
            <w:vAlign w:val="bottom"/>
            <w:tcBorders>
              <w:right w:val="single" w:sz="8" w:color="auto"/>
            </w:tcBorders>
            <w:gridSpan w:val="26"/>
          </w:tcPr>
          <w:p>
            <w:pPr>
              <w:spacing w:after="0" w:line="20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is the rate of interest per annum from time to time published in the money rates</w:t>
            </w:r>
          </w:p>
        </w:tc>
        <w:tc>
          <w:tcPr>
            <w:tcW w:w="120" w:type="dxa"/>
            <w:vAlign w:val="bottom"/>
          </w:tcPr>
          <w:p>
            <w:pPr>
              <w:spacing w:after="0"/>
              <w:rPr>
                <w:sz w:val="17"/>
                <w:szCs w:val="17"/>
                <w:color w:val="auto"/>
              </w:rPr>
            </w:pPr>
          </w:p>
        </w:tc>
      </w:tr>
      <w:tr>
        <w:trPr>
          <w:trHeight w:val="194"/>
        </w:trPr>
        <w:tc>
          <w:tcPr>
            <w:tcW w:w="120" w:type="dxa"/>
            <w:vAlign w:val="bottom"/>
            <w:tcBorders>
              <w:lef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80" w:type="dxa"/>
            <w:vAlign w:val="bottom"/>
            <w:tcBorders>
              <w:right w:val="single" w:sz="8" w:color="auto"/>
            </w:tcBorders>
            <w:gridSpan w:val="26"/>
          </w:tcPr>
          <w:p>
            <w:pPr>
              <w:spacing w:after="0" w:line="194" w:lineRule="exact"/>
              <w:rPr>
                <w:sz w:val="20"/>
                <w:szCs w:val="20"/>
                <w:color w:val="auto"/>
              </w:rPr>
            </w:pPr>
            <w:r>
              <w:rPr>
                <w:rFonts w:ascii="Times New Roman" w:cs="Times New Roman" w:eastAsia="Times New Roman" w:hAnsi="Times New Roman"/>
                <w:sz w:val="18"/>
                <w:szCs w:val="18"/>
                <w:color w:val="auto"/>
              </w:rPr>
              <w:t>section of The Wall Street Journal or any successor publication thereto as the “prime rate” then in</w:t>
            </w:r>
          </w:p>
        </w:tc>
        <w:tc>
          <w:tcPr>
            <w:tcW w:w="120" w:type="dxa"/>
            <w:vAlign w:val="bottom"/>
          </w:tcPr>
          <w:p>
            <w:pPr>
              <w:spacing w:after="0"/>
              <w:rPr>
                <w:sz w:val="16"/>
                <w:szCs w:val="16"/>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gridSpan w:val="4"/>
            <w:shd w:val="clear" w:color="auto" w:fill="000000"/>
          </w:tcPr>
          <w:p>
            <w:pPr>
              <w:spacing w:after="0" w:line="20" w:lineRule="exact"/>
              <w:rPr>
                <w:sz w:val="1"/>
                <w:szCs w:val="1"/>
                <w:color w:val="auto"/>
              </w:rPr>
            </w:pPr>
          </w:p>
        </w:tc>
        <w:tc>
          <w:tcPr>
            <w:tcW w:w="4780" w:type="dxa"/>
            <w:vAlign w:val="bottom"/>
            <w:tcBorders>
              <w:right w:val="single" w:sz="8" w:color="auto"/>
            </w:tcBorders>
            <w:gridSpan w:val="1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7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80" w:type="dxa"/>
            <w:vAlign w:val="bottom"/>
            <w:tcBorders>
              <w:right w:val="single" w:sz="8" w:color="auto"/>
            </w:tcBorders>
            <w:gridSpan w:val="26"/>
          </w:tcPr>
          <w:p>
            <w:pPr>
              <w:spacing w:after="0" w:line="196" w:lineRule="exact"/>
              <w:rPr>
                <w:sz w:val="20"/>
                <w:szCs w:val="20"/>
                <w:color w:val="auto"/>
              </w:rPr>
            </w:pPr>
            <w:r>
              <w:rPr>
                <w:rFonts w:ascii="Times New Roman" w:cs="Times New Roman" w:eastAsia="Times New Roman" w:hAnsi="Times New Roman"/>
                <w:sz w:val="18"/>
                <w:szCs w:val="18"/>
                <w:color w:val="auto"/>
              </w:rPr>
              <w:t>effect; provided that, if such rate of interest, as set forth from time to time in the money rates</w:t>
            </w:r>
          </w:p>
        </w:tc>
        <w:tc>
          <w:tcPr>
            <w:tcW w:w="120" w:type="dxa"/>
            <w:vAlign w:val="bottom"/>
          </w:tcPr>
          <w:p>
            <w:pPr>
              <w:spacing w:after="0"/>
              <w:rPr>
                <w:sz w:val="17"/>
                <w:szCs w:val="17"/>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780" w:type="dxa"/>
            <w:vAlign w:val="bottom"/>
            <w:tcBorders>
              <w:right w:val="single" w:sz="8" w:color="auto"/>
            </w:tcBorders>
            <w:gridSpan w:val="1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7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80" w:type="dxa"/>
            <w:vAlign w:val="bottom"/>
            <w:tcBorders>
              <w:right w:val="single" w:sz="8" w:color="auto"/>
            </w:tcBorders>
            <w:gridSpan w:val="26"/>
          </w:tcPr>
          <w:p>
            <w:pPr>
              <w:spacing w:after="0" w:line="196" w:lineRule="exact"/>
              <w:rPr>
                <w:sz w:val="20"/>
                <w:szCs w:val="20"/>
                <w:color w:val="auto"/>
              </w:rPr>
            </w:pPr>
            <w:r>
              <w:rPr>
                <w:rFonts w:ascii="Times New Roman" w:cs="Times New Roman" w:eastAsia="Times New Roman" w:hAnsi="Times New Roman"/>
                <w:sz w:val="18"/>
                <w:szCs w:val="18"/>
                <w:color w:val="auto"/>
              </w:rPr>
              <w:t>section of The Wall Street Journal, becomes unavailable for any reason as determined</w:t>
            </w:r>
          </w:p>
        </w:tc>
        <w:tc>
          <w:tcPr>
            <w:tcW w:w="120" w:type="dxa"/>
            <w:vAlign w:val="bottom"/>
          </w:tcPr>
          <w:p>
            <w:pPr>
              <w:spacing w:after="0"/>
              <w:rPr>
                <w:sz w:val="17"/>
                <w:szCs w:val="17"/>
                <w:color w:val="auto"/>
              </w:rPr>
            </w:pPr>
          </w:p>
        </w:tc>
      </w:tr>
      <w:tr>
        <w:trPr>
          <w:trHeight w:val="34"/>
        </w:trPr>
        <w:tc>
          <w:tcPr>
            <w:tcW w:w="12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28"/>
        </w:trPr>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40" w:type="dxa"/>
            <w:vAlign w:val="bottom"/>
            <w:gridSpan w:val="17"/>
          </w:tcPr>
          <w:p>
            <w:pPr>
              <w:jc w:val="center"/>
              <w:ind w:right="5360"/>
              <w:spacing w:after="0"/>
              <w:rPr>
                <w:sz w:val="20"/>
                <w:szCs w:val="20"/>
                <w:color w:val="auto"/>
              </w:rPr>
            </w:pPr>
            <w:r>
              <w:rPr>
                <w:rFonts w:ascii="Times New Roman" w:cs="Times New Roman" w:eastAsia="Times New Roman" w:hAnsi="Times New Roman"/>
                <w:sz w:val="18"/>
                <w:szCs w:val="18"/>
                <w:color w:val="auto"/>
                <w:w w:val="95"/>
              </w:rPr>
              <w:t>I-1</w:t>
            </w:r>
          </w:p>
        </w:tc>
        <w:tc>
          <w:tcPr>
            <w:tcW w:w="120" w:type="dxa"/>
            <w:vAlign w:val="bottom"/>
          </w:tcPr>
          <w:p>
            <w:pPr>
              <w:spacing w:after="0"/>
              <w:rPr>
                <w:sz w:val="19"/>
                <w:szCs w:val="19"/>
                <w:color w:val="auto"/>
              </w:rPr>
            </w:pPr>
          </w:p>
        </w:tc>
      </w:tr>
      <w:tr>
        <w:trPr>
          <w:trHeight w:val="1379"/>
        </w:trPr>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2" w:name="page143"/>
    <w:bookmarkEnd w:id="142"/>
    <w:tbl>
      <w:tblPr>
        <w:tblLayout w:type="fixed"/>
        <w:tblInd w:w="10" w:type="dxa"/>
        <w:tblCellMar>
          <w:top w:w="0" w:type="dxa"/>
          <w:left w:w="0" w:type="dxa"/>
          <w:bottom w:w="0" w:type="dxa"/>
          <w:right w:w="0" w:type="dxa"/>
        </w:tblCellMar>
      </w:tblPr>
      <w:tr>
        <w:trPr>
          <w:trHeight w:val="206"/>
        </w:trPr>
        <w:tc>
          <w:tcPr>
            <w:tcW w:w="120" w:type="dxa"/>
            <w:vAlign w:val="bottom"/>
            <w:tcBorders>
              <w:top w:val="single" w:sz="8" w:color="auto"/>
              <w:left w:val="single" w:sz="8" w:color="auto"/>
            </w:tcBorders>
          </w:tcPr>
          <w:p>
            <w:pPr>
              <w:spacing w:after="0"/>
              <w:rPr>
                <w:sz w:val="17"/>
                <w:szCs w:val="17"/>
                <w:color w:val="auto"/>
              </w:rPr>
            </w:pPr>
          </w:p>
        </w:tc>
        <w:tc>
          <w:tcPr>
            <w:tcW w:w="3660" w:type="dxa"/>
            <w:vAlign w:val="bottom"/>
            <w:tcBorders>
              <w:top w:val="single" w:sz="8" w:color="auto"/>
              <w:right w:val="single" w:sz="8" w:color="auto"/>
            </w:tcBorders>
            <w:gridSpan w:val="3"/>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LSA Section</w:t>
            </w:r>
          </w:p>
        </w:tc>
        <w:tc>
          <w:tcPr>
            <w:tcW w:w="60" w:type="dxa"/>
            <w:vAlign w:val="bottom"/>
            <w:tcBorders>
              <w:top w:val="single" w:sz="8" w:color="auto"/>
            </w:tcBorders>
          </w:tcPr>
          <w:p>
            <w:pPr>
              <w:spacing w:after="0"/>
              <w:rPr>
                <w:sz w:val="17"/>
                <w:szCs w:val="17"/>
                <w:color w:val="auto"/>
              </w:rPr>
            </w:pPr>
          </w:p>
        </w:tc>
        <w:tc>
          <w:tcPr>
            <w:tcW w:w="7280" w:type="dxa"/>
            <w:vAlign w:val="bottom"/>
            <w:tcBorders>
              <w:top w:val="single" w:sz="8" w:color="auto"/>
              <w:right w:val="single" w:sz="8" w:color="auto"/>
            </w:tcBorders>
            <w:gridSpan w:val="16"/>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LSA Provision</w:t>
            </w:r>
          </w:p>
        </w:tc>
        <w:tc>
          <w:tcPr>
            <w:tcW w:w="120" w:type="dxa"/>
            <w:vAlign w:val="bottom"/>
          </w:tcPr>
          <w:p>
            <w:pPr>
              <w:spacing w:after="0"/>
              <w:rPr>
                <w:sz w:val="17"/>
                <w:szCs w:val="17"/>
                <w:color w:val="auto"/>
              </w:rPr>
            </w:pPr>
          </w:p>
        </w:tc>
      </w:tr>
      <w:tr>
        <w:trPr>
          <w:trHeight w:val="267"/>
        </w:trPr>
        <w:tc>
          <w:tcPr>
            <w:tcW w:w="120" w:type="dxa"/>
            <w:vAlign w:val="bottom"/>
            <w:tcBorders>
              <w:left w:val="single" w:sz="8" w:color="auto"/>
              <w:bottom w:val="single" w:sz="8" w:color="auto"/>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620" w:type="dxa"/>
            <w:vAlign w:val="bottom"/>
            <w:tcBorders>
              <w:top w:val="single" w:sz="8" w:color="auto"/>
              <w:bottom w:val="single" w:sz="8" w:color="auto"/>
            </w:tcBorders>
          </w:tcPr>
          <w:p>
            <w:pPr>
              <w:spacing w:after="0"/>
              <w:rPr>
                <w:sz w:val="23"/>
                <w:szCs w:val="23"/>
                <w:color w:val="auto"/>
              </w:rPr>
            </w:pPr>
          </w:p>
        </w:tc>
        <w:tc>
          <w:tcPr>
            <w:tcW w:w="270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188"/>
        </w:trPr>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80" w:type="dxa"/>
            <w:vAlign w:val="bottom"/>
            <w:tcBorders>
              <w:right w:val="single" w:sz="8" w:color="auto"/>
            </w:tcBorders>
            <w:gridSpan w:val="16"/>
          </w:tcPr>
          <w:p>
            <w:pPr>
              <w:spacing w:after="0" w:line="188" w:lineRule="exact"/>
              <w:rPr>
                <w:sz w:val="20"/>
                <w:szCs w:val="20"/>
                <w:color w:val="auto"/>
              </w:rPr>
            </w:pPr>
            <w:r>
              <w:rPr>
                <w:rFonts w:ascii="Times New Roman" w:cs="Times New Roman" w:eastAsia="Times New Roman" w:hAnsi="Times New Roman"/>
                <w:sz w:val="18"/>
                <w:szCs w:val="18"/>
                <w:color w:val="auto"/>
              </w:rPr>
              <w:t>by Bank, the “Prime Rate” shall mean the rate of interest per annum announced by Bank as its</w:t>
            </w:r>
          </w:p>
        </w:tc>
        <w:tc>
          <w:tcPr>
            <w:tcW w:w="12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80" w:type="dxa"/>
            <w:vAlign w:val="bottom"/>
            <w:tcBorders>
              <w:right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prime rate in effect at its principal office in the State of North Carolina (such Bank announced</w:t>
            </w:r>
          </w:p>
        </w:tc>
        <w:tc>
          <w:tcPr>
            <w:tcW w:w="1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80" w:type="dxa"/>
            <w:vAlign w:val="bottom"/>
            <w:tcBorders>
              <w:right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Prime Rate not being intended to be the lowest rate of interest charged by Bank in connection with</w:t>
            </w:r>
          </w:p>
        </w:tc>
        <w:tc>
          <w:tcPr>
            <w:tcW w:w="12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80" w:type="dxa"/>
            <w:vAlign w:val="bottom"/>
            <w:tcBorders>
              <w:right w:val="single" w:sz="8" w:color="auto"/>
            </w:tcBorders>
            <w:gridSpan w:val="16"/>
          </w:tcPr>
          <w:p>
            <w:pPr>
              <w:spacing w:after="0" w:line="194" w:lineRule="exact"/>
              <w:rPr>
                <w:sz w:val="20"/>
                <w:szCs w:val="20"/>
                <w:color w:val="auto"/>
              </w:rPr>
            </w:pPr>
            <w:r>
              <w:rPr>
                <w:rFonts w:ascii="Times New Roman" w:cs="Times New Roman" w:eastAsia="Times New Roman" w:hAnsi="Times New Roman"/>
                <w:sz w:val="18"/>
                <w:szCs w:val="18"/>
                <w:color w:val="auto"/>
              </w:rPr>
              <w:t>extensions of credit to debtors); provided that, in the event such rate of interest is less than zero</w:t>
            </w:r>
          </w:p>
        </w:tc>
        <w:tc>
          <w:tcPr>
            <w:tcW w:w="12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8"/>
        </w:trPr>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80" w:type="dxa"/>
            <w:vAlign w:val="bottom"/>
            <w:tcBorders>
              <w:right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percent (0.0%) per annum, such rate shall be deemed to be zero percent (0.0%) per annum for</w:t>
            </w:r>
          </w:p>
        </w:tc>
        <w:tc>
          <w:tcPr>
            <w:tcW w:w="1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80" w:type="dxa"/>
            <w:vAlign w:val="bottom"/>
            <w:tcBorders>
              <w:right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purposes of this Agreement.</w:t>
            </w:r>
          </w:p>
        </w:tc>
        <w:tc>
          <w:tcPr>
            <w:tcW w:w="120" w:type="dxa"/>
            <w:vAlign w:val="bottom"/>
          </w:tcPr>
          <w:p>
            <w:pPr>
              <w:spacing w:after="0"/>
              <w:rPr>
                <w:sz w:val="20"/>
                <w:szCs w:val="20"/>
                <w:color w:val="auto"/>
              </w:rPr>
            </w:pPr>
          </w:p>
        </w:tc>
      </w:tr>
      <w:tr>
        <w:trPr>
          <w:trHeight w:val="230"/>
        </w:trPr>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83"/>
        </w:trPr>
        <w:tc>
          <w:tcPr>
            <w:tcW w:w="46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 “Term Loan Amortization Date”</w:t>
            </w:r>
          </w:p>
        </w:tc>
        <w:tc>
          <w:tcPr>
            <w:tcW w:w="60" w:type="dxa"/>
            <w:vAlign w:val="bottom"/>
          </w:tcPr>
          <w:p>
            <w:pPr>
              <w:spacing w:after="0"/>
              <w:rPr>
                <w:sz w:val="15"/>
                <w:szCs w:val="15"/>
                <w:color w:val="auto"/>
              </w:rPr>
            </w:pPr>
          </w:p>
        </w:tc>
        <w:tc>
          <w:tcPr>
            <w:tcW w:w="7280" w:type="dxa"/>
            <w:vAlign w:val="bottom"/>
            <w:tcBorders>
              <w:right w:val="single" w:sz="8" w:color="auto"/>
            </w:tcBorders>
            <w:gridSpan w:val="16"/>
          </w:tcPr>
          <w:p>
            <w:pPr>
              <w:spacing w:after="0" w:line="18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Amortization Date</w:t>
            </w:r>
            <w:r>
              <w:rPr>
                <w:rFonts w:ascii="Times New Roman" w:cs="Times New Roman" w:eastAsia="Times New Roman" w:hAnsi="Times New Roman"/>
                <w:sz w:val="18"/>
                <w:szCs w:val="18"/>
                <w:color w:val="auto"/>
              </w:rPr>
              <w:t>” is January 1, 2026; provided, however, upon the occurrence of</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8"/>
        </w:trPr>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80" w:type="dxa"/>
            <w:vAlign w:val="bottom"/>
            <w:tcBorders>
              <w:right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the Interest-Only Extension Milestone 1, the Term Loan Amortization Date shall automatically,</w:t>
            </w:r>
          </w:p>
        </w:tc>
        <w:tc>
          <w:tcPr>
            <w:tcW w:w="12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80" w:type="dxa"/>
            <w:vAlign w:val="bottom"/>
            <w:tcBorders>
              <w:right w:val="single" w:sz="8" w:color="auto"/>
            </w:tcBorders>
            <w:gridSpan w:val="16"/>
          </w:tcPr>
          <w:p>
            <w:pPr>
              <w:spacing w:after="0" w:line="194" w:lineRule="exact"/>
              <w:rPr>
                <w:sz w:val="20"/>
                <w:szCs w:val="20"/>
                <w:color w:val="auto"/>
              </w:rPr>
            </w:pPr>
            <w:r>
              <w:rPr>
                <w:rFonts w:ascii="Times New Roman" w:cs="Times New Roman" w:eastAsia="Times New Roman" w:hAnsi="Times New Roman"/>
                <w:sz w:val="18"/>
                <w:szCs w:val="18"/>
                <w:color w:val="auto"/>
              </w:rPr>
              <w:t>with no further action by the parties hereto, be extended to July 1, 2026; and provided, further,</w:t>
            </w:r>
          </w:p>
        </w:tc>
        <w:tc>
          <w:tcPr>
            <w:tcW w:w="12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8"/>
        </w:trPr>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80" w:type="dxa"/>
            <w:vAlign w:val="bottom"/>
            <w:tcBorders>
              <w:right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upon the occurrence of the Interest-Only Extension Milestone 2, the Term Loan Amortization Date</w:t>
            </w:r>
          </w:p>
        </w:tc>
        <w:tc>
          <w:tcPr>
            <w:tcW w:w="1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80" w:type="dxa"/>
            <w:vAlign w:val="bottom"/>
            <w:tcBorders>
              <w:right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shall automatically, with no further action by the parties hereto, be extended to January 1, 2027.</w:t>
            </w:r>
          </w:p>
        </w:tc>
        <w:tc>
          <w:tcPr>
            <w:tcW w:w="120" w:type="dxa"/>
            <w:vAlign w:val="bottom"/>
          </w:tcPr>
          <w:p>
            <w:pPr>
              <w:spacing w:after="0"/>
              <w:rPr>
                <w:sz w:val="20"/>
                <w:szCs w:val="20"/>
                <w:color w:val="auto"/>
              </w:rPr>
            </w:pPr>
          </w:p>
        </w:tc>
      </w:tr>
      <w:tr>
        <w:trPr>
          <w:trHeight w:val="229"/>
        </w:trPr>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5"/>
        </w:trPr>
        <w:tc>
          <w:tcPr>
            <w:tcW w:w="46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 “Term Loan Availability Amount”</w:t>
            </w:r>
          </w:p>
        </w:tc>
        <w:tc>
          <w:tcPr>
            <w:tcW w:w="60" w:type="dxa"/>
            <w:vAlign w:val="bottom"/>
          </w:tcPr>
          <w:p>
            <w:pPr>
              <w:spacing w:after="0"/>
              <w:rPr>
                <w:sz w:val="17"/>
                <w:szCs w:val="17"/>
                <w:color w:val="auto"/>
              </w:rPr>
            </w:pPr>
          </w:p>
        </w:tc>
        <w:tc>
          <w:tcPr>
            <w:tcW w:w="7280" w:type="dxa"/>
            <w:vAlign w:val="bottom"/>
            <w:tcBorders>
              <w:right w:val="single" w:sz="8" w:color="auto"/>
            </w:tcBorders>
            <w:gridSpan w:val="16"/>
          </w:tcPr>
          <w:p>
            <w:pPr>
              <w:spacing w:after="0" w:line="20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Availability Amount</w:t>
            </w:r>
            <w:r>
              <w:rPr>
                <w:rFonts w:ascii="Times New Roman" w:cs="Times New Roman" w:eastAsia="Times New Roman" w:hAnsi="Times New Roman"/>
                <w:sz w:val="18"/>
                <w:szCs w:val="18"/>
                <w:color w:val="auto"/>
              </w:rPr>
              <w:t>” is an aggregate principal amount equal to Twenty-Five</w:t>
            </w:r>
          </w:p>
        </w:tc>
        <w:tc>
          <w:tcPr>
            <w:tcW w:w="120" w:type="dxa"/>
            <w:vAlign w:val="bottom"/>
          </w:tcPr>
          <w:p>
            <w:pPr>
              <w:spacing w:after="0"/>
              <w:rPr>
                <w:sz w:val="17"/>
                <w:szCs w:val="17"/>
                <w:color w:val="auto"/>
              </w:rPr>
            </w:pPr>
          </w:p>
        </w:tc>
      </w:tr>
      <w:tr>
        <w:trPr>
          <w:trHeight w:val="194"/>
        </w:trPr>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80" w:type="dxa"/>
            <w:vAlign w:val="bottom"/>
            <w:tcBorders>
              <w:right w:val="single" w:sz="8" w:color="auto"/>
            </w:tcBorders>
            <w:gridSpan w:val="16"/>
          </w:tcPr>
          <w:p>
            <w:pPr>
              <w:spacing w:after="0" w:line="194" w:lineRule="exact"/>
              <w:rPr>
                <w:sz w:val="20"/>
                <w:szCs w:val="20"/>
                <w:color w:val="auto"/>
              </w:rPr>
            </w:pPr>
            <w:r>
              <w:rPr>
                <w:rFonts w:ascii="Times New Roman" w:cs="Times New Roman" w:eastAsia="Times New Roman" w:hAnsi="Times New Roman"/>
                <w:sz w:val="18"/>
                <w:szCs w:val="18"/>
                <w:color w:val="auto"/>
              </w:rPr>
              <w:t>Million Dollars ($25,000,000); provided, however, if Bank, in its sole and absolute discretion,</w:t>
            </w:r>
          </w:p>
        </w:tc>
        <w:tc>
          <w:tcPr>
            <w:tcW w:w="12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540" w:type="dxa"/>
            <w:vAlign w:val="bottom"/>
            <w:tcBorders>
              <w:right w:val="single" w:sz="8" w:color="auto"/>
            </w:tcBorders>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8"/>
        </w:trPr>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80" w:type="dxa"/>
            <w:vAlign w:val="bottom"/>
            <w:tcBorders>
              <w:right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grants Borrower’s request to make the Uncommitted Accordion available to Borrower, then the</w:t>
            </w:r>
          </w:p>
        </w:tc>
        <w:tc>
          <w:tcPr>
            <w:tcW w:w="1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80" w:type="dxa"/>
            <w:vAlign w:val="bottom"/>
            <w:tcBorders>
              <w:right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Term Loan Availability Amount shall be increased to Forty-Five Million Dollars ($45,000,000).</w:t>
            </w:r>
          </w:p>
        </w:tc>
        <w:tc>
          <w:tcPr>
            <w:tcW w:w="120" w:type="dxa"/>
            <w:vAlign w:val="bottom"/>
          </w:tcPr>
          <w:p>
            <w:pPr>
              <w:spacing w:after="0"/>
              <w:rPr>
                <w:sz w:val="20"/>
                <w:szCs w:val="20"/>
                <w:color w:val="auto"/>
              </w:rPr>
            </w:pPr>
          </w:p>
        </w:tc>
      </w:tr>
      <w:tr>
        <w:trPr>
          <w:trHeight w:val="229"/>
        </w:trPr>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2"/>
        </w:trPr>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“Term Loan Maturity Date”</w:t>
            </w:r>
          </w:p>
        </w:tc>
        <w:tc>
          <w:tcPr>
            <w:tcW w:w="60" w:type="dxa"/>
            <w:vAlign w:val="bottom"/>
          </w:tcPr>
          <w:p>
            <w:pPr>
              <w:spacing w:after="0"/>
              <w:rPr>
                <w:sz w:val="20"/>
                <w:szCs w:val="20"/>
                <w:color w:val="auto"/>
              </w:rPr>
            </w:pPr>
          </w:p>
        </w:tc>
        <w:tc>
          <w:tcPr>
            <w:tcW w:w="7280" w:type="dxa"/>
            <w:vAlign w:val="bottom"/>
            <w:tcBorders>
              <w:right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Maturity Date</w:t>
            </w:r>
            <w:r>
              <w:rPr>
                <w:rFonts w:ascii="Times New Roman" w:cs="Times New Roman" w:eastAsia="Times New Roman" w:hAnsi="Times New Roman"/>
                <w:sz w:val="18"/>
                <w:szCs w:val="18"/>
                <w:color w:val="auto"/>
              </w:rPr>
              <w:t>” is June 1, 2028.</w:t>
            </w:r>
          </w:p>
        </w:tc>
        <w:tc>
          <w:tcPr>
            <w:tcW w:w="120" w:type="dxa"/>
            <w:vAlign w:val="bottom"/>
          </w:tcPr>
          <w:p>
            <w:pPr>
              <w:spacing w:after="0"/>
              <w:rPr>
                <w:sz w:val="20"/>
                <w:szCs w:val="20"/>
                <w:color w:val="auto"/>
              </w:rPr>
            </w:pPr>
          </w:p>
        </w:tc>
      </w:tr>
      <w:tr>
        <w:trPr>
          <w:trHeight w:val="221"/>
        </w:trPr>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5"/>
        </w:trPr>
        <w:tc>
          <w:tcPr>
            <w:tcW w:w="46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 “Tranche A Availability Amount”</w:t>
            </w:r>
          </w:p>
        </w:tc>
        <w:tc>
          <w:tcPr>
            <w:tcW w:w="60" w:type="dxa"/>
            <w:vAlign w:val="bottom"/>
          </w:tcPr>
          <w:p>
            <w:pPr>
              <w:spacing w:after="0"/>
              <w:rPr>
                <w:sz w:val="17"/>
                <w:szCs w:val="17"/>
                <w:color w:val="auto"/>
              </w:rPr>
            </w:pPr>
          </w:p>
        </w:tc>
        <w:tc>
          <w:tcPr>
            <w:tcW w:w="7280" w:type="dxa"/>
            <w:vAlign w:val="bottom"/>
            <w:tcBorders>
              <w:right w:val="single" w:sz="8" w:color="auto"/>
            </w:tcBorders>
            <w:gridSpan w:val="16"/>
          </w:tcPr>
          <w:p>
            <w:pPr>
              <w:spacing w:after="0" w:line="20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 Availability Amount</w:t>
            </w:r>
            <w:r>
              <w:rPr>
                <w:rFonts w:ascii="Times New Roman" w:cs="Times New Roman" w:eastAsia="Times New Roman" w:hAnsi="Times New Roman"/>
                <w:sz w:val="18"/>
                <w:szCs w:val="18"/>
                <w:color w:val="auto"/>
              </w:rPr>
              <w:t>” is an aggregate principal amount equal to Fifteen Million</w:t>
            </w:r>
          </w:p>
        </w:tc>
        <w:tc>
          <w:tcPr>
            <w:tcW w:w="12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80" w:type="dxa"/>
            <w:vAlign w:val="bottom"/>
            <w:tcBorders>
              <w:right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Dollars ($15,000,000).</w:t>
            </w:r>
          </w:p>
        </w:tc>
        <w:tc>
          <w:tcPr>
            <w:tcW w:w="120" w:type="dxa"/>
            <w:vAlign w:val="bottom"/>
          </w:tcPr>
          <w:p>
            <w:pPr>
              <w:spacing w:after="0"/>
              <w:rPr>
                <w:sz w:val="20"/>
                <w:szCs w:val="20"/>
                <w:color w:val="auto"/>
              </w:rPr>
            </w:pPr>
          </w:p>
        </w:tc>
      </w:tr>
      <w:tr>
        <w:trPr>
          <w:trHeight w:val="230"/>
        </w:trPr>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5"/>
        </w:trPr>
        <w:tc>
          <w:tcPr>
            <w:tcW w:w="46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 “Tranche A Draw Period”</w:t>
            </w:r>
          </w:p>
        </w:tc>
        <w:tc>
          <w:tcPr>
            <w:tcW w:w="60" w:type="dxa"/>
            <w:vAlign w:val="bottom"/>
          </w:tcPr>
          <w:p>
            <w:pPr>
              <w:spacing w:after="0"/>
              <w:rPr>
                <w:sz w:val="17"/>
                <w:szCs w:val="17"/>
                <w:color w:val="auto"/>
              </w:rPr>
            </w:pPr>
          </w:p>
        </w:tc>
        <w:tc>
          <w:tcPr>
            <w:tcW w:w="7280" w:type="dxa"/>
            <w:vAlign w:val="bottom"/>
            <w:tcBorders>
              <w:right w:val="single" w:sz="8" w:color="auto"/>
            </w:tcBorders>
            <w:gridSpan w:val="16"/>
          </w:tcPr>
          <w:p>
            <w:pPr>
              <w:spacing w:after="0" w:line="20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A Draw Period</w:t>
            </w:r>
            <w:r>
              <w:rPr>
                <w:rFonts w:ascii="Times New Roman" w:cs="Times New Roman" w:eastAsia="Times New Roman" w:hAnsi="Times New Roman"/>
                <w:sz w:val="18"/>
                <w:szCs w:val="18"/>
                <w:color w:val="auto"/>
              </w:rPr>
              <w:t>” is the period of time commencing on the Effective Date and ending on</w:t>
            </w:r>
          </w:p>
        </w:tc>
        <w:tc>
          <w:tcPr>
            <w:tcW w:w="12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80" w:type="dxa"/>
            <w:vAlign w:val="bottom"/>
            <w:tcBorders>
              <w:right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the earlier to occur of (a) June 30, 2025, and (b) an Event of Default.</w:t>
            </w:r>
          </w:p>
        </w:tc>
        <w:tc>
          <w:tcPr>
            <w:tcW w:w="120" w:type="dxa"/>
            <w:vAlign w:val="bottom"/>
          </w:tcPr>
          <w:p>
            <w:pPr>
              <w:spacing w:after="0"/>
              <w:rPr>
                <w:sz w:val="20"/>
                <w:szCs w:val="20"/>
                <w:color w:val="auto"/>
              </w:rPr>
            </w:pPr>
          </w:p>
        </w:tc>
      </w:tr>
      <w:tr>
        <w:trPr>
          <w:trHeight w:val="229"/>
        </w:trPr>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5"/>
        </w:trPr>
        <w:tc>
          <w:tcPr>
            <w:tcW w:w="46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 “Tranche B Availability Amount”</w:t>
            </w:r>
          </w:p>
        </w:tc>
        <w:tc>
          <w:tcPr>
            <w:tcW w:w="60" w:type="dxa"/>
            <w:vAlign w:val="bottom"/>
          </w:tcPr>
          <w:p>
            <w:pPr>
              <w:spacing w:after="0"/>
              <w:rPr>
                <w:sz w:val="17"/>
                <w:szCs w:val="17"/>
                <w:color w:val="auto"/>
              </w:rPr>
            </w:pPr>
          </w:p>
        </w:tc>
        <w:tc>
          <w:tcPr>
            <w:tcW w:w="7280" w:type="dxa"/>
            <w:vAlign w:val="bottom"/>
            <w:tcBorders>
              <w:right w:val="single" w:sz="8" w:color="auto"/>
            </w:tcBorders>
            <w:gridSpan w:val="16"/>
          </w:tcPr>
          <w:p>
            <w:pPr>
              <w:spacing w:after="0" w:line="20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Availability Amount</w:t>
            </w:r>
            <w:r>
              <w:rPr>
                <w:rFonts w:ascii="Times New Roman" w:cs="Times New Roman" w:eastAsia="Times New Roman" w:hAnsi="Times New Roman"/>
                <w:sz w:val="18"/>
                <w:szCs w:val="18"/>
                <w:color w:val="auto"/>
              </w:rPr>
              <w:t>” is an aggregate principal amount equal to Five Million Dollars</w:t>
            </w:r>
          </w:p>
        </w:tc>
        <w:tc>
          <w:tcPr>
            <w:tcW w:w="12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($5,000,000).</w:t>
            </w: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9"/>
        </w:trPr>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5"/>
        </w:trPr>
        <w:tc>
          <w:tcPr>
            <w:tcW w:w="46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 “Tranche B Draw Period”</w:t>
            </w:r>
          </w:p>
        </w:tc>
        <w:tc>
          <w:tcPr>
            <w:tcW w:w="60" w:type="dxa"/>
            <w:vAlign w:val="bottom"/>
          </w:tcPr>
          <w:p>
            <w:pPr>
              <w:spacing w:after="0"/>
              <w:rPr>
                <w:sz w:val="17"/>
                <w:szCs w:val="17"/>
                <w:color w:val="auto"/>
              </w:rPr>
            </w:pPr>
          </w:p>
        </w:tc>
        <w:tc>
          <w:tcPr>
            <w:tcW w:w="7280" w:type="dxa"/>
            <w:vAlign w:val="bottom"/>
            <w:tcBorders>
              <w:right w:val="single" w:sz="8" w:color="auto"/>
            </w:tcBorders>
            <w:gridSpan w:val="16"/>
          </w:tcPr>
          <w:p>
            <w:pPr>
              <w:spacing w:after="0" w:line="20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B Draw Period</w:t>
            </w:r>
            <w:r>
              <w:rPr>
                <w:rFonts w:ascii="Times New Roman" w:cs="Times New Roman" w:eastAsia="Times New Roman" w:hAnsi="Times New Roman"/>
                <w:sz w:val="18"/>
                <w:szCs w:val="18"/>
                <w:color w:val="auto"/>
              </w:rPr>
              <w:t>” is the period of time commencing on the date on which Borrower</w:t>
            </w:r>
          </w:p>
        </w:tc>
        <w:tc>
          <w:tcPr>
            <w:tcW w:w="12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80" w:type="dxa"/>
            <w:vAlign w:val="bottom"/>
            <w:tcBorders>
              <w:right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achieves the Tranche B Availability Milestone and ending on the earlier to occur of (a) December</w:t>
            </w:r>
          </w:p>
        </w:tc>
        <w:tc>
          <w:tcPr>
            <w:tcW w:w="1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80" w:type="dxa"/>
            <w:vAlign w:val="bottom"/>
            <w:tcBorders>
              <w:right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31, 2025, and (b) an Event of Default.</w:t>
            </w:r>
          </w:p>
        </w:tc>
        <w:tc>
          <w:tcPr>
            <w:tcW w:w="120" w:type="dxa"/>
            <w:vAlign w:val="bottom"/>
          </w:tcPr>
          <w:p>
            <w:pPr>
              <w:spacing w:after="0"/>
              <w:rPr>
                <w:sz w:val="20"/>
                <w:szCs w:val="20"/>
                <w:color w:val="auto"/>
              </w:rPr>
            </w:pPr>
          </w:p>
        </w:tc>
      </w:tr>
      <w:tr>
        <w:trPr>
          <w:trHeight w:val="230"/>
        </w:trPr>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5"/>
        </w:trPr>
        <w:tc>
          <w:tcPr>
            <w:tcW w:w="46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 “Tranche C Availability Amount”</w:t>
            </w:r>
          </w:p>
        </w:tc>
        <w:tc>
          <w:tcPr>
            <w:tcW w:w="60" w:type="dxa"/>
            <w:vAlign w:val="bottom"/>
          </w:tcPr>
          <w:p>
            <w:pPr>
              <w:spacing w:after="0"/>
              <w:rPr>
                <w:sz w:val="17"/>
                <w:szCs w:val="17"/>
                <w:color w:val="auto"/>
              </w:rPr>
            </w:pPr>
          </w:p>
        </w:tc>
        <w:tc>
          <w:tcPr>
            <w:tcW w:w="7280" w:type="dxa"/>
            <w:vAlign w:val="bottom"/>
            <w:tcBorders>
              <w:right w:val="single" w:sz="8" w:color="auto"/>
            </w:tcBorders>
            <w:gridSpan w:val="16"/>
          </w:tcPr>
          <w:p>
            <w:pPr>
              <w:spacing w:after="0" w:line="20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C Availability Amount</w:t>
            </w:r>
            <w:r>
              <w:rPr>
                <w:rFonts w:ascii="Times New Roman" w:cs="Times New Roman" w:eastAsia="Times New Roman" w:hAnsi="Times New Roman"/>
                <w:sz w:val="18"/>
                <w:szCs w:val="18"/>
                <w:color w:val="auto"/>
              </w:rPr>
              <w:t>” is an aggregate principal amount equal to Two Million Five</w:t>
            </w:r>
          </w:p>
        </w:tc>
        <w:tc>
          <w:tcPr>
            <w:tcW w:w="12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80" w:type="dxa"/>
            <w:vAlign w:val="bottom"/>
            <w:tcBorders>
              <w:right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Hundred Thousand Dollars ($2,500,000).</w:t>
            </w:r>
          </w:p>
        </w:tc>
        <w:tc>
          <w:tcPr>
            <w:tcW w:w="120" w:type="dxa"/>
            <w:vAlign w:val="bottom"/>
          </w:tcPr>
          <w:p>
            <w:pPr>
              <w:spacing w:after="0"/>
              <w:rPr>
                <w:sz w:val="20"/>
                <w:szCs w:val="20"/>
                <w:color w:val="auto"/>
              </w:rPr>
            </w:pPr>
          </w:p>
        </w:tc>
      </w:tr>
      <w:tr>
        <w:trPr>
          <w:trHeight w:val="229"/>
        </w:trPr>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5"/>
        </w:trPr>
        <w:tc>
          <w:tcPr>
            <w:tcW w:w="46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 “Tranche C Draw Period”</w:t>
            </w:r>
          </w:p>
        </w:tc>
        <w:tc>
          <w:tcPr>
            <w:tcW w:w="60" w:type="dxa"/>
            <w:vAlign w:val="bottom"/>
          </w:tcPr>
          <w:p>
            <w:pPr>
              <w:spacing w:after="0"/>
              <w:rPr>
                <w:sz w:val="17"/>
                <w:szCs w:val="17"/>
                <w:color w:val="auto"/>
              </w:rPr>
            </w:pPr>
          </w:p>
        </w:tc>
        <w:tc>
          <w:tcPr>
            <w:tcW w:w="7280" w:type="dxa"/>
            <w:vAlign w:val="bottom"/>
            <w:tcBorders>
              <w:right w:val="single" w:sz="8" w:color="auto"/>
            </w:tcBorders>
            <w:gridSpan w:val="16"/>
          </w:tcPr>
          <w:p>
            <w:pPr>
              <w:spacing w:after="0" w:line="20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C Draw Period</w:t>
            </w:r>
            <w:r>
              <w:rPr>
                <w:rFonts w:ascii="Times New Roman" w:cs="Times New Roman" w:eastAsia="Times New Roman" w:hAnsi="Times New Roman"/>
                <w:sz w:val="18"/>
                <w:szCs w:val="18"/>
                <w:color w:val="auto"/>
              </w:rPr>
              <w:t>” is the period of time commencing on the date on which Borrower</w:t>
            </w:r>
          </w:p>
        </w:tc>
        <w:tc>
          <w:tcPr>
            <w:tcW w:w="12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80" w:type="dxa"/>
            <w:vAlign w:val="bottom"/>
            <w:tcBorders>
              <w:right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achieves the Tranche C Availability Milestone and ending on the earlier to occur of (a) December</w:t>
            </w:r>
          </w:p>
        </w:tc>
        <w:tc>
          <w:tcPr>
            <w:tcW w:w="1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80" w:type="dxa"/>
            <w:vAlign w:val="bottom"/>
            <w:tcBorders>
              <w:right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31, 2025, and (b) an Event of Default.</w:t>
            </w:r>
          </w:p>
        </w:tc>
        <w:tc>
          <w:tcPr>
            <w:tcW w:w="120" w:type="dxa"/>
            <w:vAlign w:val="bottom"/>
          </w:tcPr>
          <w:p>
            <w:pPr>
              <w:spacing w:after="0"/>
              <w:rPr>
                <w:sz w:val="20"/>
                <w:szCs w:val="20"/>
                <w:color w:val="auto"/>
              </w:rPr>
            </w:pPr>
          </w:p>
        </w:tc>
      </w:tr>
      <w:tr>
        <w:trPr>
          <w:trHeight w:val="230"/>
        </w:trPr>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5"/>
        </w:trPr>
        <w:tc>
          <w:tcPr>
            <w:tcW w:w="46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color w:val="auto"/>
              </w:rPr>
              <w:t>12.2</w:t>
            </w:r>
          </w:p>
        </w:tc>
        <w:tc>
          <w:tcPr>
            <w:tcW w:w="3320" w:type="dxa"/>
            <w:vAlign w:val="bottom"/>
            <w:tcBorders>
              <w:right w:val="single" w:sz="8" w:color="auto"/>
            </w:tcBorders>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 “Tranche D Availability Amount”</w:t>
            </w:r>
          </w:p>
        </w:tc>
        <w:tc>
          <w:tcPr>
            <w:tcW w:w="60" w:type="dxa"/>
            <w:vAlign w:val="bottom"/>
          </w:tcPr>
          <w:p>
            <w:pPr>
              <w:spacing w:after="0"/>
              <w:rPr>
                <w:sz w:val="17"/>
                <w:szCs w:val="17"/>
                <w:color w:val="auto"/>
              </w:rPr>
            </w:pPr>
          </w:p>
        </w:tc>
        <w:tc>
          <w:tcPr>
            <w:tcW w:w="7280" w:type="dxa"/>
            <w:vAlign w:val="bottom"/>
            <w:tcBorders>
              <w:right w:val="single" w:sz="8" w:color="auto"/>
            </w:tcBorders>
            <w:gridSpan w:val="16"/>
          </w:tcPr>
          <w:p>
            <w:pPr>
              <w:spacing w:after="0" w:line="20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D Availability Amount</w:t>
            </w:r>
            <w:r>
              <w:rPr>
                <w:rFonts w:ascii="Times New Roman" w:cs="Times New Roman" w:eastAsia="Times New Roman" w:hAnsi="Times New Roman"/>
                <w:sz w:val="18"/>
                <w:szCs w:val="18"/>
                <w:color w:val="auto"/>
              </w:rPr>
              <w:t>” is an aggregate principal amount equal to Two Million Five</w:t>
            </w:r>
          </w:p>
        </w:tc>
        <w:tc>
          <w:tcPr>
            <w:tcW w:w="12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80" w:type="dxa"/>
            <w:vAlign w:val="bottom"/>
            <w:tcBorders>
              <w:right w:val="single" w:sz="8" w:color="auto"/>
            </w:tcBorders>
            <w:gridSpan w:val="16"/>
          </w:tcPr>
          <w:p>
            <w:pPr>
              <w:spacing w:after="0"/>
              <w:rPr>
                <w:sz w:val="20"/>
                <w:szCs w:val="20"/>
                <w:color w:val="auto"/>
              </w:rPr>
            </w:pPr>
            <w:r>
              <w:rPr>
                <w:rFonts w:ascii="Times New Roman" w:cs="Times New Roman" w:eastAsia="Times New Roman" w:hAnsi="Times New Roman"/>
                <w:sz w:val="18"/>
                <w:szCs w:val="18"/>
                <w:color w:val="auto"/>
              </w:rPr>
              <w:t>Hundred Thousand Dollars ($2,500,000).</w:t>
            </w:r>
          </w:p>
        </w:tc>
        <w:tc>
          <w:tcPr>
            <w:tcW w:w="120" w:type="dxa"/>
            <w:vAlign w:val="bottom"/>
          </w:tcPr>
          <w:p>
            <w:pPr>
              <w:spacing w:after="0"/>
              <w:rPr>
                <w:sz w:val="20"/>
                <w:szCs w:val="20"/>
                <w:color w:val="auto"/>
              </w:rPr>
            </w:pPr>
          </w:p>
        </w:tc>
      </w:tr>
      <w:tr>
        <w:trPr>
          <w:trHeight w:val="229"/>
        </w:trPr>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160" w:type="dxa"/>
            <w:vAlign w:val="bottom"/>
            <w:gridSpan w:val="15"/>
          </w:tcPr>
          <w:p>
            <w:pPr>
              <w:ind w:left="560"/>
              <w:spacing w:after="0"/>
              <w:rPr>
                <w:sz w:val="20"/>
                <w:szCs w:val="20"/>
                <w:color w:val="auto"/>
              </w:rPr>
            </w:pPr>
            <w:r>
              <w:rPr>
                <w:rFonts w:ascii="Times New Roman" w:cs="Times New Roman" w:eastAsia="Times New Roman" w:hAnsi="Times New Roman"/>
                <w:sz w:val="18"/>
                <w:szCs w:val="18"/>
                <w:color w:val="auto"/>
              </w:rPr>
              <w:t>I-2</w:t>
            </w:r>
          </w:p>
        </w:tc>
        <w:tc>
          <w:tcPr>
            <w:tcW w:w="120" w:type="dxa"/>
            <w:vAlign w:val="bottom"/>
          </w:tcPr>
          <w:p>
            <w:pPr>
              <w:spacing w:after="0"/>
              <w:rPr>
                <w:sz w:val="19"/>
                <w:szCs w:val="19"/>
                <w:color w:val="auto"/>
              </w:rPr>
            </w:pPr>
          </w:p>
        </w:tc>
      </w:tr>
      <w:tr>
        <w:trPr>
          <w:trHeight w:val="1379"/>
        </w:trPr>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43" w:name="page144"/>
    <w:bookmarkEnd w:id="143"/>
    <w:tbl>
      <w:tblPr>
        <w:tblLayout w:type="fixed"/>
        <w:tblInd w:w="10" w:type="dxa"/>
        <w:tblCellMar>
          <w:top w:w="0" w:type="dxa"/>
          <w:left w:w="0" w:type="dxa"/>
          <w:bottom w:w="0" w:type="dxa"/>
          <w:right w:w="0" w:type="dxa"/>
        </w:tblCellMar>
      </w:tblPr>
      <w:tr>
        <w:trPr>
          <w:trHeight w:val="206"/>
        </w:trPr>
        <w:tc>
          <w:tcPr>
            <w:tcW w:w="120" w:type="dxa"/>
            <w:vAlign w:val="bottom"/>
            <w:tcBorders>
              <w:top w:val="single" w:sz="8" w:color="auto"/>
              <w:left w:val="single" w:sz="8" w:color="auto"/>
            </w:tcBorders>
          </w:tcPr>
          <w:p>
            <w:pPr>
              <w:spacing w:after="0"/>
              <w:rPr>
                <w:sz w:val="17"/>
                <w:szCs w:val="17"/>
                <w:color w:val="auto"/>
              </w:rPr>
            </w:pPr>
          </w:p>
        </w:tc>
        <w:tc>
          <w:tcPr>
            <w:tcW w:w="3660" w:type="dxa"/>
            <w:vAlign w:val="bottom"/>
            <w:tcBorders>
              <w:top w:val="single" w:sz="8" w:color="auto"/>
              <w:right w:val="single" w:sz="8" w:color="auto"/>
            </w:tcBorders>
            <w:gridSpan w:val="2"/>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LSA Section</w:t>
            </w:r>
          </w:p>
        </w:tc>
        <w:tc>
          <w:tcPr>
            <w:tcW w:w="60" w:type="dxa"/>
            <w:vAlign w:val="bottom"/>
            <w:tcBorders>
              <w:top w:val="single" w:sz="8" w:color="auto"/>
            </w:tcBorders>
          </w:tcPr>
          <w:p>
            <w:pPr>
              <w:spacing w:after="0"/>
              <w:rPr>
                <w:sz w:val="17"/>
                <w:szCs w:val="17"/>
                <w:color w:val="auto"/>
              </w:rPr>
            </w:pPr>
          </w:p>
        </w:tc>
        <w:tc>
          <w:tcPr>
            <w:tcW w:w="7280" w:type="dxa"/>
            <w:vAlign w:val="bottom"/>
            <w:tcBorders>
              <w:top w:val="single" w:sz="8" w:color="auto"/>
              <w:right w:val="single" w:sz="8" w:color="auto"/>
            </w:tcBorders>
            <w:gridSpan w:val="2"/>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LSA Provision</w:t>
            </w:r>
          </w:p>
        </w:tc>
        <w:tc>
          <w:tcPr>
            <w:tcW w:w="120" w:type="dxa"/>
            <w:vAlign w:val="bottom"/>
          </w:tcPr>
          <w:p>
            <w:pPr>
              <w:spacing w:after="0"/>
              <w:rPr>
                <w:sz w:val="17"/>
                <w:szCs w:val="17"/>
                <w:color w:val="auto"/>
              </w:rPr>
            </w:pPr>
          </w:p>
        </w:tc>
      </w:tr>
      <w:tr>
        <w:trPr>
          <w:trHeight w:val="267"/>
        </w:trPr>
        <w:tc>
          <w:tcPr>
            <w:tcW w:w="120" w:type="dxa"/>
            <w:vAlign w:val="bottom"/>
            <w:tcBorders>
              <w:left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spacing w:after="0"/>
              <w:rPr>
                <w:sz w:val="23"/>
                <w:szCs w:val="23"/>
                <w:color w:val="auto"/>
              </w:rPr>
            </w:pPr>
          </w:p>
        </w:tc>
        <w:tc>
          <w:tcPr>
            <w:tcW w:w="270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spacing w:after="0"/>
              <w:rPr>
                <w:sz w:val="23"/>
                <w:szCs w:val="23"/>
                <w:color w:val="auto"/>
              </w:rPr>
            </w:pPr>
          </w:p>
        </w:tc>
        <w:tc>
          <w:tcPr>
            <w:tcW w:w="6160" w:type="dxa"/>
            <w:vAlign w:val="bottom"/>
            <w:tcBorders>
              <w:bottom w:val="single" w:sz="8" w:color="auto"/>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188"/>
        </w:trPr>
        <w:tc>
          <w:tcPr>
            <w:tcW w:w="120" w:type="dxa"/>
            <w:vAlign w:val="bottom"/>
            <w:tcBorders>
              <w:left w:val="single" w:sz="8" w:color="auto"/>
            </w:tcBorders>
          </w:tcPr>
          <w:p>
            <w:pPr>
              <w:spacing w:after="0"/>
              <w:rPr>
                <w:sz w:val="16"/>
                <w:szCs w:val="16"/>
                <w:color w:val="auto"/>
              </w:rPr>
            </w:pPr>
          </w:p>
        </w:tc>
        <w:tc>
          <w:tcPr>
            <w:tcW w:w="3660" w:type="dxa"/>
            <w:vAlign w:val="bottom"/>
            <w:tcBorders>
              <w:right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color w:val="auto"/>
              </w:rPr>
              <w:t>12.2 – “Tranche D Draw Period”</w:t>
            </w:r>
          </w:p>
        </w:tc>
        <w:tc>
          <w:tcPr>
            <w:tcW w:w="60" w:type="dxa"/>
            <w:vAlign w:val="bottom"/>
          </w:tcPr>
          <w:p>
            <w:pPr>
              <w:spacing w:after="0"/>
              <w:rPr>
                <w:sz w:val="16"/>
                <w:szCs w:val="16"/>
                <w:color w:val="auto"/>
              </w:rPr>
            </w:pPr>
          </w:p>
        </w:tc>
        <w:tc>
          <w:tcPr>
            <w:tcW w:w="7280" w:type="dxa"/>
            <w:vAlign w:val="bottom"/>
            <w:tcBorders>
              <w:right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D Draw Period</w:t>
            </w:r>
            <w:r>
              <w:rPr>
                <w:rFonts w:ascii="Times New Roman" w:cs="Times New Roman" w:eastAsia="Times New Roman" w:hAnsi="Times New Roman"/>
                <w:sz w:val="18"/>
                <w:szCs w:val="18"/>
                <w:color w:val="auto"/>
              </w:rPr>
              <w:t>” is the period of time commencing on the date on which Borrower</w:t>
            </w:r>
          </w:p>
        </w:tc>
        <w:tc>
          <w:tcPr>
            <w:tcW w:w="120" w:type="dxa"/>
            <w:vAlign w:val="bottom"/>
          </w:tcPr>
          <w:p>
            <w:pPr>
              <w:spacing w:after="0"/>
              <w:rPr>
                <w:sz w:val="16"/>
                <w:szCs w:val="16"/>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achieves the Tranche D Availability Milestone and ending on the earlier to occur of (a) December</w:t>
            </w:r>
          </w:p>
        </w:tc>
        <w:tc>
          <w:tcPr>
            <w:tcW w:w="120" w:type="dxa"/>
            <w:vAlign w:val="bottom"/>
          </w:tcPr>
          <w:p>
            <w:pPr>
              <w:spacing w:after="0"/>
              <w:rPr>
                <w:sz w:val="18"/>
                <w:szCs w:val="18"/>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2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31, 2025, and (b) an Event of Default.</w:t>
            </w:r>
          </w:p>
        </w:tc>
        <w:tc>
          <w:tcPr>
            <w:tcW w:w="120" w:type="dxa"/>
            <w:vAlign w:val="bottom"/>
          </w:tcPr>
          <w:p>
            <w:pPr>
              <w:spacing w:after="0"/>
              <w:rPr>
                <w:sz w:val="20"/>
                <w:szCs w:val="20"/>
                <w:color w:val="auto"/>
              </w:rPr>
            </w:pPr>
          </w:p>
        </w:tc>
      </w:tr>
      <w:tr>
        <w:trPr>
          <w:trHeight w:val="229"/>
        </w:trPr>
        <w:tc>
          <w:tcPr>
            <w:tcW w:w="120" w:type="dxa"/>
            <w:vAlign w:val="bottom"/>
            <w:tcBorders>
              <w:left w:val="single" w:sz="8" w:color="auto"/>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160" w:type="dxa"/>
            <w:vAlign w:val="bottom"/>
            <w:tcBorders>
              <w:bottom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I-3</w:t>
            </w:r>
          </w:p>
        </w:tc>
        <w:tc>
          <w:tcPr>
            <w:tcW w:w="120" w:type="dxa"/>
            <w:vAlign w:val="bottom"/>
          </w:tcPr>
          <w:p>
            <w:pPr>
              <w:spacing w:after="0"/>
              <w:rPr>
                <w:sz w:val="19"/>
                <w:szCs w:val="19"/>
                <w:color w:val="auto"/>
              </w:rPr>
            </w:pPr>
          </w:p>
        </w:tc>
      </w:tr>
      <w:tr>
        <w:trPr>
          <w:trHeight w:val="1379"/>
        </w:trPr>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u w:val="single" w:color="auto"/>
          <w:color w:val="auto"/>
        </w:rPr>
        <w:t>COMPLIANCE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Silicon Valley Bank, a division of FIRST-CITIZENS BANK &amp; TRUST COMPANY</w:t>
      </w:r>
    </w:p>
    <w:p>
      <w:pPr>
        <w:spacing w:after="0" w:line="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7"/>
          <w:szCs w:val="17"/>
          <w:color w:val="auto"/>
        </w:rPr>
        <w:t>Tenaya Therapeutics,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-7620</wp:posOffset>
            </wp:positionV>
            <wp:extent cx="3810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381000" cy="8255"/>
                    </a:xfrm>
                    <a:prstGeom prst="rect">
                      <a:avLst/>
                    </a:prstGeom>
                    <a:noFill/>
                  </pic:spPr>
                </pic:pic>
              </a:graphicData>
            </a:graphic>
          </wp:anchor>
        </w:drawing>
      </w:r>
    </w:p>
    <w:p>
      <w:pPr>
        <w:spacing w:after="0" w:line="20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Under the terms and conditions of the Loan and Security Agreement between Borrower and Bank (as amended, modified, supplemented and/or restated from time to time,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Borrower is in complete compliance for the period ending _______________ with all required covenants</w:t>
      </w:r>
    </w:p>
    <w:p>
      <w:pPr>
        <w:jc w:val="both"/>
        <w:spacing w:after="0" w:line="255" w:lineRule="auto"/>
        <w:rPr>
          <w:sz w:val="20"/>
          <w:szCs w:val="20"/>
          <w:color w:val="auto"/>
        </w:rPr>
      </w:pPr>
      <w:r>
        <w:rPr>
          <w:rFonts w:ascii="Times New Roman" w:cs="Times New Roman" w:eastAsia="Times New Roman" w:hAnsi="Times New Roman"/>
          <w:sz w:val="18"/>
          <w:szCs w:val="18"/>
          <w:color w:val="auto"/>
        </w:rPr>
        <w:t>except as noted below. Attached are the required documents evidencing such compliance, setting forth calculations prepared in accordance with GAAP consistently applied from one period to the next except as explained in an accompanying letter or footnotes. Capitalized terms used but not otherwise defined herein shall have the meanings given them in the Agreement.</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9320" w:type="dxa"/>
            <w:vAlign w:val="bottom"/>
            <w:gridSpan w:val="17"/>
          </w:tcPr>
          <w:p>
            <w:pPr>
              <w:ind w:left="100"/>
              <w:spacing w:after="0"/>
              <w:rPr>
                <w:sz w:val="20"/>
                <w:szCs w:val="20"/>
                <w:color w:val="auto"/>
              </w:rPr>
            </w:pPr>
            <w:r>
              <w:rPr>
                <w:rFonts w:ascii="Times New Roman" w:cs="Times New Roman" w:eastAsia="Times New Roman" w:hAnsi="Times New Roman"/>
                <w:sz w:val="18"/>
                <w:szCs w:val="18"/>
                <w:b w:val="1"/>
                <w:bCs w:val="1"/>
                <w:color w:val="auto"/>
              </w:rPr>
              <w:t>Please indicate compliance status by circling Yes/No under “Complies” column.</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11"/>
        </w:trPr>
        <w:tc>
          <w:tcPr>
            <w:tcW w:w="6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r>
      <w:tr>
        <w:trPr>
          <w:trHeight w:val="166"/>
        </w:trPr>
        <w:tc>
          <w:tcPr>
            <w:tcW w:w="62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80" w:type="dxa"/>
            <w:vAlign w:val="bottom"/>
            <w:tcBorders>
              <w:right w:val="single" w:sz="8" w:color="auto"/>
            </w:tcBorders>
            <w:gridSpan w:val="3"/>
          </w:tcPr>
          <w:p>
            <w:pPr>
              <w:spacing w:after="0" w:line="166" w:lineRule="exact"/>
              <w:rPr>
                <w:sz w:val="20"/>
                <w:szCs w:val="20"/>
                <w:color w:val="auto"/>
              </w:rPr>
            </w:pPr>
            <w:r>
              <w:rPr>
                <w:rFonts w:ascii="Times New Roman" w:cs="Times New Roman" w:eastAsia="Times New Roman" w:hAnsi="Times New Roman"/>
                <w:sz w:val="18"/>
                <w:szCs w:val="18"/>
                <w:b w:val="1"/>
                <w:bCs w:val="1"/>
                <w:color w:val="auto"/>
              </w:rPr>
              <w:t>Reporting Covenants</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tcBorders>
              <w:right w:val="single" w:sz="8" w:color="auto"/>
            </w:tcBorders>
            <w:gridSpan w:val="5"/>
          </w:tcPr>
          <w:p>
            <w:pPr>
              <w:spacing w:after="0" w:line="166" w:lineRule="exact"/>
              <w:rPr>
                <w:sz w:val="20"/>
                <w:szCs w:val="20"/>
                <w:color w:val="auto"/>
              </w:rPr>
            </w:pPr>
            <w:r>
              <w:rPr>
                <w:rFonts w:ascii="Times New Roman" w:cs="Times New Roman" w:eastAsia="Times New Roman" w:hAnsi="Times New Roman"/>
                <w:sz w:val="18"/>
                <w:szCs w:val="18"/>
                <w:b w:val="1"/>
                <w:bCs w:val="1"/>
                <w:color w:val="auto"/>
              </w:rPr>
              <w:t>Required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Borders>
              <w:right w:val="single" w:sz="8" w:color="auto"/>
            </w:tcBorders>
            <w:gridSpan w:val="3"/>
          </w:tcPr>
          <w:p>
            <w:pPr>
              <w:jc w:val="center"/>
              <w:ind w:right="640"/>
              <w:spacing w:after="0" w:line="166" w:lineRule="exact"/>
              <w:rPr>
                <w:sz w:val="20"/>
                <w:szCs w:val="20"/>
                <w:color w:val="auto"/>
              </w:rPr>
            </w:pPr>
            <w:r>
              <w:rPr>
                <w:rFonts w:ascii="Times New Roman" w:cs="Times New Roman" w:eastAsia="Times New Roman" w:hAnsi="Times New Roman"/>
                <w:sz w:val="18"/>
                <w:szCs w:val="18"/>
                <w:b w:val="1"/>
                <w:bCs w:val="1"/>
                <w:color w:val="auto"/>
                <w:w w:val="99"/>
              </w:rPr>
              <w:t>Complies</w:t>
            </w:r>
          </w:p>
        </w:tc>
      </w:tr>
      <w:tr>
        <w:trPr>
          <w:trHeight w:val="105"/>
        </w:trPr>
        <w:tc>
          <w:tcPr>
            <w:tcW w:w="620" w:type="dxa"/>
            <w:vAlign w:val="bottom"/>
            <w:tcBorders>
              <w:left w:val="single" w:sz="8" w:color="auto"/>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20" w:type="dxa"/>
            <w:vAlign w:val="bottom"/>
            <w:tcBorders>
              <w:top w:val="single" w:sz="8" w:color="auto"/>
              <w:bottom w:val="single" w:sz="8" w:color="auto"/>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r>
      <w:tr>
        <w:trPr>
          <w:trHeight w:val="174"/>
        </w:trPr>
        <w:tc>
          <w:tcPr>
            <w:tcW w:w="4700" w:type="dxa"/>
            <w:vAlign w:val="bottom"/>
            <w:tcBorders>
              <w:left w:val="single" w:sz="8" w:color="auto"/>
              <w:right w:val="single" w:sz="8" w:color="auto"/>
            </w:tcBorders>
            <w:gridSpan w:val="6"/>
          </w:tcPr>
          <w:p>
            <w:pPr>
              <w:ind w:left="120"/>
              <w:spacing w:after="0" w:line="175" w:lineRule="exact"/>
              <w:rPr>
                <w:sz w:val="20"/>
                <w:szCs w:val="20"/>
                <w:color w:val="auto"/>
              </w:rPr>
            </w:pPr>
            <w:r>
              <w:rPr>
                <w:rFonts w:ascii="Times New Roman" w:cs="Times New Roman" w:eastAsia="Times New Roman" w:hAnsi="Times New Roman"/>
                <w:sz w:val="18"/>
                <w:szCs w:val="18"/>
                <w:color w:val="auto"/>
              </w:rPr>
              <w:t>Bank Account Statements (for accounts outside of Bank)</w:t>
            </w:r>
          </w:p>
        </w:tc>
        <w:tc>
          <w:tcPr>
            <w:tcW w:w="4620" w:type="dxa"/>
            <w:vAlign w:val="bottom"/>
            <w:tcBorders>
              <w:right w:val="single" w:sz="8" w:color="auto"/>
            </w:tcBorders>
            <w:gridSpan w:val="11"/>
          </w:tcPr>
          <w:p>
            <w:pPr>
              <w:ind w:left="60"/>
              <w:spacing w:after="0" w:line="175" w:lineRule="exact"/>
              <w:rPr>
                <w:sz w:val="20"/>
                <w:szCs w:val="20"/>
                <w:color w:val="auto"/>
              </w:rPr>
            </w:pPr>
            <w:r>
              <w:rPr>
                <w:rFonts w:ascii="Times New Roman" w:cs="Times New Roman" w:eastAsia="Times New Roman" w:hAnsi="Times New Roman"/>
                <w:sz w:val="18"/>
                <w:szCs w:val="18"/>
                <w:color w:val="auto"/>
              </w:rPr>
              <w:t>Monthly within 30 days</w:t>
            </w:r>
          </w:p>
        </w:tc>
        <w:tc>
          <w:tcPr>
            <w:tcW w:w="1940" w:type="dxa"/>
            <w:vAlign w:val="bottom"/>
            <w:tcBorders>
              <w:right w:val="single" w:sz="8" w:color="auto"/>
            </w:tcBorders>
            <w:gridSpan w:val="6"/>
          </w:tcPr>
          <w:p>
            <w:pPr>
              <w:jc w:val="center"/>
              <w:ind w:right="100"/>
              <w:spacing w:after="0" w:line="175" w:lineRule="exact"/>
              <w:rPr>
                <w:sz w:val="20"/>
                <w:szCs w:val="20"/>
                <w:color w:val="auto"/>
              </w:rPr>
            </w:pPr>
            <w:r>
              <w:rPr>
                <w:rFonts w:ascii="Arial" w:cs="Arial" w:eastAsia="Arial" w:hAnsi="Arial"/>
                <w:sz w:val="18"/>
                <w:szCs w:val="18"/>
                <w:b w:val="1"/>
                <w:bCs w:val="1"/>
                <w:color w:val="auto"/>
                <w:w w:val="99"/>
              </w:rPr>
              <w:t>FORMCHECKBOX</w:t>
            </w:r>
          </w:p>
        </w:tc>
      </w:tr>
      <w:tr>
        <w:trPr>
          <w:trHeight w:val="215"/>
        </w:trPr>
        <w:tc>
          <w:tcPr>
            <w:tcW w:w="6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Yes</w:t>
            </w:r>
          </w:p>
        </w:tc>
      </w:tr>
      <w:tr>
        <w:trPr>
          <w:trHeight w:val="203"/>
        </w:trPr>
        <w:tc>
          <w:tcPr>
            <w:tcW w:w="6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gridSpan w:val="6"/>
          </w:tcPr>
          <w:p>
            <w:pPr>
              <w:jc w:val="center"/>
              <w:ind w:right="100"/>
              <w:spacing w:after="0" w:line="203" w:lineRule="exact"/>
              <w:rPr>
                <w:sz w:val="20"/>
                <w:szCs w:val="20"/>
                <w:color w:val="auto"/>
              </w:rPr>
            </w:pPr>
            <w:r>
              <w:rPr>
                <w:rFonts w:ascii="Arial" w:cs="Arial" w:eastAsia="Arial" w:hAnsi="Arial"/>
                <w:sz w:val="18"/>
                <w:szCs w:val="18"/>
                <w:b w:val="1"/>
                <w:bCs w:val="1"/>
                <w:color w:val="auto"/>
                <w:w w:val="99"/>
              </w:rPr>
              <w:t>FORMCHECKBOX</w:t>
            </w:r>
          </w:p>
        </w:tc>
      </w:tr>
      <w:tr>
        <w:trPr>
          <w:trHeight w:val="234"/>
        </w:trPr>
        <w:tc>
          <w:tcPr>
            <w:tcW w:w="62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Borders>
              <w:right w:val="single" w:sz="8" w:color="auto"/>
            </w:tcBorders>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No</w:t>
            </w:r>
          </w:p>
        </w:tc>
      </w:tr>
      <w:tr>
        <w:trPr>
          <w:trHeight w:val="68"/>
        </w:trPr>
        <w:tc>
          <w:tcPr>
            <w:tcW w:w="62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r>
      <w:tr>
        <w:trPr>
          <w:trHeight w:val="191"/>
        </w:trPr>
        <w:tc>
          <w:tcPr>
            <w:tcW w:w="4700" w:type="dxa"/>
            <w:vAlign w:val="bottom"/>
            <w:tcBorders>
              <w:left w:val="single" w:sz="8" w:color="auto"/>
              <w:right w:val="single" w:sz="8" w:color="auto"/>
            </w:tcBorders>
            <w:gridSpan w:val="6"/>
          </w:tcPr>
          <w:p>
            <w:pPr>
              <w:ind w:left="120"/>
              <w:spacing w:after="0" w:line="191" w:lineRule="exact"/>
              <w:rPr>
                <w:sz w:val="20"/>
                <w:szCs w:val="20"/>
                <w:color w:val="auto"/>
              </w:rPr>
            </w:pPr>
            <w:r>
              <w:rPr>
                <w:rFonts w:ascii="Times New Roman" w:cs="Times New Roman" w:eastAsia="Times New Roman" w:hAnsi="Times New Roman"/>
                <w:sz w:val="18"/>
                <w:szCs w:val="18"/>
                <w:color w:val="auto"/>
              </w:rPr>
              <w:t>Quarterly Financial Statements</w:t>
            </w:r>
          </w:p>
        </w:tc>
        <w:tc>
          <w:tcPr>
            <w:tcW w:w="4620" w:type="dxa"/>
            <w:vAlign w:val="bottom"/>
            <w:tcBorders>
              <w:right w:val="single" w:sz="8" w:color="auto"/>
            </w:tcBorders>
            <w:gridSpan w:val="11"/>
          </w:tcPr>
          <w:p>
            <w:pPr>
              <w:ind w:left="60"/>
              <w:spacing w:after="0" w:line="191" w:lineRule="exact"/>
              <w:rPr>
                <w:sz w:val="20"/>
                <w:szCs w:val="20"/>
                <w:color w:val="auto"/>
              </w:rPr>
            </w:pPr>
            <w:r>
              <w:rPr>
                <w:rFonts w:ascii="Times New Roman" w:cs="Times New Roman" w:eastAsia="Times New Roman" w:hAnsi="Times New Roman"/>
                <w:sz w:val="18"/>
                <w:szCs w:val="18"/>
                <w:color w:val="auto"/>
              </w:rPr>
              <w:t>Quarterly within 45 days*</w:t>
            </w:r>
          </w:p>
        </w:tc>
        <w:tc>
          <w:tcPr>
            <w:tcW w:w="1940" w:type="dxa"/>
            <w:vAlign w:val="bottom"/>
            <w:tcBorders>
              <w:right w:val="single" w:sz="8" w:color="auto"/>
            </w:tcBorders>
            <w:gridSpan w:val="6"/>
          </w:tcPr>
          <w:p>
            <w:pPr>
              <w:jc w:val="center"/>
              <w:ind w:right="100"/>
              <w:spacing w:after="0" w:line="191" w:lineRule="exact"/>
              <w:rPr>
                <w:sz w:val="20"/>
                <w:szCs w:val="20"/>
                <w:color w:val="auto"/>
              </w:rPr>
            </w:pPr>
            <w:r>
              <w:rPr>
                <w:rFonts w:ascii="Arial" w:cs="Arial" w:eastAsia="Arial" w:hAnsi="Arial"/>
                <w:sz w:val="18"/>
                <w:szCs w:val="18"/>
                <w:b w:val="1"/>
                <w:bCs w:val="1"/>
                <w:color w:val="auto"/>
                <w:w w:val="99"/>
              </w:rPr>
              <w:t>FORMCHECKBOX</w:t>
            </w:r>
          </w:p>
        </w:tc>
      </w:tr>
      <w:tr>
        <w:trPr>
          <w:trHeight w:val="215"/>
        </w:trPr>
        <w:tc>
          <w:tcPr>
            <w:tcW w:w="6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Yes</w:t>
            </w:r>
          </w:p>
        </w:tc>
      </w:tr>
      <w:tr>
        <w:trPr>
          <w:trHeight w:val="203"/>
        </w:trPr>
        <w:tc>
          <w:tcPr>
            <w:tcW w:w="6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gridSpan w:val="6"/>
          </w:tcPr>
          <w:p>
            <w:pPr>
              <w:jc w:val="center"/>
              <w:ind w:right="100"/>
              <w:spacing w:after="0" w:line="203" w:lineRule="exact"/>
              <w:rPr>
                <w:sz w:val="20"/>
                <w:szCs w:val="20"/>
                <w:color w:val="auto"/>
              </w:rPr>
            </w:pPr>
            <w:r>
              <w:rPr>
                <w:rFonts w:ascii="Arial" w:cs="Arial" w:eastAsia="Arial" w:hAnsi="Arial"/>
                <w:sz w:val="18"/>
                <w:szCs w:val="18"/>
                <w:b w:val="1"/>
                <w:bCs w:val="1"/>
                <w:color w:val="auto"/>
                <w:w w:val="99"/>
              </w:rPr>
              <w:t>FORMCHECKBOX</w:t>
            </w:r>
          </w:p>
        </w:tc>
      </w:tr>
      <w:tr>
        <w:trPr>
          <w:trHeight w:val="234"/>
        </w:trPr>
        <w:tc>
          <w:tcPr>
            <w:tcW w:w="62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Borders>
              <w:right w:val="single" w:sz="8" w:color="auto"/>
            </w:tcBorders>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No</w:t>
            </w:r>
          </w:p>
        </w:tc>
      </w:tr>
      <w:tr>
        <w:trPr>
          <w:trHeight w:val="68"/>
        </w:trPr>
        <w:tc>
          <w:tcPr>
            <w:tcW w:w="62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r>
      <w:tr>
        <w:trPr>
          <w:trHeight w:val="191"/>
        </w:trPr>
        <w:tc>
          <w:tcPr>
            <w:tcW w:w="4700" w:type="dxa"/>
            <w:vAlign w:val="bottom"/>
            <w:tcBorders>
              <w:left w:val="single" w:sz="8" w:color="auto"/>
              <w:right w:val="single" w:sz="8" w:color="auto"/>
            </w:tcBorders>
            <w:gridSpan w:val="6"/>
          </w:tcPr>
          <w:p>
            <w:pPr>
              <w:ind w:left="120"/>
              <w:spacing w:after="0" w:line="191" w:lineRule="exact"/>
              <w:rPr>
                <w:sz w:val="20"/>
                <w:szCs w:val="20"/>
                <w:color w:val="auto"/>
              </w:rPr>
            </w:pPr>
            <w:r>
              <w:rPr>
                <w:rFonts w:ascii="Times New Roman" w:cs="Times New Roman" w:eastAsia="Times New Roman" w:hAnsi="Times New Roman"/>
                <w:sz w:val="18"/>
                <w:szCs w:val="18"/>
                <w:color w:val="auto"/>
              </w:rPr>
              <w:t>Compliance Statements</w:t>
            </w:r>
          </w:p>
        </w:tc>
        <w:tc>
          <w:tcPr>
            <w:tcW w:w="4620" w:type="dxa"/>
            <w:vAlign w:val="bottom"/>
            <w:tcBorders>
              <w:right w:val="single" w:sz="8" w:color="auto"/>
            </w:tcBorders>
            <w:gridSpan w:val="11"/>
          </w:tcPr>
          <w:p>
            <w:pPr>
              <w:ind w:left="60"/>
              <w:spacing w:after="0" w:line="191" w:lineRule="exact"/>
              <w:rPr>
                <w:sz w:val="20"/>
                <w:szCs w:val="20"/>
                <w:color w:val="auto"/>
              </w:rPr>
            </w:pPr>
            <w:r>
              <w:rPr>
                <w:rFonts w:ascii="Times New Roman" w:cs="Times New Roman" w:eastAsia="Times New Roman" w:hAnsi="Times New Roman"/>
                <w:sz w:val="18"/>
                <w:szCs w:val="18"/>
                <w:color w:val="auto"/>
              </w:rPr>
              <w:t>Together with each monthly bank account statements and</w:t>
            </w:r>
          </w:p>
        </w:tc>
        <w:tc>
          <w:tcPr>
            <w:tcW w:w="1940" w:type="dxa"/>
            <w:vAlign w:val="bottom"/>
            <w:tcBorders>
              <w:right w:val="single" w:sz="8" w:color="auto"/>
            </w:tcBorders>
            <w:gridSpan w:val="6"/>
          </w:tcPr>
          <w:p>
            <w:pPr>
              <w:jc w:val="center"/>
              <w:ind w:right="100"/>
              <w:spacing w:after="0" w:line="191" w:lineRule="exact"/>
              <w:rPr>
                <w:sz w:val="20"/>
                <w:szCs w:val="20"/>
                <w:color w:val="auto"/>
              </w:rPr>
            </w:pPr>
            <w:r>
              <w:rPr>
                <w:rFonts w:ascii="Arial" w:cs="Arial" w:eastAsia="Arial" w:hAnsi="Arial"/>
                <w:sz w:val="18"/>
                <w:szCs w:val="18"/>
                <w:b w:val="1"/>
                <w:bCs w:val="1"/>
                <w:color w:val="auto"/>
                <w:w w:val="99"/>
              </w:rPr>
              <w:t>FORMCHECKBOX</w:t>
            </w:r>
          </w:p>
        </w:tc>
      </w:tr>
      <w:tr>
        <w:trPr>
          <w:trHeight w:val="215"/>
        </w:trPr>
        <w:tc>
          <w:tcPr>
            <w:tcW w:w="6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4620" w:type="dxa"/>
            <w:vAlign w:val="bottom"/>
            <w:tcBorders>
              <w:right w:val="single" w:sz="8" w:color="auto"/>
            </w:tcBorders>
            <w:gridSpan w:val="11"/>
          </w:tcPr>
          <w:p>
            <w:pPr>
              <w:ind w:left="60"/>
              <w:spacing w:after="0"/>
              <w:rPr>
                <w:sz w:val="20"/>
                <w:szCs w:val="20"/>
                <w:color w:val="auto"/>
              </w:rPr>
            </w:pPr>
            <w:r>
              <w:rPr>
                <w:rFonts w:ascii="Times New Roman" w:cs="Times New Roman" w:eastAsia="Times New Roman" w:hAnsi="Times New Roman"/>
                <w:sz w:val="18"/>
                <w:szCs w:val="18"/>
                <w:color w:val="auto"/>
              </w:rPr>
              <w:t>quarterly financial statements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Yes</w:t>
            </w:r>
          </w:p>
        </w:tc>
      </w:tr>
      <w:tr>
        <w:trPr>
          <w:trHeight w:val="203"/>
        </w:trPr>
        <w:tc>
          <w:tcPr>
            <w:tcW w:w="6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gridSpan w:val="6"/>
          </w:tcPr>
          <w:p>
            <w:pPr>
              <w:jc w:val="center"/>
              <w:ind w:right="100"/>
              <w:spacing w:after="0" w:line="203" w:lineRule="exact"/>
              <w:rPr>
                <w:sz w:val="20"/>
                <w:szCs w:val="20"/>
                <w:color w:val="auto"/>
              </w:rPr>
            </w:pPr>
            <w:r>
              <w:rPr>
                <w:rFonts w:ascii="Arial" w:cs="Arial" w:eastAsia="Arial" w:hAnsi="Arial"/>
                <w:sz w:val="18"/>
                <w:szCs w:val="18"/>
                <w:b w:val="1"/>
                <w:bCs w:val="1"/>
                <w:color w:val="auto"/>
                <w:w w:val="99"/>
              </w:rPr>
              <w:t>FORMCHECKBOX</w:t>
            </w:r>
          </w:p>
        </w:tc>
      </w:tr>
      <w:tr>
        <w:trPr>
          <w:trHeight w:val="234"/>
        </w:trPr>
        <w:tc>
          <w:tcPr>
            <w:tcW w:w="62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Borders>
              <w:right w:val="single" w:sz="8" w:color="auto"/>
            </w:tcBorders>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No</w:t>
            </w:r>
          </w:p>
        </w:tc>
      </w:tr>
      <w:tr>
        <w:trPr>
          <w:trHeight w:val="67"/>
        </w:trPr>
        <w:tc>
          <w:tcPr>
            <w:tcW w:w="62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r>
      <w:tr>
        <w:trPr>
          <w:trHeight w:val="191"/>
        </w:trPr>
        <w:tc>
          <w:tcPr>
            <w:tcW w:w="4700" w:type="dxa"/>
            <w:vAlign w:val="bottom"/>
            <w:tcBorders>
              <w:left w:val="single" w:sz="8" w:color="auto"/>
              <w:right w:val="single" w:sz="8" w:color="auto"/>
            </w:tcBorders>
            <w:gridSpan w:val="6"/>
          </w:tcPr>
          <w:p>
            <w:pPr>
              <w:ind w:left="120"/>
              <w:spacing w:after="0" w:line="191" w:lineRule="exact"/>
              <w:rPr>
                <w:sz w:val="20"/>
                <w:szCs w:val="20"/>
                <w:color w:val="auto"/>
              </w:rPr>
            </w:pPr>
            <w:r>
              <w:rPr>
                <w:rFonts w:ascii="Times New Roman" w:cs="Times New Roman" w:eastAsia="Times New Roman" w:hAnsi="Times New Roman"/>
                <w:sz w:val="18"/>
                <w:szCs w:val="18"/>
                <w:color w:val="auto"/>
              </w:rPr>
              <w:t>10-Q, 10-K and 8-K</w:t>
            </w:r>
          </w:p>
        </w:tc>
        <w:tc>
          <w:tcPr>
            <w:tcW w:w="4620" w:type="dxa"/>
            <w:vAlign w:val="bottom"/>
            <w:tcBorders>
              <w:right w:val="single" w:sz="8" w:color="auto"/>
            </w:tcBorders>
            <w:gridSpan w:val="11"/>
          </w:tcPr>
          <w:p>
            <w:pPr>
              <w:ind w:left="60"/>
              <w:spacing w:after="0" w:line="191" w:lineRule="exact"/>
              <w:rPr>
                <w:sz w:val="20"/>
                <w:szCs w:val="20"/>
                <w:color w:val="auto"/>
              </w:rPr>
            </w:pPr>
            <w:r>
              <w:rPr>
                <w:rFonts w:ascii="Times New Roman" w:cs="Times New Roman" w:eastAsia="Times New Roman" w:hAnsi="Times New Roman"/>
                <w:sz w:val="18"/>
                <w:szCs w:val="18"/>
                <w:color w:val="auto"/>
              </w:rPr>
              <w:t>Within 5 days after filing with SEC</w:t>
            </w:r>
          </w:p>
        </w:tc>
        <w:tc>
          <w:tcPr>
            <w:tcW w:w="1940" w:type="dxa"/>
            <w:vAlign w:val="bottom"/>
            <w:tcBorders>
              <w:right w:val="single" w:sz="8" w:color="auto"/>
            </w:tcBorders>
            <w:gridSpan w:val="6"/>
          </w:tcPr>
          <w:p>
            <w:pPr>
              <w:jc w:val="center"/>
              <w:ind w:right="100"/>
              <w:spacing w:after="0" w:line="191" w:lineRule="exact"/>
              <w:rPr>
                <w:sz w:val="20"/>
                <w:szCs w:val="20"/>
                <w:color w:val="auto"/>
              </w:rPr>
            </w:pPr>
            <w:r>
              <w:rPr>
                <w:rFonts w:ascii="Arial" w:cs="Arial" w:eastAsia="Arial" w:hAnsi="Arial"/>
                <w:sz w:val="18"/>
                <w:szCs w:val="18"/>
                <w:b w:val="1"/>
                <w:bCs w:val="1"/>
                <w:color w:val="auto"/>
                <w:w w:val="99"/>
              </w:rPr>
              <w:t>FORMCHECKBOX</w:t>
            </w:r>
          </w:p>
        </w:tc>
      </w:tr>
      <w:tr>
        <w:trPr>
          <w:trHeight w:val="215"/>
        </w:trPr>
        <w:tc>
          <w:tcPr>
            <w:tcW w:w="6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Yes</w:t>
            </w:r>
          </w:p>
        </w:tc>
      </w:tr>
      <w:tr>
        <w:trPr>
          <w:trHeight w:val="203"/>
        </w:trPr>
        <w:tc>
          <w:tcPr>
            <w:tcW w:w="6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gridSpan w:val="6"/>
          </w:tcPr>
          <w:p>
            <w:pPr>
              <w:jc w:val="center"/>
              <w:ind w:right="100"/>
              <w:spacing w:after="0" w:line="203" w:lineRule="exact"/>
              <w:rPr>
                <w:sz w:val="20"/>
                <w:szCs w:val="20"/>
                <w:color w:val="auto"/>
              </w:rPr>
            </w:pPr>
            <w:r>
              <w:rPr>
                <w:rFonts w:ascii="Arial" w:cs="Arial" w:eastAsia="Arial" w:hAnsi="Arial"/>
                <w:sz w:val="18"/>
                <w:szCs w:val="18"/>
                <w:b w:val="1"/>
                <w:bCs w:val="1"/>
                <w:color w:val="auto"/>
                <w:w w:val="99"/>
              </w:rPr>
              <w:t>FORMCHECKBOX</w:t>
            </w:r>
          </w:p>
        </w:tc>
      </w:tr>
      <w:tr>
        <w:trPr>
          <w:trHeight w:val="234"/>
        </w:trPr>
        <w:tc>
          <w:tcPr>
            <w:tcW w:w="62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Borders>
              <w:right w:val="single" w:sz="8" w:color="auto"/>
            </w:tcBorders>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No</w:t>
            </w:r>
          </w:p>
        </w:tc>
      </w:tr>
      <w:tr>
        <w:trPr>
          <w:trHeight w:val="68"/>
        </w:trPr>
        <w:tc>
          <w:tcPr>
            <w:tcW w:w="62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r>
      <w:tr>
        <w:trPr>
          <w:trHeight w:val="191"/>
        </w:trPr>
        <w:tc>
          <w:tcPr>
            <w:tcW w:w="4700" w:type="dxa"/>
            <w:vAlign w:val="bottom"/>
            <w:tcBorders>
              <w:left w:val="single" w:sz="8" w:color="auto"/>
              <w:right w:val="single" w:sz="8" w:color="auto"/>
            </w:tcBorders>
            <w:gridSpan w:val="6"/>
          </w:tcPr>
          <w:p>
            <w:pPr>
              <w:ind w:left="120"/>
              <w:spacing w:after="0" w:line="191" w:lineRule="exact"/>
              <w:rPr>
                <w:sz w:val="20"/>
                <w:szCs w:val="20"/>
                <w:color w:val="auto"/>
              </w:rPr>
            </w:pPr>
            <w:r>
              <w:rPr>
                <w:rFonts w:ascii="Times New Roman" w:cs="Times New Roman" w:eastAsia="Times New Roman" w:hAnsi="Times New Roman"/>
                <w:sz w:val="18"/>
                <w:szCs w:val="18"/>
                <w:color w:val="auto"/>
              </w:rPr>
              <w:t>Board approved projections</w:t>
            </w:r>
          </w:p>
        </w:tc>
        <w:tc>
          <w:tcPr>
            <w:tcW w:w="4620" w:type="dxa"/>
            <w:vAlign w:val="bottom"/>
            <w:tcBorders>
              <w:right w:val="single" w:sz="8" w:color="auto"/>
            </w:tcBorders>
            <w:gridSpan w:val="11"/>
          </w:tcPr>
          <w:p>
            <w:pPr>
              <w:ind w:left="60"/>
              <w:spacing w:after="0" w:line="191" w:lineRule="exact"/>
              <w:rPr>
                <w:sz w:val="20"/>
                <w:szCs w:val="20"/>
                <w:color w:val="auto"/>
              </w:rPr>
            </w:pPr>
            <w:r>
              <w:rPr>
                <w:rFonts w:ascii="Times New Roman" w:cs="Times New Roman" w:eastAsia="Times New Roman" w:hAnsi="Times New Roman"/>
                <w:sz w:val="18"/>
                <w:szCs w:val="18"/>
                <w:color w:val="auto"/>
              </w:rPr>
              <w:t>FYE within 45 days and as amended/updated</w:t>
            </w:r>
          </w:p>
        </w:tc>
        <w:tc>
          <w:tcPr>
            <w:tcW w:w="1940" w:type="dxa"/>
            <w:vAlign w:val="bottom"/>
            <w:tcBorders>
              <w:right w:val="single" w:sz="8" w:color="auto"/>
            </w:tcBorders>
            <w:gridSpan w:val="6"/>
          </w:tcPr>
          <w:p>
            <w:pPr>
              <w:jc w:val="center"/>
              <w:ind w:right="100"/>
              <w:spacing w:after="0" w:line="191" w:lineRule="exact"/>
              <w:rPr>
                <w:sz w:val="20"/>
                <w:szCs w:val="20"/>
                <w:color w:val="auto"/>
              </w:rPr>
            </w:pPr>
            <w:r>
              <w:rPr>
                <w:rFonts w:ascii="Arial" w:cs="Arial" w:eastAsia="Arial" w:hAnsi="Arial"/>
                <w:sz w:val="18"/>
                <w:szCs w:val="18"/>
                <w:b w:val="1"/>
                <w:bCs w:val="1"/>
                <w:color w:val="auto"/>
                <w:w w:val="99"/>
              </w:rPr>
              <w:t>FORMCHECKBOX</w:t>
            </w:r>
          </w:p>
        </w:tc>
      </w:tr>
      <w:tr>
        <w:trPr>
          <w:trHeight w:val="215"/>
        </w:trPr>
        <w:tc>
          <w:tcPr>
            <w:tcW w:w="6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Yes</w:t>
            </w:r>
          </w:p>
        </w:tc>
      </w:tr>
      <w:tr>
        <w:trPr>
          <w:trHeight w:val="203"/>
        </w:trPr>
        <w:tc>
          <w:tcPr>
            <w:tcW w:w="6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gridSpan w:val="6"/>
          </w:tcPr>
          <w:p>
            <w:pPr>
              <w:jc w:val="center"/>
              <w:ind w:right="100"/>
              <w:spacing w:after="0" w:line="203" w:lineRule="exact"/>
              <w:rPr>
                <w:sz w:val="20"/>
                <w:szCs w:val="20"/>
                <w:color w:val="auto"/>
              </w:rPr>
            </w:pPr>
            <w:r>
              <w:rPr>
                <w:rFonts w:ascii="Arial" w:cs="Arial" w:eastAsia="Arial" w:hAnsi="Arial"/>
                <w:sz w:val="18"/>
                <w:szCs w:val="18"/>
                <w:b w:val="1"/>
                <w:bCs w:val="1"/>
                <w:color w:val="auto"/>
                <w:w w:val="99"/>
              </w:rPr>
              <w:t>FORMCHECKBOX</w:t>
            </w:r>
          </w:p>
        </w:tc>
      </w:tr>
      <w:tr>
        <w:trPr>
          <w:trHeight w:val="234"/>
        </w:trPr>
        <w:tc>
          <w:tcPr>
            <w:tcW w:w="62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Borders>
              <w:right w:val="single" w:sz="8" w:color="auto"/>
            </w:tcBorders>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No</w:t>
            </w:r>
          </w:p>
        </w:tc>
      </w:tr>
      <w:tr>
        <w:trPr>
          <w:trHeight w:val="67"/>
        </w:trPr>
        <w:tc>
          <w:tcPr>
            <w:tcW w:w="62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r>
      <w:tr>
        <w:trPr>
          <w:trHeight w:val="230"/>
        </w:trPr>
        <w:tc>
          <w:tcPr>
            <w:tcW w:w="9320" w:type="dxa"/>
            <w:vAlign w:val="bottom"/>
            <w:tcBorders>
              <w:left w:val="single" w:sz="8" w:color="auto"/>
            </w:tcBorders>
            <w:gridSpan w:val="17"/>
          </w:tcPr>
          <w:p>
            <w:pPr>
              <w:ind w:left="120"/>
              <w:spacing w:after="0"/>
              <w:rPr>
                <w:sz w:val="20"/>
                <w:szCs w:val="20"/>
                <w:color w:val="auto"/>
              </w:rPr>
            </w:pPr>
            <w:r>
              <w:rPr>
                <w:rFonts w:ascii="Times New Roman" w:cs="Times New Roman" w:eastAsia="Times New Roman" w:hAnsi="Times New Roman"/>
                <w:sz w:val="18"/>
                <w:szCs w:val="18"/>
                <w:i w:val="1"/>
                <w:iCs w:val="1"/>
                <w:color w:val="auto"/>
              </w:rPr>
              <w:t>* The Quarterly Financial Statements for Borrower’s Q4 shall be delivered within 90 days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r>
      <w:tr>
        <w:trPr>
          <w:trHeight w:val="61"/>
        </w:trPr>
        <w:tc>
          <w:tcPr>
            <w:tcW w:w="62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r>
      <w:tr>
        <w:trPr>
          <w:trHeight w:val="206"/>
        </w:trPr>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r>
      <w:tr>
        <w:trPr>
          <w:trHeight w:val="186"/>
        </w:trPr>
        <w:tc>
          <w:tcPr>
            <w:tcW w:w="62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340" w:type="dxa"/>
            <w:vAlign w:val="bottom"/>
            <w:gridSpan w:val="10"/>
          </w:tcPr>
          <w:p>
            <w:pPr>
              <w:jc w:val="center"/>
              <w:ind w:right="3040"/>
              <w:spacing w:after="0" w:line="186" w:lineRule="exact"/>
              <w:rPr>
                <w:sz w:val="20"/>
                <w:szCs w:val="20"/>
                <w:color w:val="auto"/>
              </w:rPr>
            </w:pPr>
            <w:r>
              <w:rPr>
                <w:rFonts w:ascii="Times New Roman" w:cs="Times New Roman" w:eastAsia="Times New Roman" w:hAnsi="Times New Roman"/>
                <w:sz w:val="18"/>
                <w:szCs w:val="18"/>
                <w:b w:val="1"/>
                <w:bCs w:val="1"/>
                <w:color w:val="auto"/>
                <w:w w:val="99"/>
              </w:rPr>
              <w:t>Banking Matters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r>
      <w:tr>
        <w:trPr>
          <w:trHeight w:val="31"/>
        </w:trPr>
        <w:tc>
          <w:tcPr>
            <w:tcW w:w="62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186"/>
        </w:trPr>
        <w:tc>
          <w:tcPr>
            <w:tcW w:w="62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3"/>
          </w:tcPr>
          <w:p>
            <w:pPr>
              <w:ind w:left="280"/>
              <w:spacing w:after="0" w:line="186" w:lineRule="exact"/>
              <w:rPr>
                <w:sz w:val="20"/>
                <w:szCs w:val="20"/>
                <w:color w:val="auto"/>
              </w:rPr>
            </w:pPr>
            <w:r>
              <w:rPr>
                <w:rFonts w:ascii="Times New Roman" w:cs="Times New Roman" w:eastAsia="Times New Roman" w:hAnsi="Times New Roman"/>
                <w:sz w:val="18"/>
                <w:szCs w:val="18"/>
                <w:b w:val="1"/>
                <w:bCs w:val="1"/>
                <w:color w:val="auto"/>
              </w:rPr>
              <w:t>Month End Balance</w:t>
            </w: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right w:val="single" w:sz="8" w:color="auto"/>
            </w:tcBorders>
            <w:gridSpan w:val="4"/>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Control Agreement</w:t>
            </w:r>
          </w:p>
        </w:tc>
      </w:tr>
      <w:tr>
        <w:trPr>
          <w:trHeight w:val="34"/>
        </w:trPr>
        <w:tc>
          <w:tcPr>
            <w:tcW w:w="62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top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05"/>
        </w:trPr>
        <w:tc>
          <w:tcPr>
            <w:tcW w:w="620" w:type="dxa"/>
            <w:vAlign w:val="bottom"/>
            <w:tcBorders>
              <w:left w:val="single" w:sz="8" w:color="auto"/>
              <w:right w:val="single" w:sz="8" w:color="auto"/>
            </w:tcBorders>
          </w:tcPr>
          <w:p>
            <w:pPr>
              <w:ind w:left="220"/>
              <w:spacing w:after="0" w:line="205" w:lineRule="exact"/>
              <w:rPr>
                <w:sz w:val="20"/>
                <w:szCs w:val="20"/>
                <w:color w:val="auto"/>
              </w:rPr>
            </w:pPr>
            <w:r>
              <w:rPr>
                <w:rFonts w:ascii="Times New Roman" w:cs="Times New Roman" w:eastAsia="Times New Roman" w:hAnsi="Times New Roman"/>
                <w:sz w:val="18"/>
                <w:szCs w:val="18"/>
                <w:color w:val="auto"/>
              </w:rPr>
              <w:t>A.</w:t>
            </w:r>
          </w:p>
        </w:tc>
        <w:tc>
          <w:tcPr>
            <w:tcW w:w="100" w:type="dxa"/>
            <w:vAlign w:val="bottom"/>
          </w:tcPr>
          <w:p>
            <w:pPr>
              <w:spacing w:after="0"/>
              <w:rPr>
                <w:sz w:val="17"/>
                <w:szCs w:val="17"/>
                <w:color w:val="auto"/>
              </w:rPr>
            </w:pPr>
          </w:p>
        </w:tc>
        <w:tc>
          <w:tcPr>
            <w:tcW w:w="6540" w:type="dxa"/>
            <w:vAlign w:val="bottom"/>
            <w:tcBorders>
              <w:right w:val="single" w:sz="8" w:color="auto"/>
            </w:tcBorders>
            <w:gridSpan w:val="11"/>
          </w:tcPr>
          <w:p>
            <w:pPr>
              <w:spacing w:after="0" w:line="205" w:lineRule="exact"/>
              <w:rPr>
                <w:sz w:val="20"/>
                <w:szCs w:val="20"/>
                <w:color w:val="auto"/>
              </w:rPr>
            </w:pPr>
            <w:r>
              <w:rPr>
                <w:rFonts w:ascii="Times New Roman" w:cs="Times New Roman" w:eastAsia="Times New Roman" w:hAnsi="Times New Roman"/>
                <w:sz w:val="18"/>
                <w:szCs w:val="18"/>
                <w:color w:val="auto"/>
              </w:rPr>
              <w:t>Amount of cash and Cash Equivalents maintained by Borrower and its Subsidiaries and</w:t>
            </w:r>
          </w:p>
        </w:tc>
        <w:tc>
          <w:tcPr>
            <w:tcW w:w="80" w:type="dxa"/>
            <w:vAlign w:val="bottom"/>
          </w:tcPr>
          <w:p>
            <w:pPr>
              <w:spacing w:after="0"/>
              <w:rPr>
                <w:sz w:val="17"/>
                <w:szCs w:val="17"/>
                <w:color w:val="auto"/>
              </w:rPr>
            </w:pPr>
          </w:p>
        </w:tc>
        <w:tc>
          <w:tcPr>
            <w:tcW w:w="3920" w:type="dxa"/>
            <w:vAlign w:val="bottom"/>
            <w:tcBorders>
              <w:right w:val="single" w:sz="8" w:color="auto"/>
            </w:tcBorders>
            <w:gridSpan w:val="9"/>
          </w:tcPr>
          <w:p>
            <w:pPr>
              <w:spacing w:after="0" w:line="205" w:lineRule="exact"/>
              <w:rPr>
                <w:sz w:val="20"/>
                <w:szCs w:val="20"/>
                <w:color w:val="auto"/>
              </w:rPr>
            </w:pPr>
            <w:r>
              <w:rPr>
                <w:rFonts w:ascii="Times New Roman" w:cs="Times New Roman" w:eastAsia="Times New Roman" w:hAnsi="Times New Roman"/>
                <w:sz w:val="18"/>
                <w:szCs w:val="18"/>
                <w:color w:val="auto"/>
              </w:rPr>
              <w:t>$_______________ (A. Total)</w:t>
            </w:r>
          </w:p>
        </w:tc>
      </w:tr>
      <w:tr>
        <w:trPr>
          <w:trHeight w:val="234"/>
        </w:trPr>
        <w:tc>
          <w:tcPr>
            <w:tcW w:w="62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54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Guarantors in all accounts with Bank and Bank’s Affiliates* at month end.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r>
      <w:tr>
        <w:trPr>
          <w:trHeight w:val="439"/>
        </w:trPr>
        <w:tc>
          <w:tcPr>
            <w:tcW w:w="620" w:type="dxa"/>
            <w:vAlign w:val="bottom"/>
            <w:tcBorders>
              <w:left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540" w:type="dxa"/>
            <w:vAlign w:val="bottom"/>
            <w:tcBorders>
              <w:bottom w:val="single" w:sz="8" w:color="auto"/>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 Include any amounts held in securities accounts through:</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r>
      <w:tr>
        <w:trPr>
          <w:trHeight w:val="189"/>
        </w:trPr>
        <w:tc>
          <w:tcPr>
            <w:tcW w:w="620" w:type="dxa"/>
            <w:vAlign w:val="bottom"/>
            <w:tcBorders>
              <w:left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SVB Asset Management (SAM)</w:t>
            </w:r>
          </w:p>
        </w:tc>
        <w:tc>
          <w:tcPr>
            <w:tcW w:w="28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gridSpan w:val="5"/>
          </w:tcPr>
          <w:p>
            <w:pPr>
              <w:ind w:left="80"/>
              <w:spacing w:after="0" w:line="189" w:lineRule="exact"/>
              <w:rPr>
                <w:sz w:val="20"/>
                <w:szCs w:val="20"/>
                <w:color w:val="auto"/>
              </w:rPr>
            </w:pPr>
            <w:r>
              <w:rPr>
                <w:rFonts w:ascii="Times New Roman" w:cs="Times New Roman" w:eastAsia="Times New Roman" w:hAnsi="Times New Roman"/>
                <w:sz w:val="18"/>
                <w:szCs w:val="18"/>
                <w:b w:val="1"/>
                <w:bCs w:val="1"/>
                <w:color w:val="auto"/>
              </w:rPr>
              <w:t>Account Number</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62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28"/>
        </w:trPr>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0" w:type="dxa"/>
            <w:vAlign w:val="bottom"/>
            <w:gridSpan w:val="8"/>
          </w:tcPr>
          <w:p>
            <w:pPr>
              <w:jc w:val="center"/>
              <w:ind w:right="3200"/>
              <w:spacing w:after="0"/>
              <w:rPr>
                <w:sz w:val="20"/>
                <w:szCs w:val="20"/>
                <w:color w:val="auto"/>
              </w:rPr>
            </w:pPr>
            <w:r>
              <w:rPr>
                <w:rFonts w:ascii="Times New Roman" w:cs="Times New Roman" w:eastAsia="Times New Roman" w:hAnsi="Times New Roman"/>
                <w:sz w:val="18"/>
                <w:szCs w:val="18"/>
                <w:color w:val="auto"/>
                <w:w w:val="99"/>
              </w:rPr>
              <w:t>A-1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379"/>
        </w:trPr>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5" w:name="page146"/>
    <w:bookmarkEnd w:id="145"/>
    <w:tbl>
      <w:tblPr>
        <w:tblLayout w:type="fixed"/>
        <w:tblInd w:w="10" w:type="dxa"/>
        <w:tblCellMar>
          <w:top w:w="0" w:type="dxa"/>
          <w:left w:w="0" w:type="dxa"/>
          <w:bottom w:w="0" w:type="dxa"/>
          <w:right w:w="0" w:type="dxa"/>
        </w:tblCellMar>
      </w:tblPr>
      <w:tr>
        <w:trPr>
          <w:trHeight w:val="260"/>
        </w:trPr>
        <w:tc>
          <w:tcPr>
            <w:tcW w:w="620" w:type="dxa"/>
            <w:vAlign w:val="bottom"/>
            <w:tcBorders>
              <w:top w:val="single" w:sz="8" w:color="auto"/>
              <w:left w:val="single" w:sz="8" w:color="auto"/>
              <w:right w:val="single" w:sz="8" w:color="auto"/>
            </w:tcBorders>
          </w:tcPr>
          <w:p>
            <w:pPr>
              <w:spacing w:after="0"/>
              <w:rPr>
                <w:sz w:val="22"/>
                <w:szCs w:val="22"/>
                <w:color w:val="auto"/>
              </w:rPr>
            </w:pPr>
          </w:p>
        </w:tc>
        <w:tc>
          <w:tcPr>
            <w:tcW w:w="4420" w:type="dxa"/>
            <w:vAlign w:val="bottom"/>
            <w:tcBorders>
              <w:top w:val="single" w:sz="8" w:color="auto"/>
              <w:right w:val="single" w:sz="8" w:color="auto"/>
            </w:tcBorders>
          </w:tcPr>
          <w:p>
            <w:pPr>
              <w:spacing w:after="0"/>
              <w:rPr>
                <w:sz w:val="22"/>
                <w:szCs w:val="22"/>
                <w:color w:val="auto"/>
              </w:rPr>
            </w:pPr>
          </w:p>
        </w:tc>
        <w:tc>
          <w:tcPr>
            <w:tcW w:w="2200" w:type="dxa"/>
            <w:vAlign w:val="bottom"/>
            <w:tcBorders>
              <w:top w:val="single" w:sz="8" w:color="auto"/>
              <w:bottom w:val="single" w:sz="8" w:color="auto"/>
            </w:tcBorders>
          </w:tcPr>
          <w:p>
            <w:pPr>
              <w:spacing w:after="0"/>
              <w:rPr>
                <w:sz w:val="22"/>
                <w:szCs w:val="22"/>
                <w:color w:val="auto"/>
              </w:rPr>
            </w:pPr>
          </w:p>
        </w:tc>
        <w:tc>
          <w:tcPr>
            <w:tcW w:w="230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tcPr>
          <w:p>
            <w:pPr>
              <w:spacing w:after="0"/>
              <w:rPr>
                <w:sz w:val="22"/>
                <w:szCs w:val="22"/>
                <w:color w:val="auto"/>
              </w:rPr>
            </w:pPr>
          </w:p>
        </w:tc>
      </w:tr>
      <w:tr>
        <w:trPr>
          <w:trHeight w:val="191"/>
        </w:trPr>
        <w:tc>
          <w:tcPr>
            <w:tcW w:w="620" w:type="dxa"/>
            <w:vAlign w:val="bottom"/>
            <w:tcBorders>
              <w:left w:val="single" w:sz="8" w:color="auto"/>
              <w:right w:val="single" w:sz="8" w:color="auto"/>
            </w:tcBorders>
          </w:tcPr>
          <w:p>
            <w:pPr>
              <w:spacing w:after="0"/>
              <w:rPr>
                <w:sz w:val="16"/>
                <w:szCs w:val="16"/>
                <w:color w:val="auto"/>
              </w:rPr>
            </w:pPr>
          </w:p>
        </w:tc>
        <w:tc>
          <w:tcPr>
            <w:tcW w:w="4420" w:type="dxa"/>
            <w:vAlign w:val="bottom"/>
            <w:tcBorders>
              <w:right w:val="single" w:sz="8" w:color="auto"/>
            </w:tcBorders>
          </w:tcPr>
          <w:p>
            <w:pPr>
              <w:spacing w:after="0"/>
              <w:rPr>
                <w:sz w:val="16"/>
                <w:szCs w:val="16"/>
                <w:color w:val="auto"/>
              </w:rPr>
            </w:pPr>
          </w:p>
        </w:tc>
        <w:tc>
          <w:tcPr>
            <w:tcW w:w="2200" w:type="dxa"/>
            <w:vAlign w:val="bottom"/>
          </w:tcPr>
          <w:p>
            <w:pPr>
              <w:jc w:val="right"/>
              <w:ind w:right="670"/>
              <w:spacing w:after="0" w:line="191" w:lineRule="exact"/>
              <w:rPr>
                <w:sz w:val="20"/>
                <w:szCs w:val="20"/>
                <w:color w:val="auto"/>
              </w:rPr>
            </w:pPr>
            <w:r>
              <w:rPr>
                <w:rFonts w:ascii="Times New Roman" w:cs="Times New Roman" w:eastAsia="Times New Roman" w:hAnsi="Times New Roman"/>
                <w:sz w:val="18"/>
                <w:szCs w:val="18"/>
                <w:color w:val="auto"/>
              </w:rPr>
              <w:t>_______________</w:t>
            </w:r>
          </w:p>
        </w:tc>
        <w:tc>
          <w:tcPr>
            <w:tcW w:w="23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$_______________</w:t>
            </w:r>
          </w:p>
        </w:tc>
        <w:tc>
          <w:tcPr>
            <w:tcW w:w="17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8"/>
              </w:rPr>
              <w:t>FORMCHECKBO</w:t>
            </w: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18"/>
                <w:szCs w:val="18"/>
                <w:color w:val="auto"/>
              </w:rPr>
            </w:pPr>
          </w:p>
        </w:tc>
        <w:tc>
          <w:tcPr>
            <w:tcW w:w="22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1700" w:type="dxa"/>
            <w:vAlign w:val="bottom"/>
          </w:tcPr>
          <w:p>
            <w:pPr>
              <w:ind w:left="540"/>
              <w:spacing w:after="0"/>
              <w:rPr>
                <w:sz w:val="20"/>
                <w:szCs w:val="20"/>
                <w:color w:val="auto"/>
              </w:rPr>
            </w:pPr>
            <w:r>
              <w:rPr>
                <w:rFonts w:ascii="Arial" w:cs="Arial" w:eastAsia="Arial" w:hAnsi="Arial"/>
                <w:sz w:val="18"/>
                <w:szCs w:val="18"/>
                <w:b w:val="1"/>
                <w:bCs w:val="1"/>
                <w:color w:val="auto"/>
              </w:rPr>
              <w:t xml:space="preserve">X </w:t>
            </w:r>
            <w:r>
              <w:rPr>
                <w:rFonts w:ascii="Times New Roman" w:cs="Times New Roman" w:eastAsia="Times New Roman" w:hAnsi="Times New Roman"/>
                <w:sz w:val="18"/>
                <w:szCs w:val="18"/>
                <w:color w:val="auto"/>
              </w:rPr>
              <w:t>Yes</w:t>
            </w:r>
          </w:p>
        </w:tc>
      </w:tr>
      <w:tr>
        <w:trPr>
          <w:trHeight w:val="203"/>
        </w:trPr>
        <w:tc>
          <w:tcPr>
            <w:tcW w:w="620" w:type="dxa"/>
            <w:vAlign w:val="bottom"/>
            <w:tcBorders>
              <w:left w:val="single" w:sz="8" w:color="auto"/>
              <w:right w:val="single" w:sz="8" w:color="auto"/>
            </w:tcBorders>
          </w:tcPr>
          <w:p>
            <w:pPr>
              <w:spacing w:after="0"/>
              <w:rPr>
                <w:sz w:val="17"/>
                <w:szCs w:val="17"/>
                <w:color w:val="auto"/>
              </w:rPr>
            </w:pPr>
          </w:p>
        </w:tc>
        <w:tc>
          <w:tcPr>
            <w:tcW w:w="4420" w:type="dxa"/>
            <w:vAlign w:val="bottom"/>
            <w:tcBorders>
              <w:righ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17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FORMCHECKBO</w:t>
            </w:r>
          </w:p>
        </w:tc>
      </w:tr>
      <w:tr>
        <w:trPr>
          <w:trHeight w:val="248"/>
        </w:trPr>
        <w:tc>
          <w:tcPr>
            <w:tcW w:w="620" w:type="dxa"/>
            <w:vAlign w:val="bottom"/>
            <w:tcBorders>
              <w:left w:val="single" w:sz="8" w:color="auto"/>
              <w:right w:val="single" w:sz="8" w:color="auto"/>
            </w:tcBorders>
          </w:tcPr>
          <w:p>
            <w:pPr>
              <w:spacing w:after="0"/>
              <w:rPr>
                <w:sz w:val="21"/>
                <w:szCs w:val="21"/>
                <w:color w:val="auto"/>
              </w:rPr>
            </w:pPr>
          </w:p>
        </w:tc>
        <w:tc>
          <w:tcPr>
            <w:tcW w:w="4420" w:type="dxa"/>
            <w:vAlign w:val="bottom"/>
            <w:tcBorders>
              <w:right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 xml:space="preserve">X </w:t>
            </w:r>
            <w:r>
              <w:rPr>
                <w:rFonts w:ascii="Times New Roman" w:cs="Times New Roman" w:eastAsia="Times New Roman" w:hAnsi="Times New Roman"/>
                <w:sz w:val="18"/>
                <w:szCs w:val="18"/>
                <w:color w:val="auto"/>
              </w:rPr>
              <w:t>No</w:t>
            </w:r>
          </w:p>
        </w:tc>
      </w:tr>
      <w:tr>
        <w:trPr>
          <w:trHeight w:val="191"/>
        </w:trPr>
        <w:tc>
          <w:tcPr>
            <w:tcW w:w="620" w:type="dxa"/>
            <w:vAlign w:val="bottom"/>
            <w:tcBorders>
              <w:left w:val="single" w:sz="8" w:color="auto"/>
              <w:right w:val="single" w:sz="8" w:color="auto"/>
            </w:tcBorders>
          </w:tcPr>
          <w:p>
            <w:pPr>
              <w:spacing w:after="0"/>
              <w:rPr>
                <w:sz w:val="16"/>
                <w:szCs w:val="16"/>
                <w:color w:val="auto"/>
              </w:rPr>
            </w:pPr>
          </w:p>
        </w:tc>
        <w:tc>
          <w:tcPr>
            <w:tcW w:w="4420" w:type="dxa"/>
            <w:vAlign w:val="bottom"/>
            <w:tcBorders>
              <w:right w:val="single" w:sz="8" w:color="auto"/>
            </w:tcBorders>
          </w:tcPr>
          <w:p>
            <w:pPr>
              <w:spacing w:after="0"/>
              <w:rPr>
                <w:sz w:val="16"/>
                <w:szCs w:val="16"/>
                <w:color w:val="auto"/>
              </w:rPr>
            </w:pPr>
          </w:p>
        </w:tc>
        <w:tc>
          <w:tcPr>
            <w:tcW w:w="2200" w:type="dxa"/>
            <w:vAlign w:val="bottom"/>
          </w:tcPr>
          <w:p>
            <w:pPr>
              <w:jc w:val="right"/>
              <w:ind w:right="670"/>
              <w:spacing w:after="0" w:line="191" w:lineRule="exact"/>
              <w:rPr>
                <w:sz w:val="20"/>
                <w:szCs w:val="20"/>
                <w:color w:val="auto"/>
              </w:rPr>
            </w:pPr>
            <w:r>
              <w:rPr>
                <w:rFonts w:ascii="Times New Roman" w:cs="Times New Roman" w:eastAsia="Times New Roman" w:hAnsi="Times New Roman"/>
                <w:sz w:val="18"/>
                <w:szCs w:val="18"/>
                <w:color w:val="auto"/>
              </w:rPr>
              <w:t>_______________</w:t>
            </w:r>
          </w:p>
        </w:tc>
        <w:tc>
          <w:tcPr>
            <w:tcW w:w="23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$_______________</w:t>
            </w:r>
          </w:p>
        </w:tc>
        <w:tc>
          <w:tcPr>
            <w:tcW w:w="17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8"/>
              </w:rPr>
              <w:t>FORMCHECKBO</w:t>
            </w: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18"/>
                <w:szCs w:val="18"/>
                <w:color w:val="auto"/>
              </w:rPr>
            </w:pPr>
          </w:p>
        </w:tc>
        <w:tc>
          <w:tcPr>
            <w:tcW w:w="220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1700" w:type="dxa"/>
            <w:vAlign w:val="bottom"/>
          </w:tcPr>
          <w:p>
            <w:pPr>
              <w:ind w:left="540"/>
              <w:spacing w:after="0"/>
              <w:rPr>
                <w:sz w:val="20"/>
                <w:szCs w:val="20"/>
                <w:color w:val="auto"/>
              </w:rPr>
            </w:pPr>
            <w:r>
              <w:rPr>
                <w:rFonts w:ascii="Arial" w:cs="Arial" w:eastAsia="Arial" w:hAnsi="Arial"/>
                <w:sz w:val="18"/>
                <w:szCs w:val="18"/>
                <w:b w:val="1"/>
                <w:bCs w:val="1"/>
                <w:color w:val="auto"/>
              </w:rPr>
              <w:t xml:space="preserve">X </w:t>
            </w:r>
            <w:r>
              <w:rPr>
                <w:rFonts w:ascii="Times New Roman" w:cs="Times New Roman" w:eastAsia="Times New Roman" w:hAnsi="Times New Roman"/>
                <w:sz w:val="18"/>
                <w:szCs w:val="18"/>
                <w:color w:val="auto"/>
              </w:rPr>
              <w:t>Yes</w:t>
            </w:r>
          </w:p>
        </w:tc>
      </w:tr>
      <w:tr>
        <w:trPr>
          <w:trHeight w:val="203"/>
        </w:trPr>
        <w:tc>
          <w:tcPr>
            <w:tcW w:w="620" w:type="dxa"/>
            <w:vAlign w:val="bottom"/>
            <w:tcBorders>
              <w:left w:val="single" w:sz="8" w:color="auto"/>
              <w:right w:val="single" w:sz="8" w:color="auto"/>
            </w:tcBorders>
          </w:tcPr>
          <w:p>
            <w:pPr>
              <w:spacing w:after="0"/>
              <w:rPr>
                <w:sz w:val="17"/>
                <w:szCs w:val="17"/>
                <w:color w:val="auto"/>
              </w:rPr>
            </w:pPr>
          </w:p>
        </w:tc>
        <w:tc>
          <w:tcPr>
            <w:tcW w:w="4420" w:type="dxa"/>
            <w:vAlign w:val="bottom"/>
            <w:tcBorders>
              <w:right w:val="single" w:sz="8" w:color="auto"/>
            </w:tcBorders>
          </w:tcPr>
          <w:p>
            <w:pPr>
              <w:spacing w:after="0"/>
              <w:rPr>
                <w:sz w:val="17"/>
                <w:szCs w:val="17"/>
                <w:color w:val="auto"/>
              </w:rPr>
            </w:pPr>
          </w:p>
        </w:tc>
        <w:tc>
          <w:tcPr>
            <w:tcW w:w="2200" w:type="dxa"/>
            <w:vAlign w:val="bottom"/>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17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FORMCHECKBO</w:t>
            </w:r>
          </w:p>
        </w:tc>
      </w:tr>
      <w:tr>
        <w:trPr>
          <w:trHeight w:val="265"/>
        </w:trPr>
        <w:tc>
          <w:tcPr>
            <w:tcW w:w="620" w:type="dxa"/>
            <w:vAlign w:val="bottom"/>
            <w:tcBorders>
              <w:left w:val="single" w:sz="8" w:color="auto"/>
              <w:bottom w:val="single" w:sz="8" w:color="auto"/>
              <w:right w:val="single" w:sz="8" w:color="auto"/>
            </w:tcBorders>
          </w:tcPr>
          <w:p>
            <w:pPr>
              <w:spacing w:after="0"/>
              <w:rPr>
                <w:sz w:val="23"/>
                <w:szCs w:val="23"/>
                <w:color w:val="auto"/>
              </w:rPr>
            </w:pPr>
          </w:p>
        </w:tc>
        <w:tc>
          <w:tcPr>
            <w:tcW w:w="4420" w:type="dxa"/>
            <w:vAlign w:val="bottom"/>
            <w:tcBorders>
              <w:bottom w:val="single" w:sz="8" w:color="auto"/>
              <w:right w:val="single" w:sz="8" w:color="auto"/>
            </w:tcBorders>
          </w:tcPr>
          <w:p>
            <w:pPr>
              <w:spacing w:after="0"/>
              <w:rPr>
                <w:sz w:val="23"/>
                <w:szCs w:val="23"/>
                <w:color w:val="auto"/>
              </w:rPr>
            </w:pPr>
          </w:p>
        </w:tc>
        <w:tc>
          <w:tcPr>
            <w:tcW w:w="2200" w:type="dxa"/>
            <w:vAlign w:val="bottom"/>
            <w:tcBorders>
              <w:bottom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spacing w:after="0"/>
              <w:rPr>
                <w:sz w:val="23"/>
                <w:szCs w:val="23"/>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 xml:space="preserve">X </w:t>
            </w:r>
            <w:r>
              <w:rPr>
                <w:rFonts w:ascii="Times New Roman" w:cs="Times New Roman" w:eastAsia="Times New Roman" w:hAnsi="Times New Roman"/>
                <w:sz w:val="18"/>
                <w:szCs w:val="18"/>
                <w:color w:val="auto"/>
              </w:rPr>
              <w:t>No</w:t>
            </w:r>
          </w:p>
        </w:tc>
      </w:tr>
      <w:tr>
        <w:trPr>
          <w:trHeight w:val="188"/>
        </w:trPr>
        <w:tc>
          <w:tcPr>
            <w:tcW w:w="62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B.</w:t>
            </w:r>
          </w:p>
        </w:tc>
        <w:tc>
          <w:tcPr>
            <w:tcW w:w="662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color w:val="auto"/>
              </w:rPr>
              <w:t>Amount of cash and Cash Equivalents maintained by Borrower and its Subsidiaries and</w:t>
            </w:r>
          </w:p>
        </w:tc>
        <w:tc>
          <w:tcPr>
            <w:tcW w:w="230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w w:val="98"/>
              </w:rPr>
              <w:t>$_______________ (B. Total)</w:t>
            </w:r>
          </w:p>
        </w:tc>
        <w:tc>
          <w:tcPr>
            <w:tcW w:w="1700" w:type="dxa"/>
            <w:vAlign w:val="bottom"/>
          </w:tcPr>
          <w:p>
            <w:pPr>
              <w:spacing w:after="0"/>
              <w:rPr>
                <w:sz w:val="16"/>
                <w:szCs w:val="16"/>
                <w:color w:val="auto"/>
              </w:rPr>
            </w:pPr>
          </w:p>
        </w:tc>
      </w:tr>
      <w:tr>
        <w:trPr>
          <w:trHeight w:val="216"/>
        </w:trPr>
        <w:tc>
          <w:tcPr>
            <w:tcW w:w="6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Guarantors in accounts with a financial institution other than Bank and Bank’s Affiliates</w:t>
            </w:r>
          </w:p>
        </w:tc>
        <w:tc>
          <w:tcPr>
            <w:tcW w:w="23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4"/>
        </w:trPr>
        <w:tc>
          <w:tcPr>
            <w:tcW w:w="620" w:type="dxa"/>
            <w:vAlign w:val="bottom"/>
          </w:tcPr>
          <w:p>
            <w:pPr>
              <w:spacing w:after="0"/>
              <w:rPr>
                <w:sz w:val="20"/>
                <w:szCs w:val="20"/>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at month end.</w:t>
            </w:r>
          </w:p>
        </w:tc>
        <w:tc>
          <w:tcPr>
            <w:tcW w:w="230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-429895</wp:posOffset>
            </wp:positionV>
            <wp:extent cx="8255" cy="52400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8255"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-429895</wp:posOffset>
            </wp:positionV>
            <wp:extent cx="8890" cy="52400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-1705610</wp:posOffset>
            </wp:positionV>
            <wp:extent cx="8255" cy="6515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8255" cy="6515100"/>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-1705610</wp:posOffset>
            </wp:positionV>
            <wp:extent cx="8255" cy="6515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8255" cy="6515100"/>
                    </a:xfrm>
                    <a:prstGeom prst="rect">
                      <a:avLst/>
                    </a:prstGeom>
                    <a:noFill/>
                  </pic:spPr>
                </pic:pic>
              </a:graphicData>
            </a:graphic>
          </wp:anchor>
        </w:drawing>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Complete a line below for each financial institution and/or account: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320" w:type="dxa"/>
            <w:vAlign w:val="bottom"/>
            <w:tcBorders>
              <w:top w:val="single" w:sz="8" w:color="auto"/>
              <w:right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Institution</w:t>
            </w:r>
          </w:p>
        </w:tc>
        <w:tc>
          <w:tcPr>
            <w:tcW w:w="2200" w:type="dxa"/>
            <w:vAlign w:val="bottom"/>
            <w:tcBorders>
              <w:top w:val="single" w:sz="8" w:color="auto"/>
            </w:tcBorders>
            <w:gridSpan w:val="3"/>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Account Number</w:t>
            </w:r>
          </w:p>
        </w:tc>
        <w:tc>
          <w:tcPr>
            <w:tcW w:w="23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r>
      <w:tr>
        <w:trPr>
          <w:trHeight w:val="250"/>
        </w:trPr>
        <w:tc>
          <w:tcPr>
            <w:tcW w:w="6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r>
      <w:tr>
        <w:trPr>
          <w:trHeight w:val="191"/>
        </w:trPr>
        <w:tc>
          <w:tcPr>
            <w:tcW w:w="600" w:type="dxa"/>
            <w:vAlign w:val="bottom"/>
          </w:tcPr>
          <w:p>
            <w:pPr>
              <w:spacing w:after="0"/>
              <w:rPr>
                <w:sz w:val="16"/>
                <w:szCs w:val="16"/>
                <w:color w:val="auto"/>
              </w:rPr>
            </w:pPr>
          </w:p>
        </w:tc>
        <w:tc>
          <w:tcPr>
            <w:tcW w:w="4440" w:type="dxa"/>
            <w:vAlign w:val="bottom"/>
            <w:tcBorders>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__________________________</w:t>
            </w:r>
          </w:p>
        </w:tc>
        <w:tc>
          <w:tcPr>
            <w:tcW w:w="2200" w:type="dxa"/>
            <w:vAlign w:val="bottom"/>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_______________</w:t>
            </w:r>
          </w:p>
        </w:tc>
        <w:tc>
          <w:tcPr>
            <w:tcW w:w="23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$_______________</w:t>
            </w:r>
          </w:p>
        </w:tc>
        <w:tc>
          <w:tcPr>
            <w:tcW w:w="170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FORMCHECKBO</w:t>
            </w:r>
          </w:p>
        </w:tc>
      </w:tr>
      <w:tr>
        <w:trPr>
          <w:trHeight w:val="216"/>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1700" w:type="dxa"/>
            <w:vAlign w:val="bottom"/>
          </w:tcPr>
          <w:p>
            <w:pPr>
              <w:ind w:left="100"/>
              <w:spacing w:after="0"/>
              <w:rPr>
                <w:sz w:val="20"/>
                <w:szCs w:val="20"/>
                <w:color w:val="auto"/>
              </w:rPr>
            </w:pPr>
            <w:r>
              <w:rPr>
                <w:rFonts w:ascii="Arial" w:cs="Arial" w:eastAsia="Arial" w:hAnsi="Arial"/>
                <w:sz w:val="18"/>
                <w:szCs w:val="18"/>
                <w:b w:val="1"/>
                <w:bCs w:val="1"/>
                <w:color w:val="auto"/>
              </w:rPr>
              <w:t xml:space="preserve">X </w:t>
            </w:r>
            <w:r>
              <w:rPr>
                <w:rFonts w:ascii="Times New Roman" w:cs="Times New Roman" w:eastAsia="Times New Roman" w:hAnsi="Times New Roman"/>
                <w:sz w:val="18"/>
                <w:szCs w:val="18"/>
                <w:color w:val="auto"/>
              </w:rPr>
              <w:t>Yes</w:t>
            </w:r>
          </w:p>
        </w:tc>
      </w:tr>
      <w:tr>
        <w:trPr>
          <w:trHeight w:val="203"/>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17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FORMCHECKBO</w:t>
            </w:r>
          </w:p>
        </w:tc>
      </w:tr>
      <w:tr>
        <w:trPr>
          <w:trHeight w:val="248"/>
        </w:trPr>
        <w:tc>
          <w:tcPr>
            <w:tcW w:w="6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 xml:space="preserve">X </w:t>
            </w:r>
            <w:r>
              <w:rPr>
                <w:rFonts w:ascii="Times New Roman" w:cs="Times New Roman" w:eastAsia="Times New Roman" w:hAnsi="Times New Roman"/>
                <w:sz w:val="18"/>
                <w:szCs w:val="18"/>
                <w:color w:val="auto"/>
              </w:rPr>
              <w:t>No</w:t>
            </w:r>
          </w:p>
        </w:tc>
      </w:tr>
      <w:tr>
        <w:trPr>
          <w:trHeight w:val="191"/>
        </w:trPr>
        <w:tc>
          <w:tcPr>
            <w:tcW w:w="600" w:type="dxa"/>
            <w:vAlign w:val="bottom"/>
          </w:tcPr>
          <w:p>
            <w:pPr>
              <w:spacing w:after="0"/>
              <w:rPr>
                <w:sz w:val="16"/>
                <w:szCs w:val="16"/>
                <w:color w:val="auto"/>
              </w:rPr>
            </w:pPr>
          </w:p>
        </w:tc>
        <w:tc>
          <w:tcPr>
            <w:tcW w:w="4440" w:type="dxa"/>
            <w:vAlign w:val="bottom"/>
            <w:tcBorders>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__________________________</w:t>
            </w:r>
          </w:p>
        </w:tc>
        <w:tc>
          <w:tcPr>
            <w:tcW w:w="2200" w:type="dxa"/>
            <w:vAlign w:val="bottom"/>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_______________</w:t>
            </w:r>
          </w:p>
        </w:tc>
        <w:tc>
          <w:tcPr>
            <w:tcW w:w="23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$_______________</w:t>
            </w:r>
          </w:p>
        </w:tc>
        <w:tc>
          <w:tcPr>
            <w:tcW w:w="170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FORMCHECKBO</w:t>
            </w:r>
          </w:p>
        </w:tc>
      </w:tr>
      <w:tr>
        <w:trPr>
          <w:trHeight w:val="216"/>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1700" w:type="dxa"/>
            <w:vAlign w:val="bottom"/>
          </w:tcPr>
          <w:p>
            <w:pPr>
              <w:ind w:left="100"/>
              <w:spacing w:after="0"/>
              <w:rPr>
                <w:sz w:val="20"/>
                <w:szCs w:val="20"/>
                <w:color w:val="auto"/>
              </w:rPr>
            </w:pPr>
            <w:r>
              <w:rPr>
                <w:rFonts w:ascii="Arial" w:cs="Arial" w:eastAsia="Arial" w:hAnsi="Arial"/>
                <w:sz w:val="18"/>
                <w:szCs w:val="18"/>
                <w:b w:val="1"/>
                <w:bCs w:val="1"/>
                <w:color w:val="auto"/>
              </w:rPr>
              <w:t xml:space="preserve">X </w:t>
            </w:r>
            <w:r>
              <w:rPr>
                <w:rFonts w:ascii="Times New Roman" w:cs="Times New Roman" w:eastAsia="Times New Roman" w:hAnsi="Times New Roman"/>
                <w:sz w:val="18"/>
                <w:szCs w:val="18"/>
                <w:color w:val="auto"/>
              </w:rPr>
              <w:t>Yes</w:t>
            </w:r>
          </w:p>
        </w:tc>
      </w:tr>
      <w:tr>
        <w:trPr>
          <w:trHeight w:val="203"/>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17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FORMCHECKBO</w:t>
            </w:r>
          </w:p>
        </w:tc>
      </w:tr>
      <w:tr>
        <w:trPr>
          <w:trHeight w:val="248"/>
        </w:trPr>
        <w:tc>
          <w:tcPr>
            <w:tcW w:w="6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 xml:space="preserve">X </w:t>
            </w:r>
            <w:r>
              <w:rPr>
                <w:rFonts w:ascii="Times New Roman" w:cs="Times New Roman" w:eastAsia="Times New Roman" w:hAnsi="Times New Roman"/>
                <w:sz w:val="18"/>
                <w:szCs w:val="18"/>
                <w:color w:val="auto"/>
              </w:rPr>
              <w:t>No</w:t>
            </w:r>
          </w:p>
        </w:tc>
      </w:tr>
      <w:tr>
        <w:trPr>
          <w:trHeight w:val="191"/>
        </w:trPr>
        <w:tc>
          <w:tcPr>
            <w:tcW w:w="600" w:type="dxa"/>
            <w:vAlign w:val="bottom"/>
          </w:tcPr>
          <w:p>
            <w:pPr>
              <w:spacing w:after="0"/>
              <w:rPr>
                <w:sz w:val="16"/>
                <w:szCs w:val="16"/>
                <w:color w:val="auto"/>
              </w:rPr>
            </w:pPr>
          </w:p>
        </w:tc>
        <w:tc>
          <w:tcPr>
            <w:tcW w:w="4440" w:type="dxa"/>
            <w:vAlign w:val="bottom"/>
            <w:tcBorders>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__________________________</w:t>
            </w:r>
          </w:p>
        </w:tc>
        <w:tc>
          <w:tcPr>
            <w:tcW w:w="2200" w:type="dxa"/>
            <w:vAlign w:val="bottom"/>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_______________</w:t>
            </w:r>
          </w:p>
        </w:tc>
        <w:tc>
          <w:tcPr>
            <w:tcW w:w="23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$_______________</w:t>
            </w:r>
          </w:p>
        </w:tc>
        <w:tc>
          <w:tcPr>
            <w:tcW w:w="170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FORMCHECKBO</w:t>
            </w:r>
          </w:p>
        </w:tc>
      </w:tr>
      <w:tr>
        <w:trPr>
          <w:trHeight w:val="216"/>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1700" w:type="dxa"/>
            <w:vAlign w:val="bottom"/>
          </w:tcPr>
          <w:p>
            <w:pPr>
              <w:ind w:left="100"/>
              <w:spacing w:after="0"/>
              <w:rPr>
                <w:sz w:val="20"/>
                <w:szCs w:val="20"/>
                <w:color w:val="auto"/>
              </w:rPr>
            </w:pPr>
            <w:r>
              <w:rPr>
                <w:rFonts w:ascii="Arial" w:cs="Arial" w:eastAsia="Arial" w:hAnsi="Arial"/>
                <w:sz w:val="18"/>
                <w:szCs w:val="18"/>
                <w:b w:val="1"/>
                <w:bCs w:val="1"/>
                <w:color w:val="auto"/>
              </w:rPr>
              <w:t xml:space="preserve">X </w:t>
            </w:r>
            <w:r>
              <w:rPr>
                <w:rFonts w:ascii="Times New Roman" w:cs="Times New Roman" w:eastAsia="Times New Roman" w:hAnsi="Times New Roman"/>
                <w:sz w:val="18"/>
                <w:szCs w:val="18"/>
                <w:color w:val="auto"/>
              </w:rPr>
              <w:t>Yes</w:t>
            </w:r>
          </w:p>
        </w:tc>
      </w:tr>
      <w:tr>
        <w:trPr>
          <w:trHeight w:val="203"/>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17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FORMCHECKBO</w:t>
            </w:r>
          </w:p>
        </w:tc>
      </w:tr>
      <w:tr>
        <w:trPr>
          <w:trHeight w:val="248"/>
        </w:trPr>
        <w:tc>
          <w:tcPr>
            <w:tcW w:w="6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 xml:space="preserve">X </w:t>
            </w:r>
            <w:r>
              <w:rPr>
                <w:rFonts w:ascii="Times New Roman" w:cs="Times New Roman" w:eastAsia="Times New Roman" w:hAnsi="Times New Roman"/>
                <w:sz w:val="18"/>
                <w:szCs w:val="18"/>
                <w:color w:val="auto"/>
              </w:rPr>
              <w:t>No</w:t>
            </w:r>
          </w:p>
        </w:tc>
      </w:tr>
      <w:tr>
        <w:trPr>
          <w:trHeight w:val="191"/>
        </w:trPr>
        <w:tc>
          <w:tcPr>
            <w:tcW w:w="600" w:type="dxa"/>
            <w:vAlign w:val="bottom"/>
          </w:tcPr>
          <w:p>
            <w:pPr>
              <w:spacing w:after="0"/>
              <w:rPr>
                <w:sz w:val="16"/>
                <w:szCs w:val="16"/>
                <w:color w:val="auto"/>
              </w:rPr>
            </w:pPr>
          </w:p>
        </w:tc>
        <w:tc>
          <w:tcPr>
            <w:tcW w:w="4440" w:type="dxa"/>
            <w:vAlign w:val="bottom"/>
            <w:tcBorders>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__________________________</w:t>
            </w:r>
          </w:p>
        </w:tc>
        <w:tc>
          <w:tcPr>
            <w:tcW w:w="2200" w:type="dxa"/>
            <w:vAlign w:val="bottom"/>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_______________</w:t>
            </w:r>
          </w:p>
        </w:tc>
        <w:tc>
          <w:tcPr>
            <w:tcW w:w="23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$_______________</w:t>
            </w:r>
          </w:p>
        </w:tc>
        <w:tc>
          <w:tcPr>
            <w:tcW w:w="170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FORMCHECKBO</w:t>
            </w:r>
          </w:p>
        </w:tc>
      </w:tr>
      <w:tr>
        <w:trPr>
          <w:trHeight w:val="216"/>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1700" w:type="dxa"/>
            <w:vAlign w:val="bottom"/>
          </w:tcPr>
          <w:p>
            <w:pPr>
              <w:ind w:left="100"/>
              <w:spacing w:after="0"/>
              <w:rPr>
                <w:sz w:val="20"/>
                <w:szCs w:val="20"/>
                <w:color w:val="auto"/>
              </w:rPr>
            </w:pPr>
            <w:r>
              <w:rPr>
                <w:rFonts w:ascii="Arial" w:cs="Arial" w:eastAsia="Arial" w:hAnsi="Arial"/>
                <w:sz w:val="18"/>
                <w:szCs w:val="18"/>
                <w:b w:val="1"/>
                <w:bCs w:val="1"/>
                <w:color w:val="auto"/>
              </w:rPr>
              <w:t xml:space="preserve">X </w:t>
            </w:r>
            <w:r>
              <w:rPr>
                <w:rFonts w:ascii="Times New Roman" w:cs="Times New Roman" w:eastAsia="Times New Roman" w:hAnsi="Times New Roman"/>
                <w:sz w:val="18"/>
                <w:szCs w:val="18"/>
                <w:color w:val="auto"/>
              </w:rPr>
              <w:t>Yes</w:t>
            </w:r>
          </w:p>
        </w:tc>
      </w:tr>
      <w:tr>
        <w:trPr>
          <w:trHeight w:val="203"/>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17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FORMCHECKBO</w:t>
            </w:r>
          </w:p>
        </w:tc>
      </w:tr>
      <w:tr>
        <w:trPr>
          <w:trHeight w:val="248"/>
        </w:trPr>
        <w:tc>
          <w:tcPr>
            <w:tcW w:w="6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 xml:space="preserve">X </w:t>
            </w:r>
            <w:r>
              <w:rPr>
                <w:rFonts w:ascii="Times New Roman" w:cs="Times New Roman" w:eastAsia="Times New Roman" w:hAnsi="Times New Roman"/>
                <w:sz w:val="18"/>
                <w:szCs w:val="18"/>
                <w:color w:val="auto"/>
              </w:rPr>
              <w:t>No</w:t>
            </w:r>
          </w:p>
        </w:tc>
      </w:tr>
      <w:tr>
        <w:trPr>
          <w:trHeight w:val="191"/>
        </w:trPr>
        <w:tc>
          <w:tcPr>
            <w:tcW w:w="600" w:type="dxa"/>
            <w:vAlign w:val="bottom"/>
          </w:tcPr>
          <w:p>
            <w:pPr>
              <w:spacing w:after="0"/>
              <w:rPr>
                <w:sz w:val="16"/>
                <w:szCs w:val="16"/>
                <w:color w:val="auto"/>
              </w:rPr>
            </w:pPr>
          </w:p>
        </w:tc>
        <w:tc>
          <w:tcPr>
            <w:tcW w:w="4440" w:type="dxa"/>
            <w:vAlign w:val="bottom"/>
            <w:tcBorders>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__________________________</w:t>
            </w:r>
          </w:p>
        </w:tc>
        <w:tc>
          <w:tcPr>
            <w:tcW w:w="2200" w:type="dxa"/>
            <w:vAlign w:val="bottom"/>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_______________</w:t>
            </w:r>
          </w:p>
        </w:tc>
        <w:tc>
          <w:tcPr>
            <w:tcW w:w="23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$_______________</w:t>
            </w:r>
          </w:p>
        </w:tc>
        <w:tc>
          <w:tcPr>
            <w:tcW w:w="170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FORMCHECKBO</w:t>
            </w:r>
          </w:p>
        </w:tc>
      </w:tr>
      <w:tr>
        <w:trPr>
          <w:trHeight w:val="216"/>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1700" w:type="dxa"/>
            <w:vAlign w:val="bottom"/>
          </w:tcPr>
          <w:p>
            <w:pPr>
              <w:ind w:left="100"/>
              <w:spacing w:after="0"/>
              <w:rPr>
                <w:sz w:val="20"/>
                <w:szCs w:val="20"/>
                <w:color w:val="auto"/>
              </w:rPr>
            </w:pPr>
            <w:r>
              <w:rPr>
                <w:rFonts w:ascii="Arial" w:cs="Arial" w:eastAsia="Arial" w:hAnsi="Arial"/>
                <w:sz w:val="18"/>
                <w:szCs w:val="18"/>
                <w:b w:val="1"/>
                <w:bCs w:val="1"/>
                <w:color w:val="auto"/>
              </w:rPr>
              <w:t xml:space="preserve">X </w:t>
            </w:r>
            <w:r>
              <w:rPr>
                <w:rFonts w:ascii="Times New Roman" w:cs="Times New Roman" w:eastAsia="Times New Roman" w:hAnsi="Times New Roman"/>
                <w:sz w:val="18"/>
                <w:szCs w:val="18"/>
                <w:color w:val="auto"/>
              </w:rPr>
              <w:t>Yes</w:t>
            </w:r>
          </w:p>
        </w:tc>
      </w:tr>
      <w:tr>
        <w:trPr>
          <w:trHeight w:val="203"/>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17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FORMCHECKBO</w:t>
            </w:r>
          </w:p>
        </w:tc>
      </w:tr>
      <w:tr>
        <w:trPr>
          <w:trHeight w:val="248"/>
        </w:trPr>
        <w:tc>
          <w:tcPr>
            <w:tcW w:w="6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 xml:space="preserve">X </w:t>
            </w:r>
            <w:r>
              <w:rPr>
                <w:rFonts w:ascii="Times New Roman" w:cs="Times New Roman" w:eastAsia="Times New Roman" w:hAnsi="Times New Roman"/>
                <w:sz w:val="18"/>
                <w:szCs w:val="18"/>
                <w:color w:val="auto"/>
              </w:rPr>
              <w:t>No</w:t>
            </w:r>
          </w:p>
        </w:tc>
      </w:tr>
      <w:tr>
        <w:trPr>
          <w:trHeight w:val="191"/>
        </w:trPr>
        <w:tc>
          <w:tcPr>
            <w:tcW w:w="600" w:type="dxa"/>
            <w:vAlign w:val="bottom"/>
          </w:tcPr>
          <w:p>
            <w:pPr>
              <w:spacing w:after="0"/>
              <w:rPr>
                <w:sz w:val="16"/>
                <w:szCs w:val="16"/>
                <w:color w:val="auto"/>
              </w:rPr>
            </w:pPr>
          </w:p>
        </w:tc>
        <w:tc>
          <w:tcPr>
            <w:tcW w:w="4440" w:type="dxa"/>
            <w:vAlign w:val="bottom"/>
            <w:tcBorders>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__________________________</w:t>
            </w:r>
          </w:p>
        </w:tc>
        <w:tc>
          <w:tcPr>
            <w:tcW w:w="2200" w:type="dxa"/>
            <w:vAlign w:val="bottom"/>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_______________</w:t>
            </w:r>
          </w:p>
        </w:tc>
        <w:tc>
          <w:tcPr>
            <w:tcW w:w="23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$_______________</w:t>
            </w:r>
          </w:p>
        </w:tc>
        <w:tc>
          <w:tcPr>
            <w:tcW w:w="170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FORMCHECKBO</w:t>
            </w:r>
          </w:p>
        </w:tc>
      </w:tr>
      <w:tr>
        <w:trPr>
          <w:trHeight w:val="216"/>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1700" w:type="dxa"/>
            <w:vAlign w:val="bottom"/>
          </w:tcPr>
          <w:p>
            <w:pPr>
              <w:ind w:left="100"/>
              <w:spacing w:after="0"/>
              <w:rPr>
                <w:sz w:val="20"/>
                <w:szCs w:val="20"/>
                <w:color w:val="auto"/>
              </w:rPr>
            </w:pPr>
            <w:r>
              <w:rPr>
                <w:rFonts w:ascii="Arial" w:cs="Arial" w:eastAsia="Arial" w:hAnsi="Arial"/>
                <w:sz w:val="18"/>
                <w:szCs w:val="18"/>
                <w:b w:val="1"/>
                <w:bCs w:val="1"/>
                <w:color w:val="auto"/>
              </w:rPr>
              <w:t xml:space="preserve">X </w:t>
            </w:r>
            <w:r>
              <w:rPr>
                <w:rFonts w:ascii="Times New Roman" w:cs="Times New Roman" w:eastAsia="Times New Roman" w:hAnsi="Times New Roman"/>
                <w:sz w:val="18"/>
                <w:szCs w:val="18"/>
                <w:color w:val="auto"/>
              </w:rPr>
              <w:t>Yes</w:t>
            </w:r>
          </w:p>
        </w:tc>
      </w:tr>
      <w:tr>
        <w:trPr>
          <w:trHeight w:val="203"/>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170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FORMCHECKBO</w:t>
            </w:r>
          </w:p>
        </w:tc>
      </w:tr>
      <w:tr>
        <w:trPr>
          <w:trHeight w:val="248"/>
        </w:trPr>
        <w:tc>
          <w:tcPr>
            <w:tcW w:w="6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 xml:space="preserve">X </w:t>
            </w:r>
            <w:r>
              <w:rPr>
                <w:rFonts w:ascii="Times New Roman" w:cs="Times New Roman" w:eastAsia="Times New Roman" w:hAnsi="Times New Roman"/>
                <w:sz w:val="18"/>
                <w:szCs w:val="18"/>
                <w:color w:val="auto"/>
              </w:rPr>
              <w:t>No</w:t>
            </w:r>
          </w:p>
        </w:tc>
      </w:tr>
      <w:tr>
        <w:trPr>
          <w:trHeight w:val="205"/>
        </w:trPr>
        <w:tc>
          <w:tcPr>
            <w:tcW w:w="7240" w:type="dxa"/>
            <w:vAlign w:val="bottom"/>
            <w:gridSpan w:val="7"/>
          </w:tcPr>
          <w:p>
            <w:pPr>
              <w:ind w:left="220"/>
              <w:spacing w:after="0" w:line="206" w:lineRule="exact"/>
              <w:rPr>
                <w:sz w:val="20"/>
                <w:szCs w:val="20"/>
                <w:color w:val="auto"/>
              </w:rPr>
            </w:pPr>
            <w:r>
              <w:rPr>
                <w:rFonts w:ascii="Times New Roman" w:cs="Times New Roman" w:eastAsia="Times New Roman" w:hAnsi="Times New Roman"/>
                <w:sz w:val="18"/>
                <w:szCs w:val="18"/>
                <w:color w:val="auto"/>
              </w:rPr>
              <w:t>C.    Total cash and Cash Equivalents of Borrower and its Subsidiaries and Guarantors (Line</w:t>
            </w:r>
          </w:p>
        </w:tc>
        <w:tc>
          <w:tcPr>
            <w:tcW w:w="2300" w:type="dxa"/>
            <w:vAlign w:val="bottom"/>
          </w:tcPr>
          <w:p>
            <w:pPr>
              <w:ind w:left="100"/>
              <w:spacing w:after="0" w:line="206" w:lineRule="exact"/>
              <w:rPr>
                <w:sz w:val="20"/>
                <w:szCs w:val="20"/>
                <w:color w:val="auto"/>
              </w:rPr>
            </w:pPr>
            <w:r>
              <w:rPr>
                <w:rFonts w:ascii="Times New Roman" w:cs="Times New Roman" w:eastAsia="Times New Roman" w:hAnsi="Times New Roman"/>
                <w:sz w:val="18"/>
                <w:szCs w:val="18"/>
                <w:color w:val="auto"/>
              </w:rPr>
              <w:t>$_______________</w:t>
            </w:r>
          </w:p>
        </w:tc>
        <w:tc>
          <w:tcPr>
            <w:tcW w:w="1700" w:type="dxa"/>
            <w:vAlign w:val="bottom"/>
          </w:tcPr>
          <w:p>
            <w:pPr>
              <w:spacing w:after="0"/>
              <w:rPr>
                <w:sz w:val="17"/>
                <w:szCs w:val="17"/>
                <w:color w:val="auto"/>
              </w:rPr>
            </w:pPr>
          </w:p>
        </w:tc>
      </w:tr>
      <w:tr>
        <w:trPr>
          <w:trHeight w:val="234"/>
        </w:trPr>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plus the aggregate of Line B)</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29"/>
        </w:trPr>
        <w:tc>
          <w:tcPr>
            <w:tcW w:w="720" w:type="dxa"/>
            <w:vAlign w:val="bottom"/>
            <w:tcBorders>
              <w:bottom w:val="single" w:sz="8" w:color="auto"/>
            </w:tcBorders>
            <w:gridSpan w:val="2"/>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2"/>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r>
      <w:tr>
        <w:trPr>
          <w:trHeight w:val="205"/>
        </w:trPr>
        <w:tc>
          <w:tcPr>
            <w:tcW w:w="7240" w:type="dxa"/>
            <w:vAlign w:val="bottom"/>
            <w:gridSpan w:val="7"/>
          </w:tcPr>
          <w:p>
            <w:pPr>
              <w:ind w:left="220"/>
              <w:spacing w:after="0" w:line="205" w:lineRule="exact"/>
              <w:rPr>
                <w:sz w:val="20"/>
                <w:szCs w:val="20"/>
                <w:color w:val="auto"/>
              </w:rPr>
            </w:pPr>
            <w:r>
              <w:rPr>
                <w:rFonts w:ascii="Times New Roman" w:cs="Times New Roman" w:eastAsia="Times New Roman" w:hAnsi="Times New Roman"/>
                <w:sz w:val="18"/>
                <w:szCs w:val="18"/>
                <w:color w:val="auto"/>
              </w:rPr>
              <w:t>D.    Percentage maintained with Bank and Bank’s Affiliates (Line A divided by Line C -</w:t>
            </w:r>
          </w:p>
        </w:tc>
        <w:tc>
          <w:tcPr>
            <w:tcW w:w="230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color w:val="auto"/>
              </w:rPr>
              <w:t>_______%</w:t>
            </w:r>
          </w:p>
        </w:tc>
        <w:tc>
          <w:tcPr>
            <w:tcW w:w="1700" w:type="dxa"/>
            <w:vAlign w:val="bottom"/>
          </w:tcPr>
          <w:p>
            <w:pPr>
              <w:spacing w:after="0"/>
              <w:rPr>
                <w:sz w:val="17"/>
                <w:szCs w:val="17"/>
                <w:color w:val="auto"/>
              </w:rPr>
            </w:pPr>
          </w:p>
        </w:tc>
      </w:tr>
      <w:tr>
        <w:trPr>
          <w:trHeight w:val="234"/>
        </w:trPr>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expressed as a percentage)</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30"/>
        </w:trPr>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r>
      <w:tr>
        <w:trPr>
          <w:trHeight w:val="228"/>
        </w:trPr>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A-2</w:t>
            </w:r>
          </w:p>
        </w:tc>
        <w:tc>
          <w:tcPr>
            <w:tcW w:w="23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1177"/>
        </w:trPr>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46" w:name="page147"/>
    <w:bookmarkEnd w:id="146"/>
    <w:tbl>
      <w:tblPr>
        <w:tblLayout w:type="fixed"/>
        <w:tblInd w:w="10" w:type="dxa"/>
        <w:tblCellMar>
          <w:top w:w="0" w:type="dxa"/>
          <w:left w:w="0" w:type="dxa"/>
          <w:bottom w:w="0" w:type="dxa"/>
          <w:right w:w="0" w:type="dxa"/>
        </w:tblCellMar>
      </w:tblPr>
      <w:tr>
        <w:trPr>
          <w:trHeight w:val="228"/>
        </w:trPr>
        <w:tc>
          <w:tcPr>
            <w:tcW w:w="620" w:type="dxa"/>
            <w:vAlign w:val="bottom"/>
            <w:tcBorders>
              <w:top w:val="single" w:sz="8" w:color="auto"/>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E.</w:t>
            </w:r>
          </w:p>
        </w:tc>
        <w:tc>
          <w:tcPr>
            <w:tcW w:w="66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Has Borrower maintained compliance with Section 5.9 of the Agreement (which</w:t>
            </w:r>
          </w:p>
        </w:tc>
        <w:tc>
          <w:tcPr>
            <w:tcW w:w="400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 xml:space="preserve">FORMCHECKBOX </w:t>
            </w:r>
            <w:r>
              <w:rPr>
                <w:rFonts w:ascii="Times New Roman" w:cs="Times New Roman" w:eastAsia="Times New Roman" w:hAnsi="Times New Roman"/>
                <w:sz w:val="18"/>
                <w:szCs w:val="18"/>
                <w:color w:val="auto"/>
              </w:rPr>
              <w:t>Yes</w:t>
            </w:r>
            <w:r>
              <w:rPr>
                <w:rFonts w:ascii="Arial" w:cs="Arial" w:eastAsia="Arial" w:hAnsi="Arial"/>
                <w:sz w:val="18"/>
                <w:szCs w:val="18"/>
                <w:b w:val="1"/>
                <w:bCs w:val="1"/>
                <w:color w:val="auto"/>
              </w:rPr>
              <w:t xml:space="preserve">   FORMCHECKBOX</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6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requires that at least 55% of the Dollar Equivalent value of cash and Cash Equivalents</w:t>
            </w:r>
          </w:p>
        </w:tc>
        <w:tc>
          <w:tcPr>
            <w:tcW w:w="40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6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 50% for a period of time not to exceed 3 Business Days) to be maintained with Bank</w:t>
            </w:r>
          </w:p>
        </w:tc>
        <w:tc>
          <w:tcPr>
            <w:tcW w:w="4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6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Bank’s Affiliates unless the Dollar Equivalent value of all of Borrower’s, any of its</w:t>
            </w:r>
          </w:p>
        </w:tc>
        <w:tc>
          <w:tcPr>
            <w:tcW w:w="4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6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Subsidiaries’ and any Guarantor’s cash and Cash Equivalents maintained at all financial</w:t>
            </w:r>
          </w:p>
        </w:tc>
        <w:tc>
          <w:tcPr>
            <w:tcW w:w="4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6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institutions is less than one hundred ten percent (110.0%) of all outstanding obligations</w:t>
            </w:r>
          </w:p>
        </w:tc>
        <w:tc>
          <w:tcPr>
            <w:tcW w:w="4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6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liabilities owing by Borrower to Bank, in which case, Borrower, any of its</w:t>
            </w:r>
          </w:p>
        </w:tc>
        <w:tc>
          <w:tcPr>
            <w:tcW w:w="4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6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Subsidiaries, and any Guarantor shall be required to maintain all of their operating</w:t>
            </w:r>
          </w:p>
        </w:tc>
        <w:tc>
          <w:tcPr>
            <w:tcW w:w="4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tcPr>
          <w:p>
            <w:pPr>
              <w:spacing w:after="0"/>
              <w:rPr>
                <w:sz w:val="18"/>
                <w:szCs w:val="18"/>
                <w:color w:val="auto"/>
              </w:rPr>
            </w:pPr>
          </w:p>
        </w:tc>
        <w:tc>
          <w:tcPr>
            <w:tcW w:w="6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accounts, securities accounts, depository accounts and excess cash with Bank or Bank’s</w:t>
            </w:r>
          </w:p>
        </w:tc>
        <w:tc>
          <w:tcPr>
            <w:tcW w:w="4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right w:val="single" w:sz="8" w:color="auto"/>
            </w:tcBorders>
          </w:tcPr>
          <w:p>
            <w:pPr>
              <w:spacing w:after="0"/>
              <w:rPr>
                <w:sz w:val="20"/>
                <w:szCs w:val="20"/>
                <w:color w:val="auto"/>
              </w:rPr>
            </w:pPr>
          </w:p>
        </w:tc>
        <w:tc>
          <w:tcPr>
            <w:tcW w:w="6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Affiliates)?</w:t>
            </w:r>
          </w:p>
        </w:tc>
        <w:tc>
          <w:tcPr>
            <w:tcW w:w="4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20" w:type="dxa"/>
            <w:vAlign w:val="bottom"/>
            <w:tcBorders>
              <w:left w:val="single" w:sz="8" w:color="auto"/>
              <w:bottom w:val="single" w:sz="8" w:color="auto"/>
              <w:right w:val="single" w:sz="8" w:color="auto"/>
            </w:tcBorders>
          </w:tcPr>
          <w:p>
            <w:pPr>
              <w:spacing w:after="0"/>
              <w:rPr>
                <w:sz w:val="19"/>
                <w:szCs w:val="19"/>
                <w:color w:val="auto"/>
              </w:rPr>
            </w:pPr>
          </w:p>
        </w:tc>
        <w:tc>
          <w:tcPr>
            <w:tcW w:w="662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are the exceptions with respect to the statements above: (If no exceptions exist, state “No exceptions to note.”)</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tbl>
      <w:tblPr>
        <w:tblLayout w:type="fixed"/>
        <w:tblInd w:w="1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LOAN PAYMENT/ADVANCE REQUEST FORM</w:t>
            </w:r>
          </w:p>
        </w:tc>
        <w:tc>
          <w:tcPr>
            <w:tcW w:w="2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200" w:type="dxa"/>
            <w:vAlign w:val="bottom"/>
          </w:tcPr>
          <w:p>
            <w:pPr>
              <w:spacing w:after="0"/>
              <w:rPr>
                <w:sz w:val="20"/>
                <w:szCs w:val="20"/>
                <w:color w:val="auto"/>
              </w:rPr>
            </w:pPr>
          </w:p>
        </w:tc>
        <w:tc>
          <w:tcPr>
            <w:tcW w:w="7780" w:type="dxa"/>
            <w:vAlign w:val="bottom"/>
            <w:gridSpan w:val="8"/>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eadline for same day processing is</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acific</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ime</w:t>
            </w: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2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Date:</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spacing w:after="0"/>
              <w:rPr>
                <w:sz w:val="10"/>
                <w:szCs w:val="10"/>
                <w:color w:val="auto"/>
              </w:rPr>
            </w:pPr>
          </w:p>
        </w:tc>
        <w:tc>
          <w:tcPr>
            <w:tcW w:w="2420" w:type="dxa"/>
            <w:vAlign w:val="bottom"/>
            <w:tcBorders>
              <w:top w:val="single" w:sz="8" w:color="auto"/>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454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oan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w:t>
            </w:r>
          </w:p>
        </w:tc>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200" w:type="dxa"/>
            <w:vAlign w:val="bottom"/>
            <w:tcBorders>
              <w:left w:val="single" w:sz="8" w:color="auto"/>
            </w:tcBorders>
          </w:tcPr>
          <w:p>
            <w:pPr>
              <w:spacing w:after="0"/>
              <w:rPr>
                <w:sz w:val="21"/>
                <w:szCs w:val="21"/>
                <w:color w:val="auto"/>
              </w:rPr>
            </w:pPr>
          </w:p>
        </w:tc>
        <w:tc>
          <w:tcPr>
            <w:tcW w:w="1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40" w:type="dxa"/>
            <w:vAlign w:val="bottom"/>
            <w:gridSpan w:val="6"/>
          </w:tcPr>
          <w:p>
            <w:pPr>
              <w:jc w:val="center"/>
              <w:ind w:right="3170"/>
              <w:spacing w:after="0"/>
              <w:rPr>
                <w:sz w:val="20"/>
                <w:szCs w:val="20"/>
                <w:color w:val="auto"/>
              </w:rPr>
            </w:pPr>
            <w:r>
              <w:rPr>
                <w:rFonts w:ascii="Times New Roman" w:cs="Times New Roman" w:eastAsia="Times New Roman" w:hAnsi="Times New Roman"/>
                <w:sz w:val="18"/>
                <w:szCs w:val="18"/>
                <w:color w:val="auto"/>
                <w:w w:val="99"/>
              </w:rPr>
              <w:t>Tenaya Therapeutics, Inc.</w:t>
            </w:r>
          </w:p>
        </w:tc>
        <w:tc>
          <w:tcPr>
            <w:tcW w:w="90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454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From Account #</w:t>
            </w:r>
          </w:p>
        </w:tc>
        <w:tc>
          <w:tcPr>
            <w:tcW w:w="580" w:type="dxa"/>
            <w:vAlign w:val="bottom"/>
          </w:tcPr>
          <w:p>
            <w:pPr>
              <w:spacing w:after="0"/>
              <w:rPr>
                <w:sz w:val="24"/>
                <w:szCs w:val="24"/>
                <w:color w:val="auto"/>
              </w:rPr>
            </w:pPr>
          </w:p>
        </w:tc>
        <w:tc>
          <w:tcPr>
            <w:tcW w:w="48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To Account #</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0" w:type="dxa"/>
            <w:vAlign w:val="bottom"/>
            <w:tcBorders>
              <w:left w:val="single" w:sz="8" w:color="auto"/>
            </w:tcBorders>
          </w:tcPr>
          <w:p>
            <w:pPr>
              <w:spacing w:after="0"/>
              <w:rPr>
                <w:sz w:val="21"/>
                <w:szCs w:val="21"/>
                <w:color w:val="auto"/>
              </w:rPr>
            </w:pPr>
          </w:p>
        </w:tc>
        <w:tc>
          <w:tcPr>
            <w:tcW w:w="2340" w:type="dxa"/>
            <w:vAlign w:val="bottom"/>
            <w:tcBorders>
              <w:top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color w:val="auto"/>
              </w:rPr>
              <w:t>(Deposit Account #)</w:t>
            </w:r>
          </w:p>
        </w:tc>
        <w:tc>
          <w:tcPr>
            <w:tcW w:w="580" w:type="dxa"/>
            <w:vAlign w:val="bottom"/>
            <w:tcBorders>
              <w:top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4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(Loan Account #)</w:t>
            </w:r>
          </w:p>
        </w:tc>
        <w:tc>
          <w:tcPr>
            <w:tcW w:w="900" w:type="dxa"/>
            <w:vAlign w:val="bottom"/>
            <w:tcBorders>
              <w:top w:val="single" w:sz="8" w:color="auto"/>
            </w:tcBorders>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22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Principal $</w:t>
            </w:r>
          </w:p>
        </w:tc>
        <w:tc>
          <w:tcPr>
            <w:tcW w:w="2340" w:type="dxa"/>
            <w:vAlign w:val="bottom"/>
            <w:tcBorders>
              <w:bottom w:val="single" w:sz="8" w:color="auto"/>
            </w:tcBorders>
            <w:gridSpan w:val="2"/>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and/or Interest $</w:t>
            </w:r>
          </w:p>
        </w:tc>
        <w:tc>
          <w:tcPr>
            <w:tcW w:w="3340" w:type="dxa"/>
            <w:vAlign w:val="bottom"/>
            <w:tcBorders>
              <w:bottom w:val="single" w:sz="8" w:color="auto"/>
            </w:tcBorders>
            <w:gridSpan w:val="3"/>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2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Authorized Signature:</w:t>
            </w:r>
          </w:p>
        </w:tc>
        <w:tc>
          <w:tcPr>
            <w:tcW w:w="2340" w:type="dxa"/>
            <w:vAlign w:val="bottom"/>
            <w:gridSpan w:val="2"/>
            <w:vMerge w:val="restart"/>
          </w:tcPr>
          <w:p>
            <w:pPr>
              <w:spacing w:after="0"/>
              <w:rPr>
                <w:sz w:val="10"/>
                <w:szCs w:val="10"/>
                <w:color w:val="auto"/>
              </w:rPr>
            </w:pPr>
          </w:p>
        </w:tc>
        <w:tc>
          <w:tcPr>
            <w:tcW w:w="580" w:type="dxa"/>
            <w:vAlign w:val="bottom"/>
          </w:tcPr>
          <w:p>
            <w:pPr>
              <w:spacing w:after="0"/>
              <w:rPr>
                <w:sz w:val="10"/>
                <w:szCs w:val="10"/>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Phone Number:</w:t>
            </w:r>
          </w:p>
        </w:tc>
        <w:tc>
          <w:tcPr>
            <w:tcW w:w="3340" w:type="dxa"/>
            <w:vAlign w:val="bottom"/>
            <w:gridSpan w:val="3"/>
            <w:vMerge w:val="restart"/>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44"/>
        </w:trPr>
        <w:tc>
          <w:tcPr>
            <w:tcW w:w="2200" w:type="dxa"/>
            <w:vAlign w:val="bottom"/>
            <w:tcBorders>
              <w:left w:val="single" w:sz="8" w:color="auto"/>
            </w:tcBorders>
            <w:vMerge w:val="continue"/>
          </w:tcPr>
          <w:p>
            <w:pPr>
              <w:spacing w:after="0"/>
              <w:rPr>
                <w:sz w:val="24"/>
                <w:szCs w:val="24"/>
                <w:color w:val="auto"/>
              </w:rPr>
            </w:pPr>
          </w:p>
        </w:tc>
        <w:tc>
          <w:tcPr>
            <w:tcW w:w="2340" w:type="dxa"/>
            <w:vAlign w:val="bottom"/>
            <w:tcBorders>
              <w:bottom w:val="single" w:sz="8" w:color="auto"/>
            </w:tcBorders>
            <w:gridSpan w:val="2"/>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20" w:type="dxa"/>
            <w:vAlign w:val="bottom"/>
            <w:gridSpan w:val="2"/>
            <w:vMerge w:val="continue"/>
          </w:tcPr>
          <w:p>
            <w:pPr>
              <w:spacing w:after="0"/>
              <w:rPr>
                <w:sz w:val="24"/>
                <w:szCs w:val="24"/>
                <w:color w:val="auto"/>
              </w:rPr>
            </w:pPr>
          </w:p>
        </w:tc>
        <w:tc>
          <w:tcPr>
            <w:tcW w:w="3340" w:type="dxa"/>
            <w:vAlign w:val="bottom"/>
            <w:tcBorders>
              <w:bottom w:val="single" w:sz="8" w:color="auto"/>
            </w:tcBorders>
            <w:gridSpan w:val="3"/>
            <w:vMerge w:val="continue"/>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54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Print Name/Title:</w:t>
            </w: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0" w:type="dxa"/>
            <w:vAlign w:val="bottom"/>
            <w:tcBorders>
              <w:left w:val="single" w:sz="8" w:color="auto"/>
              <w:bottom w:val="single" w:sz="8" w:color="auto"/>
            </w:tcBorders>
          </w:tcPr>
          <w:p>
            <w:pPr>
              <w:spacing w:after="0"/>
              <w:rPr>
                <w:sz w:val="10"/>
                <w:szCs w:val="10"/>
                <w:color w:val="auto"/>
              </w:rPr>
            </w:pPr>
          </w:p>
        </w:tc>
        <w:tc>
          <w:tcPr>
            <w:tcW w:w="148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spacing w:after="0"/>
              <w:rPr>
                <w:sz w:val="10"/>
                <w:szCs w:val="10"/>
                <w:color w:val="auto"/>
              </w:rPr>
            </w:pPr>
          </w:p>
        </w:tc>
        <w:tc>
          <w:tcPr>
            <w:tcW w:w="242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-1246505</wp:posOffset>
            </wp:positionV>
            <wp:extent cx="33655" cy="2565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33655" cy="2565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-861060</wp:posOffset>
            </wp:positionV>
            <wp:extent cx="7145020" cy="33470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7145020" cy="3347085"/>
                    </a:xfrm>
                    <a:prstGeom prst="rect">
                      <a:avLst/>
                    </a:prstGeom>
                    <a:noFill/>
                  </pic:spPr>
                </pic:pic>
              </a:graphicData>
            </a:graphic>
          </wp:anchor>
        </w:drawing>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oan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dvance</w:t>
      </w:r>
      <w:r>
        <w:rPr>
          <w:rFonts w:ascii="Times New Roman" w:cs="Times New Roman" w:eastAsia="Times New Roman" w:hAnsi="Times New Roman"/>
          <w:sz w:val="18"/>
          <w:szCs w:val="18"/>
          <w:b w:val="1"/>
          <w:bCs w:val="1"/>
          <w:color w:val="auto"/>
        </w:rPr>
        <w:t>:</w:t>
      </w:r>
    </w:p>
    <w:p>
      <w:pPr>
        <w:spacing w:after="0" w:line="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Complete </w:t>
      </w:r>
      <w:r>
        <w:rPr>
          <w:rFonts w:ascii="Times New Roman" w:cs="Times New Roman" w:eastAsia="Times New Roman" w:hAnsi="Times New Roman"/>
          <w:sz w:val="18"/>
          <w:szCs w:val="18"/>
          <w:i w:val="1"/>
          <w:iCs w:val="1"/>
          <w:color w:val="auto"/>
        </w:rPr>
        <w:t>Outgoing Wire Request</w:t>
      </w:r>
      <w:r>
        <w:rPr>
          <w:rFonts w:ascii="Times New Roman" w:cs="Times New Roman" w:eastAsia="Times New Roman" w:hAnsi="Times New Roman"/>
          <w:sz w:val="18"/>
          <w:szCs w:val="18"/>
          <w:color w:val="auto"/>
        </w:rPr>
        <w:t xml:space="preserve"> section below if all or a portion of the funds from this loan advance are for an outgoing wire.</w:t>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241"/>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Account #</w:t>
            </w:r>
          </w:p>
        </w:tc>
        <w:tc>
          <w:tcPr>
            <w:tcW w:w="5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 Account #</w:t>
            </w:r>
          </w:p>
        </w:tc>
      </w:tr>
      <w:tr>
        <w:trPr>
          <w:trHeight w:val="234"/>
        </w:trPr>
        <w:tc>
          <w:tcPr>
            <w:tcW w:w="2080" w:type="dxa"/>
            <w:vAlign w:val="bottom"/>
          </w:tcPr>
          <w:p>
            <w:pPr>
              <w:spacing w:after="0"/>
              <w:rPr>
                <w:sz w:val="20"/>
                <w:szCs w:val="20"/>
                <w:color w:val="auto"/>
              </w:rPr>
            </w:pPr>
          </w:p>
        </w:tc>
        <w:tc>
          <w:tcPr>
            <w:tcW w:w="292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(Loan Account #)</w:t>
            </w:r>
          </w:p>
        </w:tc>
        <w:tc>
          <w:tcPr>
            <w:tcW w:w="1260" w:type="dxa"/>
            <w:vAlign w:val="bottom"/>
          </w:tcPr>
          <w:p>
            <w:pPr>
              <w:spacing w:after="0"/>
              <w:rPr>
                <w:sz w:val="20"/>
                <w:szCs w:val="20"/>
                <w:color w:val="auto"/>
              </w:rPr>
            </w:pPr>
          </w:p>
        </w:tc>
        <w:tc>
          <w:tcPr>
            <w:tcW w:w="450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(Deposit Account #)</w:t>
            </w:r>
          </w:p>
        </w:tc>
      </w:tr>
    </w:tbl>
    <w:p>
      <w:pPr>
        <w:spacing w:after="0" w:line="2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Amount of Term Loan Advance $ ______________________ </w:t>
      </w:r>
      <w:r>
        <w:rPr>
          <w:rFonts w:ascii="Times New Roman" w:cs="Times New Roman" w:eastAsia="Times New Roman" w:hAnsi="Times New Roman"/>
          <w:sz w:val="18"/>
          <w:szCs w:val="18"/>
          <w:i w:val="1"/>
          <w:iCs w:val="1"/>
          <w:color w:val="auto"/>
        </w:rPr>
        <w:t>(complete if requesting from Term Loan Availability Amount)</w:t>
      </w:r>
    </w:p>
    <w:p>
      <w:pPr>
        <w:spacing w:after="0" w:line="281" w:lineRule="exact"/>
        <w:rPr>
          <w:sz w:val="20"/>
          <w:szCs w:val="20"/>
          <w:color w:val="auto"/>
        </w:rPr>
      </w:pPr>
    </w:p>
    <w:p>
      <w:pPr>
        <w:jc w:val="both"/>
        <w:ind w:left="120" w:right="460"/>
        <w:spacing w:after="0" w:line="261" w:lineRule="auto"/>
        <w:rPr>
          <w:sz w:val="20"/>
          <w:szCs w:val="20"/>
          <w:color w:val="auto"/>
        </w:rPr>
      </w:pPr>
      <w:r>
        <w:rPr>
          <w:rFonts w:ascii="Times New Roman" w:cs="Times New Roman" w:eastAsia="Times New Roman" w:hAnsi="Times New Roman"/>
          <w:sz w:val="18"/>
          <w:szCs w:val="18"/>
          <w:color w:val="auto"/>
        </w:rPr>
        <w:t>All Borrower’s representations and warranties in the Loan and Security Agreement are true and correct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41"/>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Signature:</w:t>
            </w:r>
          </w:p>
        </w:tc>
        <w:tc>
          <w:tcPr>
            <w:tcW w:w="2920" w:type="dxa"/>
            <w:vAlign w:val="bottom"/>
            <w:tcBorders>
              <w:bottom w:val="single" w:sz="8" w:color="auto"/>
            </w:tcBorders>
          </w:tcPr>
          <w:p>
            <w:pPr>
              <w:spacing w:after="0"/>
              <w:rPr>
                <w:sz w:val="20"/>
                <w:szCs w:val="20"/>
                <w:color w:val="auto"/>
              </w:rPr>
            </w:pP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Phone Number:</w:t>
            </w:r>
          </w:p>
        </w:tc>
      </w:tr>
      <w:tr>
        <w:trPr>
          <w:trHeight w:val="338"/>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Print Name/Title:</w:t>
            </w:r>
          </w:p>
        </w:tc>
        <w:tc>
          <w:tcPr>
            <w:tcW w:w="2920" w:type="dxa"/>
            <w:vAlign w:val="bottom"/>
            <w:tcBorders>
              <w:bottom w:val="single" w:sz="8" w:color="auto"/>
            </w:tcBorders>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5020" cy="26657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7145020" cy="2665730"/>
                    </a:xfrm>
                    <a:prstGeom prst="rect">
                      <a:avLst/>
                    </a:prstGeom>
                    <a:noFill/>
                  </pic:spPr>
                </pic:pic>
              </a:graphicData>
            </a:graphic>
          </wp:anchor>
        </w:drawing>
      </w:r>
    </w:p>
    <w:p>
      <w:pPr>
        <w:spacing w:after="0" w:line="3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utgoing</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ire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equest</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Complete only if all or a portion of funds from the loan advance above is to be wired.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Deadline for same day processing is noon, Pacific Time</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241"/>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Beneficiary Name:</w:t>
            </w:r>
          </w:p>
        </w:tc>
        <w:tc>
          <w:tcPr>
            <w:tcW w:w="3260" w:type="dxa"/>
            <w:vAlign w:val="bottom"/>
            <w:tcBorders>
              <w:bottom w:val="single" w:sz="8" w:color="auto"/>
            </w:tcBorders>
            <w:gridSpan w:val="3"/>
          </w:tcPr>
          <w:p>
            <w:pPr>
              <w:spacing w:after="0"/>
              <w:rPr>
                <w:sz w:val="20"/>
                <w:szCs w:val="20"/>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 of Wire: $</w:t>
            </w:r>
          </w:p>
        </w:tc>
        <w:tc>
          <w:tcPr>
            <w:tcW w:w="3960" w:type="dxa"/>
            <w:vAlign w:val="bottom"/>
            <w:tcBorders>
              <w:bottom w:val="single" w:sz="8" w:color="auto"/>
            </w:tcBorders>
            <w:gridSpan w:val="2"/>
          </w:tcPr>
          <w:p>
            <w:pPr>
              <w:spacing w:after="0"/>
              <w:rPr>
                <w:sz w:val="20"/>
                <w:szCs w:val="20"/>
                <w:color w:val="auto"/>
              </w:rPr>
            </w:pPr>
          </w:p>
        </w:tc>
      </w:tr>
      <w:tr>
        <w:trPr>
          <w:trHeight w:val="344"/>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Beneficiary Bank:</w:t>
            </w:r>
          </w:p>
        </w:tc>
        <w:tc>
          <w:tcPr>
            <w:tcW w:w="3260" w:type="dxa"/>
            <w:vAlign w:val="bottom"/>
            <w:tcBorders>
              <w:bottom w:val="single" w:sz="8" w:color="auto"/>
            </w:tcBorders>
            <w:gridSpan w:val="3"/>
          </w:tcPr>
          <w:p>
            <w:pPr>
              <w:spacing w:after="0"/>
              <w:rPr>
                <w:sz w:val="24"/>
                <w:szCs w:val="24"/>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 Number:</w:t>
            </w:r>
          </w:p>
        </w:tc>
        <w:tc>
          <w:tcPr>
            <w:tcW w:w="3960" w:type="dxa"/>
            <w:vAlign w:val="bottom"/>
            <w:tcBorders>
              <w:bottom w:val="single" w:sz="8" w:color="auto"/>
            </w:tcBorders>
            <w:gridSpan w:val="2"/>
          </w:tcPr>
          <w:p>
            <w:pPr>
              <w:spacing w:after="0"/>
              <w:rPr>
                <w:sz w:val="24"/>
                <w:szCs w:val="24"/>
                <w:color w:val="auto"/>
              </w:rPr>
            </w:pPr>
          </w:p>
        </w:tc>
      </w:tr>
      <w:tr>
        <w:trPr>
          <w:trHeight w:val="338"/>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City and State</w:t>
            </w:r>
          </w:p>
        </w:tc>
        <w:tc>
          <w:tcPr>
            <w:tcW w:w="3260" w:type="dxa"/>
            <w:vAlign w:val="bottom"/>
            <w:tcBorders>
              <w:bottom w:val="single" w:sz="8" w:color="auto"/>
            </w:tcBorders>
            <w:gridSpan w:val="3"/>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3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Beneficiary Bank Transit (ABA) #:</w:t>
            </w:r>
          </w:p>
        </w:tc>
        <w:tc>
          <w:tcPr>
            <w:tcW w:w="1860" w:type="dxa"/>
            <w:vAlign w:val="bottom"/>
            <w:tcBorders>
              <w:bottom w:val="single" w:sz="8" w:color="auto"/>
            </w:tcBorders>
          </w:tcPr>
          <w:p>
            <w:pPr>
              <w:spacing w:after="0"/>
              <w:rPr>
                <w:sz w:val="24"/>
                <w:szCs w:val="24"/>
                <w:color w:val="auto"/>
              </w:rPr>
            </w:pPr>
          </w:p>
        </w:tc>
        <w:tc>
          <w:tcPr>
            <w:tcW w:w="4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Beneficiary Bank Code </w:t>
            </w:r>
            <w:r>
              <w:rPr>
                <w:rFonts w:ascii="Times New Roman" w:cs="Times New Roman" w:eastAsia="Times New Roman" w:hAnsi="Times New Roman"/>
                <w:sz w:val="16"/>
                <w:szCs w:val="16"/>
                <w:color w:val="auto"/>
              </w:rPr>
              <w:t>(Swift, Sort, Chip, etc.)</w:t>
            </w: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spacing w:after="0"/>
              <w:rPr>
                <w:sz w:val="24"/>
                <w:szCs w:val="24"/>
                <w:color w:val="auto"/>
              </w:rPr>
            </w:pPr>
          </w:p>
        </w:tc>
      </w:tr>
      <w:tr>
        <w:trPr>
          <w:trHeight w:val="238"/>
        </w:trPr>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(For International Wires Only)</w:t>
            </w:r>
          </w:p>
        </w:tc>
      </w:tr>
      <w:tr>
        <w:trPr>
          <w:trHeight w:val="349"/>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Intermediary Bank:</w:t>
            </w:r>
          </w:p>
        </w:tc>
        <w:tc>
          <w:tcPr>
            <w:tcW w:w="3260" w:type="dxa"/>
            <w:vAlign w:val="bottom"/>
            <w:tcBorders>
              <w:bottom w:val="single" w:sz="8" w:color="auto"/>
            </w:tcBorders>
            <w:gridSpan w:val="3"/>
          </w:tcPr>
          <w:p>
            <w:pPr>
              <w:spacing w:after="0"/>
              <w:rPr>
                <w:sz w:val="24"/>
                <w:szCs w:val="24"/>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Transit (ABA) #:</w:t>
            </w:r>
          </w:p>
        </w:tc>
        <w:tc>
          <w:tcPr>
            <w:tcW w:w="4160" w:type="dxa"/>
            <w:vAlign w:val="bottom"/>
            <w:tcBorders>
              <w:bottom w:val="single" w:sz="8" w:color="auto"/>
            </w:tcBorders>
            <w:gridSpan w:val="3"/>
          </w:tcPr>
          <w:p>
            <w:pPr>
              <w:spacing w:after="0"/>
              <w:rPr>
                <w:sz w:val="24"/>
                <w:szCs w:val="24"/>
                <w:color w:val="auto"/>
              </w:rPr>
            </w:pPr>
          </w:p>
        </w:tc>
      </w:tr>
      <w:tr>
        <w:trPr>
          <w:trHeight w:val="345"/>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Further Credit to:</w:t>
            </w:r>
          </w:p>
        </w:tc>
        <w:tc>
          <w:tcPr>
            <w:tcW w:w="3060" w:type="dxa"/>
            <w:vAlign w:val="bottom"/>
            <w:tcBorders>
              <w:bottom w:val="single" w:sz="8" w:color="auto"/>
            </w:tcBorders>
            <w:gridSpan w:val="2"/>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345"/>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Special Instructions</w:t>
            </w:r>
          </w:p>
        </w:tc>
        <w:tc>
          <w:tcPr>
            <w:tcW w:w="3260" w:type="dxa"/>
            <w:vAlign w:val="bottom"/>
            <w:tcBorders>
              <w:bottom w:val="single" w:sz="8" w:color="auto"/>
            </w:tcBorders>
            <w:gridSpan w:val="3"/>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bl>
    <w:p>
      <w:pPr>
        <w:spacing w:after="0" w:line="236" w:lineRule="exact"/>
        <w:rPr>
          <w:sz w:val="20"/>
          <w:szCs w:val="20"/>
          <w:color w:val="auto"/>
        </w:rPr>
      </w:pPr>
    </w:p>
    <w:p>
      <w:pPr>
        <w:ind w:left="120" w:right="120"/>
        <w:spacing w:after="0" w:line="284" w:lineRule="auto"/>
        <w:rPr>
          <w:sz w:val="20"/>
          <w:szCs w:val="20"/>
          <w:color w:val="auto"/>
        </w:rPr>
      </w:pPr>
      <w:r>
        <w:rPr>
          <w:rFonts w:ascii="Times New Roman" w:cs="Times New Roman" w:eastAsia="Times New Roman" w:hAnsi="Times New Roman"/>
          <w:sz w:val="18"/>
          <w:szCs w:val="18"/>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8" w:name="page149"/>
    <w:bookmarkEnd w:id="148"/>
    <w:tbl>
      <w:tblPr>
        <w:tblLayout w:type="fixed"/>
        <w:tblInd w:w="10" w:type="dxa"/>
        <w:tblCellMar>
          <w:top w:w="0" w:type="dxa"/>
          <w:left w:w="0" w:type="dxa"/>
          <w:bottom w:w="0" w:type="dxa"/>
          <w:right w:w="0" w:type="dxa"/>
        </w:tblCellMar>
      </w:tblPr>
      <w:tr>
        <w:trPr>
          <w:trHeight w:val="351"/>
        </w:trPr>
        <w:tc>
          <w:tcPr>
            <w:tcW w:w="230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Authorized Signature:</w:t>
            </w:r>
          </w:p>
        </w:tc>
        <w:tc>
          <w:tcPr>
            <w:tcW w:w="2840" w:type="dxa"/>
            <w:vAlign w:val="bottom"/>
            <w:tcBorders>
              <w:bottom w:val="single" w:sz="8" w:color="auto"/>
            </w:tcBorders>
          </w:tcPr>
          <w:p>
            <w:pPr>
              <w:spacing w:after="0"/>
              <w:rPr>
                <w:sz w:val="24"/>
                <w:szCs w:val="24"/>
                <w:color w:val="auto"/>
              </w:rPr>
            </w:pPr>
          </w:p>
        </w:tc>
        <w:tc>
          <w:tcPr>
            <w:tcW w:w="2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Signature </w:t>
            </w:r>
            <w:r>
              <w:rPr>
                <w:rFonts w:ascii="Times New Roman" w:cs="Times New Roman" w:eastAsia="Times New Roman" w:hAnsi="Times New Roman"/>
                <w:sz w:val="16"/>
                <w:szCs w:val="16"/>
                <w:color w:val="auto"/>
              </w:rPr>
              <w:t>(if required)</w:t>
            </w:r>
            <w:r>
              <w:rPr>
                <w:rFonts w:ascii="Times New Roman" w:cs="Times New Roman" w:eastAsia="Times New Roman" w:hAnsi="Times New Roman"/>
                <w:sz w:val="18"/>
                <w:szCs w:val="18"/>
                <w:color w:val="auto"/>
              </w:rPr>
              <w:t>:</w:t>
            </w:r>
          </w:p>
        </w:tc>
        <w:tc>
          <w:tcPr>
            <w:tcW w:w="35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338"/>
        </w:trPr>
        <w:tc>
          <w:tcPr>
            <w:tcW w:w="18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Print Name/Title:</w:t>
            </w:r>
          </w:p>
        </w:tc>
        <w:tc>
          <w:tcPr>
            <w:tcW w:w="4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Print Name/Title:</w:t>
            </w:r>
          </w:p>
        </w:tc>
        <w:tc>
          <w:tcPr>
            <w:tcW w:w="4160" w:type="dxa"/>
            <w:vAlign w:val="bottom"/>
            <w:tcBorders>
              <w:bottom w:val="single" w:sz="8" w:color="auto"/>
            </w:tcBorders>
            <w:gridSpan w:val="2"/>
          </w:tcPr>
          <w:p>
            <w:pPr>
              <w:spacing w:after="0"/>
              <w:rPr>
                <w:sz w:val="24"/>
                <w:szCs w:val="24"/>
                <w:color w:val="auto"/>
              </w:rPr>
            </w:pPr>
          </w:p>
        </w:tc>
        <w:tc>
          <w:tcPr>
            <w:tcW w:w="260" w:type="dxa"/>
            <w:vAlign w:val="bottom"/>
          </w:tcPr>
          <w:p>
            <w:pPr>
              <w:spacing w:after="0"/>
              <w:rPr>
                <w:sz w:val="24"/>
                <w:szCs w:val="24"/>
                <w:color w:val="auto"/>
              </w:rPr>
            </w:pPr>
          </w:p>
        </w:tc>
      </w:tr>
      <w:tr>
        <w:trPr>
          <w:trHeight w:val="344"/>
        </w:trPr>
        <w:tc>
          <w:tcPr>
            <w:tcW w:w="230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Phone Number:</w:t>
            </w:r>
          </w:p>
        </w:tc>
        <w:tc>
          <w:tcPr>
            <w:tcW w:w="2840" w:type="dxa"/>
            <w:vAlign w:val="bottom"/>
          </w:tcPr>
          <w:p>
            <w:pPr>
              <w:spacing w:after="0"/>
              <w:rPr>
                <w:sz w:val="24"/>
                <w:szCs w:val="24"/>
                <w:color w:val="auto"/>
              </w:rPr>
            </w:pPr>
          </w:p>
        </w:tc>
        <w:tc>
          <w:tcPr>
            <w:tcW w:w="5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Phone Number:</w:t>
            </w:r>
          </w:p>
        </w:tc>
        <w:tc>
          <w:tcPr>
            <w:tcW w:w="260" w:type="dxa"/>
            <w:vAlign w:val="bottom"/>
          </w:tcPr>
          <w:p>
            <w:pPr>
              <w:spacing w:after="0"/>
              <w:rPr>
                <w:sz w:val="24"/>
                <w:szCs w:val="24"/>
                <w:color w:val="auto"/>
              </w:rPr>
            </w:pPr>
          </w:p>
        </w:tc>
      </w:tr>
      <w:tr>
        <w:trPr>
          <w:trHeight w:val="122"/>
        </w:trPr>
        <w:tc>
          <w:tcPr>
            <w:tcW w:w="1880" w:type="dxa"/>
            <w:vAlign w:val="bottom"/>
            <w:tcBorders>
              <w:left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spacing w:after="0"/>
              <w:rPr>
                <w:sz w:val="10"/>
                <w:szCs w:val="10"/>
                <w:color w:val="auto"/>
              </w:rPr>
            </w:pPr>
          </w:p>
        </w:tc>
        <w:tc>
          <w:tcPr>
            <w:tcW w:w="2840" w:type="dxa"/>
            <w:vAlign w:val="bottom"/>
            <w:tcBorders>
              <w:top w:val="single" w:sz="8" w:color="auto"/>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spacing w:after="0"/>
              <w:rPr>
                <w:sz w:val="10"/>
                <w:szCs w:val="10"/>
                <w:color w:val="auto"/>
              </w:rPr>
            </w:pPr>
          </w:p>
        </w:tc>
        <w:tc>
          <w:tcPr>
            <w:tcW w:w="3520" w:type="dxa"/>
            <w:vAlign w:val="bottom"/>
            <w:tcBorders>
              <w:top w:val="single" w:sz="8" w:color="auto"/>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r>
      <w:tr>
        <w:trPr>
          <w:trHeight w:val="959"/>
        </w:trPr>
        <w:tc>
          <w:tcPr>
            <w:tcW w:w="18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7319010</wp:posOffset>
            </wp:positionH>
            <wp:positionV relativeFrom="page">
              <wp:posOffset>641985</wp:posOffset>
            </wp:positionV>
            <wp:extent cx="33655" cy="7194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33655" cy="7194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49" w:name="page150"/>
    <w:bookmarkEnd w:id="149"/>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Faraz Ali, M.B.A., certify that:</w:t>
      </w:r>
    </w:p>
    <w:p>
      <w:pPr>
        <w:spacing w:after="0" w:line="225" w:lineRule="exact"/>
        <w:rPr>
          <w:sz w:val="20"/>
          <w:szCs w:val="20"/>
          <w:color w:val="auto"/>
        </w:rPr>
      </w:pPr>
    </w:p>
    <w:p>
      <w:pPr>
        <w:ind w:left="380" w:hanging="372"/>
        <w:spacing w:after="0"/>
        <w:tabs>
          <w:tab w:leader="none" w:pos="3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Tenaya Therapeutics,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60" w:hanging="372"/>
        <w:spacing w:after="0" w:line="282" w:lineRule="auto"/>
        <w:tabs>
          <w:tab w:leader="none" w:pos="3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760" w:right="280" w:hanging="378"/>
        <w:spacing w:after="0" w:line="266" w:lineRule="auto"/>
        <w:tabs>
          <w:tab w:leader="none" w:pos="7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280" w:hanging="378"/>
        <w:spacing w:after="0" w:line="266" w:lineRule="auto"/>
        <w:tabs>
          <w:tab w:leader="none" w:pos="7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26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Faraz Ali, M.B.A.</w:t>
            </w:r>
          </w:p>
        </w:tc>
      </w:tr>
      <w:tr>
        <w:trPr>
          <w:trHeight w:val="228"/>
        </w:trPr>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Faraz Ali, M.B.A.</w:t>
            </w:r>
          </w:p>
        </w:tc>
      </w:tr>
      <w:tr>
        <w:trPr>
          <w:trHeight w:val="218"/>
        </w:trPr>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6780" w:type="dxa"/>
            <w:vAlign w:val="bottom"/>
          </w:tcPr>
          <w:p>
            <w:pPr>
              <w:spacing w:after="0"/>
              <w:rPr>
                <w:sz w:val="18"/>
                <w:szCs w:val="18"/>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Executive Officer and Interim Principal</w:t>
            </w:r>
          </w:p>
        </w:tc>
      </w:tr>
      <w:tr>
        <w:trPr>
          <w:trHeight w:val="236"/>
        </w:trPr>
        <w:tc>
          <w:tcPr>
            <w:tcW w:w="678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Financial Officer)</w:t>
            </w:r>
          </w:p>
        </w:tc>
      </w:tr>
      <w:tr>
        <w:trPr>
          <w:trHeight w:val="736"/>
        </w:trPr>
        <w:tc>
          <w:tcPr>
            <w:tcW w:w="67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 AND PRINCIPAL FINANCIAL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Faraz Ali, M.B.A., certify, pursuant to 18 U.S.C. Section 1350 as adopted pursuant to Section 906 of the Sarbanes-Oxley Act of 2002, that, (1) the Quarterly Report on Form 10-Q of Tenaya Therapeutics, Inc. (the “Company”) for the quarterly period ended September 30, 2024,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2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26035</wp:posOffset>
            </wp:positionV>
            <wp:extent cx="31375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Faraz Ali, M.B.A.</w:t>
      </w:r>
    </w:p>
    <w:p>
      <w:pPr>
        <w:spacing w:after="0" w:line="5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(Principal Executive Officer and Interim Principal Financial</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1402080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1" w:name="page152"/>
    <w:bookmarkEnd w:id="1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1."/>
      <w:numFmt w:val="decimal"/>
      <w:start w:val="1"/>
    </w:lvl>
  </w:abstractNum>
  <w:abstractNum w:abstractNumId="5">
    <w:nsid w:val="1381823A"/>
    <w:multiLevelType w:val="hybridMultilevel"/>
    <w:lvl w:ilvl="0">
      <w:lvlJc w:val="left"/>
      <w:lvlText w:val="%1."/>
      <w:numFmt w:val="decimal"/>
      <w:start w:val="2"/>
    </w:lvl>
  </w:abstractNum>
  <w:abstractNum w:abstractNumId="6">
    <w:nsid w:val="5DB70AE5"/>
    <w:multiLevelType w:val="hybridMultilevel"/>
    <w:lvl w:ilvl="0">
      <w:lvlJc w:val="left"/>
      <w:lvlText w:val="%1."/>
      <w:numFmt w:val="decimal"/>
      <w:start w:val="5"/>
    </w:lvl>
  </w:abstractNum>
  <w:abstractNum w:abstractNumId="7">
    <w:nsid w:val="100F8FCA"/>
    <w:multiLevelType w:val="hybridMultilevel"/>
    <w:lvl w:ilvl="0">
      <w:lvlJc w:val="left"/>
      <w:lvlText w:val="%1."/>
      <w:numFmt w:val="decimal"/>
      <w:start w:val="6"/>
    </w:lvl>
  </w:abstractNum>
  <w:abstractNum w:abstractNumId="8">
    <w:nsid w:val="6590700B"/>
    <w:multiLevelType w:val="hybridMultilevel"/>
    <w:lvl w:ilvl="0">
      <w:lvlJc w:val="left"/>
      <w:lvlText w:val="%1."/>
      <w:numFmt w:val="decimal"/>
      <w:start w:val="7"/>
    </w:lvl>
  </w:abstractNum>
  <w:abstractNum w:abstractNumId="9">
    <w:nsid w:val="15014ACB"/>
    <w:multiLevelType w:val="hybridMultilevel"/>
    <w:lvl w:ilvl="0">
      <w:lvlJc w:val="left"/>
      <w:lvlText w:val="%1."/>
      <w:numFmt w:val="decimal"/>
      <w:start w:val="8"/>
    </w:lvl>
  </w:abstractNum>
  <w:abstractNum w:abstractNumId="10">
    <w:nsid w:val="5F5E7FD0"/>
    <w:multiLevelType w:val="hybridMultilevel"/>
    <w:lvl w:ilvl="0">
      <w:lvlJc w:val="left"/>
      <w:lvlText w:val="%1."/>
      <w:numFmt w:val="decimal"/>
      <w:start w:val="9"/>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
      <w:numFmt w:val="bullet"/>
      <w:start w:val="1"/>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
      <w:numFmt w:val="bullet"/>
      <w:start w:val="1"/>
    </w:lvl>
  </w:abstractNum>
  <w:abstractNum w:abstractNumId="24">
    <w:nsid w:val="11447B73"/>
    <w:multiLevelType w:val="hybridMultilevel"/>
    <w:lvl w:ilvl="0">
      <w:lvlJc w:val="left"/>
      <w:lvlText w:val="•"/>
      <w:numFmt w:val="bullet"/>
      <w:start w:val="1"/>
    </w:lvl>
  </w:abstractNum>
  <w:abstractNum w:abstractNumId="25">
    <w:nsid w:val="42963E5A"/>
    <w:multiLevelType w:val="hybridMultilevel"/>
    <w:lvl w:ilvl="0">
      <w:lvlJc w:val="left"/>
      <w:lvlText w:val="•"/>
      <w:numFmt w:val="bullet"/>
      <w:start w:val="1"/>
    </w:lvl>
  </w:abstractNum>
  <w:abstractNum w:abstractNumId="26">
    <w:nsid w:val="A0382C5"/>
    <w:multiLevelType w:val="hybridMultilevel"/>
    <w:lvl w:ilvl="0">
      <w:lvlJc w:val="left"/>
      <w:lvlText w:val="•"/>
      <w:numFmt w:val="bullet"/>
      <w:start w:val="1"/>
    </w:lvl>
  </w:abstractNum>
  <w:abstractNum w:abstractNumId="27">
    <w:nsid w:val="8F2B15E"/>
    <w:multiLevelType w:val="hybridMultilevel"/>
    <w:lvl w:ilvl="0">
      <w:lvlJc w:val="left"/>
      <w:lvlText w:val="•"/>
      <w:numFmt w:val="bullet"/>
      <w:start w:val="1"/>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
      <w:numFmt w:val="bullet"/>
      <w:start w:val="1"/>
    </w:lvl>
  </w:abstractNum>
  <w:abstractNum w:abstractNumId="31">
    <w:nsid w:val="4962813B"/>
    <w:multiLevelType w:val="hybridMultilevel"/>
    <w:lvl w:ilvl="0">
      <w:lvlJc w:val="left"/>
      <w:lvlText w:val="(%1)"/>
      <w:numFmt w:val="decimal"/>
      <w:start w:val="2"/>
    </w:lvl>
  </w:abstractNum>
  <w:abstractNum w:abstractNumId="32">
    <w:nsid w:val="60B6DF70"/>
    <w:multiLevelType w:val="hybridMultilevel"/>
    <w:lvl w:ilvl="0">
      <w:lvlJc w:val="left"/>
      <w:lvlText w:val="•"/>
      <w:numFmt w:val="bullet"/>
      <w:start w:val="1"/>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
      <w:numFmt w:val="bullet"/>
      <w:start w:val="1"/>
    </w:lvl>
  </w:abstractNum>
  <w:abstractNum w:abstractNumId="35">
    <w:nsid w:val="7FFFCA11"/>
    <w:multiLevelType w:val="hybridMultilevel"/>
    <w:lvl w:ilvl="0">
      <w:lvlJc w:val="left"/>
      <w:lvlText w:val="•"/>
      <w:numFmt w:val="bullet"/>
      <w:start w:val="1"/>
    </w:lvl>
  </w:abstractNum>
  <w:abstractNum w:abstractNumId="36">
    <w:nsid w:val="1A27709E"/>
    <w:multiLevelType w:val="hybridMultilevel"/>
    <w:lvl w:ilvl="0">
      <w:lvlJc w:val="left"/>
      <w:lvlText w:val="•"/>
      <w:numFmt w:val="bullet"/>
      <w:start w:val="1"/>
    </w:lvl>
  </w:abstractNum>
  <w:abstractNum w:abstractNumId="37">
    <w:nsid w:val="71EA1109"/>
    <w:multiLevelType w:val="hybridMultilevel"/>
    <w:lvl w:ilvl="0">
      <w:lvlJc w:val="left"/>
      <w:lvlText w:val="•"/>
      <w:numFmt w:val="bullet"/>
      <w:start w:val="1"/>
    </w:lvl>
  </w:abstractNum>
  <w:abstractNum w:abstractNumId="38">
    <w:nsid w:val="100F59DC"/>
    <w:multiLevelType w:val="hybridMultilevel"/>
    <w:lvl w:ilvl="0">
      <w:lvlJc w:val="left"/>
      <w:lvlText w:val="•"/>
      <w:numFmt w:val="bullet"/>
      <w:start w:val="1"/>
    </w:lvl>
  </w:abstractNum>
  <w:abstractNum w:abstractNumId="39">
    <w:nsid w:val="7FB7E0AA"/>
    <w:multiLevelType w:val="hybridMultilevel"/>
    <w:lvl w:ilvl="0">
      <w:lvlJc w:val="left"/>
      <w:lvlText w:val="•"/>
      <w:numFmt w:val="bullet"/>
      <w:start w:val="1"/>
    </w:lvl>
  </w:abstractNum>
  <w:abstractNum w:abstractNumId="40">
    <w:nsid w:val="6EB5BD4"/>
    <w:multiLevelType w:val="hybridMultilevel"/>
    <w:lvl w:ilvl="0">
      <w:lvlJc w:val="left"/>
      <w:lvlText w:val="(%1)"/>
      <w:numFmt w:val="lowerLetter"/>
      <w:start w:val="1"/>
    </w:lvl>
  </w:abstractNum>
  <w:abstractNum w:abstractNumId="41">
    <w:nsid w:val="6F6DD9AC"/>
    <w:multiLevelType w:val="hybridMultilevel"/>
    <w:lvl w:ilvl="0">
      <w:lvlJc w:val="left"/>
      <w:lvlText w:val="(%1)"/>
      <w:numFmt w:val="lowerLetter"/>
      <w:start w:val="2"/>
    </w:lvl>
  </w:abstractNum>
  <w:abstractNum w:abstractNumId="42">
    <w:nsid w:val="94211F2"/>
    <w:multiLevelType w:val="hybridMultilevel"/>
    <w:lvl w:ilvl="0">
      <w:lvlJc w:val="left"/>
      <w:lvlText w:val="+"/>
      <w:numFmt w:val="bullet"/>
      <w:start w:val="1"/>
    </w:lvl>
  </w:abstractNum>
  <w:abstractNum w:abstractNumId="43">
    <w:nsid w:val="885E1B"/>
    <w:multiLevelType w:val="hybridMultilevel"/>
    <w:lvl w:ilvl="0">
      <w:lvlJc w:val="left"/>
      <w:lvlText w:val="(%1)"/>
      <w:numFmt w:val="lowerLetter"/>
      <w:start w:val="1"/>
    </w:lvl>
  </w:abstractNum>
  <w:abstractNum w:abstractNumId="44">
    <w:nsid w:val="76272110"/>
    <w:multiLevelType w:val="hybridMultilevel"/>
    <w:lvl w:ilvl="0">
      <w:lvlJc w:val="left"/>
      <w:lvlText w:val="(%1)"/>
      <w:numFmt w:val="lowerLetter"/>
      <w:start w:val="1"/>
    </w:lvl>
  </w:abstractNum>
  <w:abstractNum w:abstractNumId="45">
    <w:nsid w:val="4C04A8AF"/>
    <w:multiLevelType w:val="hybridMultilevel"/>
    <w:lvl w:ilvl="0">
      <w:lvlJc w:val="left"/>
      <w:lvlText w:val="(%1)"/>
      <w:numFmt w:val="lowerLetter"/>
      <w:start w:val="1"/>
    </w:lvl>
  </w:abstractNum>
  <w:abstractNum w:abstractNumId="46">
    <w:nsid w:val="1716703B"/>
    <w:multiLevelType w:val="hybridMultilevel"/>
    <w:lvl w:ilvl="0">
      <w:lvlJc w:val="left"/>
      <w:lvlText w:val="(%1)"/>
      <w:numFmt w:val="lowerLetter"/>
      <w:start w:val="3"/>
    </w:lvl>
  </w:abstractNum>
  <w:abstractNum w:abstractNumId="47">
    <w:nsid w:val="14E17E33"/>
    <w:multiLevelType w:val="hybridMultilevel"/>
    <w:lvl w:ilvl="0">
      <w:lvlJc w:val="left"/>
      <w:lvlText w:val="(%1)"/>
      <w:numFmt w:val="lowerLetter"/>
      <w:start w:val="1"/>
    </w:lvl>
  </w:abstractNum>
  <w:abstractNum w:abstractNumId="48">
    <w:nsid w:val="3222E7CD"/>
    <w:multiLevelType w:val="hybridMultilevel"/>
    <w:lvl w:ilvl="0">
      <w:lvlJc w:val="left"/>
      <w:lvlText w:val="(%1)"/>
      <w:numFmt w:val="lowerLetter"/>
      <w:start w:val="3"/>
    </w:lvl>
  </w:abstractNum>
  <w:abstractNum w:abstractNumId="49">
    <w:nsid w:val="74DE0EE3"/>
    <w:multiLevelType w:val="hybridMultilevel"/>
    <w:lvl w:ilvl="0">
      <w:lvlJc w:val="left"/>
      <w:lvlText w:val="(%1)"/>
      <w:numFmt w:val="lowerLetter"/>
      <w:start w:val="1"/>
    </w:lvl>
  </w:abstractNum>
  <w:abstractNum w:abstractNumId="50">
    <w:nsid w:val="68EBC550"/>
    <w:multiLevelType w:val="hybridMultilevel"/>
    <w:lvl w:ilvl="0">
      <w:lvlJc w:val="left"/>
      <w:lvlText w:val="(%1)"/>
      <w:numFmt w:val="decimal"/>
      <w:start w:val="1"/>
    </w:lvl>
  </w:abstractNum>
  <w:abstractNum w:abstractNumId="51">
    <w:nsid w:val="2DF6D648"/>
    <w:multiLevelType w:val="hybridMultilevel"/>
    <w:lvl w:ilvl="0">
      <w:lvlJc w:val="left"/>
      <w:lvlText w:val="&amp;"/>
      <w:numFmt w:val="bullet"/>
      <w:start w:val="1"/>
    </w:lvl>
    <w:lvl w:ilvl="1">
      <w:lvlJc w:val="left"/>
      <w:lvlText w:val="(%2)"/>
      <w:numFmt w:val="lowerLetter"/>
      <w:start w:val="1"/>
    </w:lvl>
  </w:abstractNum>
  <w:abstractNum w:abstractNumId="52">
    <w:nsid w:val="46B7D447"/>
    <w:multiLevelType w:val="hybridMultilevel"/>
    <w:lvl w:ilvl="0">
      <w:lvlJc w:val="left"/>
      <w:lvlText w:val="(%1)"/>
      <w:numFmt w:val="lowerLetter"/>
      <w:start w:val="2"/>
    </w:lvl>
  </w:abstractNum>
  <w:abstractNum w:abstractNumId="53">
    <w:nsid w:val="4A2AC315"/>
    <w:multiLevelType w:val="hybridMultilevel"/>
    <w:lvl w:ilvl="0">
      <w:lvlJc w:val="left"/>
      <w:lvlText w:val="(%1)"/>
      <w:numFmt w:val="lowerLetter"/>
      <w:start w:val="1"/>
    </w:lvl>
  </w:abstractNum>
  <w:abstractNum w:abstractNumId="54">
    <w:nsid w:val="39EE015C"/>
    <w:multiLevelType w:val="hybridMultilevel"/>
    <w:lvl w:ilvl="0">
      <w:lvlJc w:val="left"/>
      <w:lvlText w:val="(%1)"/>
      <w:numFmt w:val="lowerLetter"/>
      <w:start w:val="1"/>
    </w:lvl>
  </w:abstractNum>
  <w:abstractNum w:abstractNumId="55">
    <w:nsid w:val="57FC4FBB"/>
    <w:multiLevelType w:val="hybridMultilevel"/>
    <w:lvl w:ilvl="0">
      <w:lvlJc w:val="left"/>
      <w:lvlText w:val="(%1)"/>
      <w:numFmt w:val="lowerLetter"/>
      <w:start w:val="2"/>
    </w:lvl>
  </w:abstractNum>
  <w:abstractNum w:abstractNumId="56">
    <w:nsid w:val="CC1016F"/>
    <w:multiLevelType w:val="hybridMultilevel"/>
    <w:lvl w:ilvl="0">
      <w:lvlJc w:val="left"/>
      <w:lvlText w:val="%1."/>
      <w:numFmt w:val="decimal"/>
      <w:start w:val="1"/>
    </w:lvl>
  </w:abstractNum>
  <w:abstractNum w:abstractNumId="57">
    <w:nsid w:val="43F18422"/>
    <w:multiLevelType w:val="hybridMultilevel"/>
    <w:lvl w:ilvl="0">
      <w:lvlJc w:val="left"/>
      <w:lvlText w:val="["/>
      <w:numFmt w:val="bullet"/>
      <w:start w:val="1"/>
    </w:lvl>
  </w:abstractNum>
  <w:abstractNum w:abstractNumId="58">
    <w:nsid w:val="60EF0119"/>
    <w:multiLevelType w:val="hybridMultilevel"/>
    <w:lvl w:ilvl="0">
      <w:lvlJc w:val="left"/>
      <w:lvlText w:val="["/>
      <w:numFmt w:val="bullet"/>
      <w:start w:val="1"/>
    </w:lvl>
  </w:abstractNum>
  <w:abstractNum w:abstractNumId="59">
    <w:nsid w:val="26F324BA"/>
    <w:multiLevelType w:val="hybridMultilevel"/>
    <w:lvl w:ilvl="0">
      <w:lvlJc w:val="left"/>
      <w:lvlText w:val="["/>
      <w:numFmt w:val="bullet"/>
      <w:start w:val="1"/>
    </w:lvl>
  </w:abstractNum>
  <w:abstractNum w:abstractNumId="60">
    <w:nsid w:val="7F01579B"/>
    <w:multiLevelType w:val="hybridMultilevel"/>
    <w:lvl w:ilvl="0">
      <w:lvlJc w:val="left"/>
      <w:lvlText w:val="["/>
      <w:numFmt w:val="bullet"/>
      <w:start w:val="1"/>
    </w:lvl>
  </w:abstractNum>
  <w:abstractNum w:abstractNumId="61">
    <w:nsid w:val="49DA307D"/>
    <w:multiLevelType w:val="hybridMultilevel"/>
    <w:lvl w:ilvl="0">
      <w:lvlJc w:val="left"/>
      <w:lvlText w:val="%1."/>
      <w:numFmt w:val="decimal"/>
      <w:start w:val="1"/>
    </w:lvl>
    <w:lvl w:ilvl="1">
      <w:lvlJc w:val="left"/>
      <w:lvlText w:val="["/>
      <w:numFmt w:val="bullet"/>
      <w:start w:val="1"/>
    </w:lvl>
  </w:abstractNum>
  <w:abstractNum w:abstractNumId="62">
    <w:nsid w:val="7055A5F5"/>
    <w:multiLevelType w:val="hybridMultilevel"/>
    <w:lvl w:ilvl="0">
      <w:lvlJc w:val="left"/>
      <w:lvlText w:val="%1."/>
      <w:numFmt w:val="decimal"/>
      <w:start w:val="3"/>
    </w:lvl>
  </w:abstractNum>
  <w:abstractNum w:abstractNumId="63">
    <w:nsid w:val="5FB8370B"/>
    <w:multiLevelType w:val="hybridMultilevel"/>
    <w:lvl w:ilvl="0">
      <w:lvlJc w:val="left"/>
      <w:lvlText w:val="%1."/>
      <w:numFmt w:val="decimal"/>
      <w:start w:val="1"/>
    </w:lvl>
    <w:lvl w:ilvl="1">
      <w:lvlJc w:val="left"/>
      <w:lvlText w:val="(%2)"/>
      <w:numFmt w:val="lowerLetter"/>
      <w:start w:val="1"/>
    </w:lvl>
  </w:abstractNum>
  <w:abstractNum w:abstractNumId="64">
    <w:nsid w:val="50801EE1"/>
    <w:multiLevelType w:val="hybridMultilevel"/>
    <w:lvl w:ilvl="0">
      <w:lvlJc w:val="left"/>
      <w:lvlText w:val="(%1)"/>
      <w:numFmt w:val="lowerLetter"/>
      <w:start w:val="2"/>
    </w:lvl>
  </w:abstractNum>
  <w:abstractNum w:abstractNumId="65">
    <w:nsid w:val="488AC1A"/>
    <w:multiLevelType w:val="hybridMultilevel"/>
    <w:lvl w:ilvl="0">
      <w:lvlJc w:val="left"/>
      <w:lvlText w:val="(%1)"/>
      <w:numFmt w:val="lowerLetter"/>
      <w:start w:val="3"/>
    </w:lvl>
  </w:abstractNum>
  <w:abstractNum w:abstractNumId="66">
    <w:nsid w:val="5FB8011C"/>
    <w:multiLevelType w:val="hybridMultilevel"/>
    <w:lvl w:ilvl="0">
      <w:lvlJc w:val="left"/>
      <w:lvlText w:val="(%1)"/>
      <w:numFmt w:val="lowerLetter"/>
      <w:start w:val="1"/>
    </w:lvl>
    <w:lvl w:ilvl="1">
      <w:lvlJc w:val="left"/>
      <w:lvlText w:val="(%2)"/>
      <w:numFmt w:val="lowerRoman"/>
      <w:start w:val="1"/>
    </w:lvl>
  </w:abstractNum>
  <w:abstractNum w:abstractNumId="67">
    <w:nsid w:val="6AA78F7F"/>
    <w:multiLevelType w:val="hybridMultilevel"/>
    <w:lvl w:ilvl="0">
      <w:lvlJc w:val="left"/>
      <w:lvlText w:val="(%1)"/>
      <w:numFmt w:val="lowerLetter"/>
      <w:start w:val="4"/>
    </w:lvl>
  </w:abstractNum>
  <w:abstractNum w:abstractNumId="68">
    <w:nsid w:val="7672BD23"/>
    <w:multiLevelType w:val="hybridMultilevel"/>
    <w:lvl w:ilvl="0">
      <w:lvlJc w:val="left"/>
      <w:lvlText w:val="(%1)"/>
      <w:numFmt w:val="lowerLetter"/>
      <w:start w:val="1"/>
    </w:lvl>
  </w:abstractNum>
  <w:abstractNum w:abstractNumId="69">
    <w:nsid w:val="6FC75AF8"/>
    <w:multiLevelType w:val="hybridMultilevel"/>
    <w:lvl w:ilvl="0">
      <w:lvlJc w:val="left"/>
      <w:lvlText w:val="(%1)"/>
      <w:numFmt w:val="lowerLetter"/>
      <w:start w:val="1"/>
    </w:lvl>
  </w:abstractNum>
  <w:abstractNum w:abstractNumId="70">
    <w:nsid w:val="6A5F7029"/>
    <w:multiLevelType w:val="hybridMultilevel"/>
    <w:lvl w:ilvl="0">
      <w:lvlJc w:val="left"/>
      <w:lvlText w:val="(%1)"/>
      <w:numFmt w:val="lowerLetter"/>
      <w:start w:val="1"/>
    </w:lvl>
  </w:abstractNum>
  <w:abstractNum w:abstractNumId="71">
    <w:nsid w:val="7D5E18F8"/>
    <w:multiLevelType w:val="hybridMultilevel"/>
    <w:lvl w:ilvl="0">
      <w:lvlJc w:val="left"/>
      <w:lvlText w:val="(%1)"/>
      <w:numFmt w:val="upperLetter"/>
      <w:start w:val="2"/>
    </w:lvl>
    <w:lvl w:ilvl="1">
      <w:lvlJc w:val="left"/>
      <w:lvlText w:val="(%2)"/>
      <w:numFmt w:val="lowerLetter"/>
      <w:start w:val="2"/>
    </w:lvl>
  </w:abstractNum>
  <w:abstractNum w:abstractNumId="72">
    <w:nsid w:val="5F3534A4"/>
    <w:multiLevelType w:val="hybridMultilevel"/>
    <w:lvl w:ilvl="0">
      <w:lvlJc w:val="left"/>
      <w:lvlText w:val="(%1)"/>
      <w:numFmt w:val="lowerLetter"/>
      <w:start w:val="1"/>
    </w:lvl>
  </w:abstractNum>
  <w:abstractNum w:abstractNumId="73">
    <w:nsid w:val="73A1821B"/>
    <w:multiLevelType w:val="hybridMultilevel"/>
    <w:lvl w:ilvl="0">
      <w:lvlJc w:val="left"/>
      <w:lvlText w:val="(%1)"/>
      <w:numFmt w:val="lowerLetter"/>
      <w:start w:val="5"/>
    </w:lvl>
  </w:abstractNum>
  <w:abstractNum w:abstractNumId="74">
    <w:nsid w:val="7DE67713"/>
    <w:multiLevelType w:val="hybridMultilevel"/>
    <w:lvl w:ilvl="0">
      <w:lvlJc w:val="left"/>
      <w:lvlText w:val="%1"/>
      <w:numFmt w:val="decimal"/>
      <w:start w:val="1"/>
    </w:lvl>
    <w:lvl w:ilvl="1">
      <w:lvlJc w:val="left"/>
      <w:lvlText w:val="(%2)"/>
      <w:numFmt w:val="lowerLetter"/>
      <w:start w:val="1"/>
    </w:lvl>
  </w:abstractNum>
  <w:abstractNum w:abstractNumId="75">
    <w:nsid w:val="555C55B5"/>
    <w:multiLevelType w:val="hybridMultilevel"/>
    <w:lvl w:ilvl="0">
      <w:lvlJc w:val="left"/>
      <w:lvlText w:val="%1."/>
      <w:numFmt w:val="decimal"/>
      <w:start w:val="2"/>
    </w:lvl>
    <w:lvl w:ilvl="1">
      <w:lvlJc w:val="left"/>
      <w:lvlText w:val="%2"/>
      <w:numFmt w:val="lowerLetter"/>
      <w:start w:val="1"/>
    </w:lvl>
  </w:abstractNum>
  <w:abstractNum w:abstractNumId="76">
    <w:nsid w:val="3FA62ACA"/>
    <w:multiLevelType w:val="hybridMultilevel"/>
    <w:lvl w:ilvl="0">
      <w:lvlJc w:val="left"/>
      <w:lvlText w:val="(%1)"/>
      <w:numFmt w:val="lowerLetter"/>
      <w:start w:val="1"/>
    </w:lvl>
  </w:abstractNum>
  <w:abstractNum w:abstractNumId="77">
    <w:nsid w:val="14FCE74E"/>
    <w:multiLevelType w:val="hybridMultilevel"/>
    <w:lvl w:ilvl="0">
      <w:lvlJc w:val="left"/>
      <w:lvlText w:val="(%1)"/>
      <w:numFmt w:val="lowerRoman"/>
      <w:start w:val="1"/>
    </w:lvl>
  </w:abstractNum>
  <w:abstractNum w:abstractNumId="78">
    <w:nsid w:val="6A3DD3E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79">
    <w:nsid w:val="71C91298"/>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80">
    <w:nsid w:val="9DAF632"/>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81">
    <w:nsid w:val="53299938"/>
    <w:multiLevelType w:val="hybridMultilevel"/>
    <w:lvl w:ilvl="0">
      <w:lvlJc w:val="left"/>
      <w:lvlText w:val="(%1)"/>
      <w:numFmt w:val="lowerLetter"/>
      <w:start w:val="1"/>
    </w:lvl>
  </w:abstractNum>
  <w:abstractNum w:abstractNumId="82">
    <w:nsid w:val="1FBFE8E0"/>
    <w:multiLevelType w:val="hybridMultilevel"/>
    <w:lvl w:ilvl="0">
      <w:lvlJc w:val="left"/>
      <w:lvlText w:val="(%1)"/>
      <w:numFmt w:val="lowerLetter"/>
      <w:start w:val="2"/>
    </w:lvl>
  </w:abstractNum>
  <w:abstractNum w:abstractNumId="83">
    <w:nsid w:val="5092CA79"/>
    <w:multiLevelType w:val="hybridMultilevel"/>
    <w:lvl w:ilvl="0">
      <w:lvlJc w:val="left"/>
      <w:lvlText w:val="%1."/>
      <w:numFmt w:val="decimal"/>
      <w:start w:val="3"/>
    </w:lvl>
    <w:lvl w:ilvl="1">
      <w:lvlJc w:val="left"/>
      <w:lvlText w:val="(%2)"/>
      <w:numFmt w:val="lowerLetter"/>
      <w:start w:val="1"/>
    </w:lvl>
  </w:abstractNum>
  <w:abstractNum w:abstractNumId="84">
    <w:nsid w:val="1D545C4D"/>
    <w:multiLevelType w:val="hybridMultilevel"/>
    <w:lvl w:ilvl="0">
      <w:lvlJc w:val="left"/>
      <w:lvlText w:val="(%1)"/>
      <w:numFmt w:val="lowerRoman"/>
      <w:start w:val="2"/>
    </w:lvl>
    <w:lvl w:ilvl="1">
      <w:lvlJc w:val="left"/>
      <w:lvlText w:val="%2."/>
      <w:numFmt w:val="decimal"/>
      <w:start w:val="4"/>
    </w:lvl>
  </w:abstractNum>
  <w:abstractNum w:abstractNumId="85">
    <w:nsid w:val="59ADEA3D"/>
    <w:multiLevelType w:val="hybridMultilevel"/>
    <w:lvl w:ilvl="0">
      <w:lvlJc w:val="left"/>
      <w:lvlText w:val="(%1)"/>
      <w:numFmt w:val="lowerLetter"/>
      <w:start w:val="1"/>
    </w:lvl>
  </w:abstractNum>
  <w:abstractNum w:abstractNumId="86">
    <w:nsid w:val="288F1A34"/>
    <w:multiLevelType w:val="hybridMultilevel"/>
    <w:lvl w:ilvl="0">
      <w:lvlJc w:val="left"/>
      <w:lvlText w:val="(%1)"/>
      <w:numFmt w:val="lowerLetter"/>
      <w:start w:val="2"/>
    </w:lvl>
  </w:abstractNum>
  <w:abstractNum w:abstractNumId="87">
    <w:nsid w:val="2A155DBC"/>
    <w:multiLevelType w:val="hybridMultilevel"/>
    <w:lvl w:ilvl="0">
      <w:lvlJc w:val="left"/>
      <w:lvlText w:val="(%1)"/>
      <w:numFmt w:val="lowerLetter"/>
      <w:start w:val="1"/>
    </w:lvl>
  </w:abstractNum>
  <w:abstractNum w:abstractNumId="88">
    <w:nsid w:val="1D9F6E5F"/>
    <w:multiLevelType w:val="hybridMultilevel"/>
    <w:lvl w:ilvl="0">
      <w:lvlJc w:val="left"/>
      <w:lvlText w:val="%1"/>
      <w:numFmt w:val="lowerLetter"/>
      <w:start w:val="1"/>
    </w:lvl>
    <w:lvl w:ilvl="1">
      <w:lvlJc w:val="left"/>
      <w:lvlText w:val="(%2)"/>
      <w:numFmt w:val="lowerLetter"/>
      <w:start w:val="1"/>
    </w:lvl>
  </w:abstractNum>
  <w:abstractNum w:abstractNumId="89">
    <w:nsid w:val="97E1B4E"/>
    <w:multiLevelType w:val="hybridMultilevel"/>
    <w:lvl w:ilvl="0">
      <w:lvlJc w:val="left"/>
      <w:lvlText w:val="(%1)"/>
      <w:numFmt w:val="lowerLetter"/>
      <w:start w:val="35"/>
    </w:lvl>
    <w:lvl w:ilvl="1">
      <w:lvlJc w:val="left"/>
      <w:lvlText w:val="%2"/>
      <w:numFmt w:val="lowerLetter"/>
      <w:start w:val="1"/>
    </w:lvl>
  </w:abstractNum>
  <w:abstractNum w:abstractNumId="90">
    <w:nsid w:val="51088277"/>
    <w:multiLevelType w:val="hybridMultilevel"/>
    <w:lvl w:ilvl="0">
      <w:lvlJc w:val="left"/>
      <w:lvlText w:val="(%1)"/>
      <w:numFmt w:val="lowerLetter"/>
      <w:start w:val="2"/>
    </w:lvl>
  </w:abstractNum>
  <w:abstractNum w:abstractNumId="91">
    <w:nsid w:val="1CA0C5FA"/>
    <w:multiLevelType w:val="hybridMultilevel"/>
    <w:lvl w:ilvl="0">
      <w:lvlJc w:val="left"/>
      <w:lvlText w:val="%1"/>
      <w:numFmt w:val="decimal"/>
      <w:start w:val="1"/>
    </w:lvl>
    <w:lvl w:ilvl="1">
      <w:lvlJc w:val="left"/>
      <w:lvlText w:val="(%2)"/>
      <w:numFmt w:val="lowerLetter"/>
      <w:start w:val="1"/>
    </w:lvl>
  </w:abstractNum>
  <w:abstractNum w:abstractNumId="92">
    <w:nsid w:val="53584BCB"/>
    <w:multiLevelType w:val="hybridMultilevel"/>
    <w:lvl w:ilvl="0">
      <w:lvlJc w:val="left"/>
      <w:lvlText w:val="%1."/>
      <w:numFmt w:val="decimal"/>
      <w:start w:val="5"/>
    </w:lvl>
    <w:lvl w:ilvl="1">
      <w:lvlJc w:val="left"/>
      <w:lvlText w:val="%2"/>
      <w:numFmt w:val="lowerLetter"/>
      <w:start w:val="1"/>
    </w:lvl>
  </w:abstractNum>
  <w:abstractNum w:abstractNumId="93">
    <w:nsid w:val="415E286C"/>
    <w:multiLevelType w:val="hybridMultilevel"/>
    <w:lvl w:ilvl="0">
      <w:lvlJc w:val="left"/>
      <w:lvlText w:val="(%1)"/>
      <w:numFmt w:val="lowerLetter"/>
      <w:start w:val="1"/>
    </w:lvl>
  </w:abstractNum>
  <w:abstractNum w:abstractNumId="94">
    <w:nsid w:val="7C58FD05"/>
    <w:multiLevelType w:val="hybridMultilevel"/>
    <w:lvl w:ilvl="0">
      <w:lvlJc w:val="left"/>
      <w:lvlText w:val="(%1)"/>
      <w:numFmt w:val="lowerLetter"/>
      <w:start w:val="1"/>
    </w:lvl>
  </w:abstractNum>
  <w:abstractNum w:abstractNumId="95">
    <w:nsid w:val="23D86AAC"/>
    <w:multiLevelType w:val="hybridMultilevel"/>
    <w:lvl w:ilvl="0">
      <w:lvlJc w:val="left"/>
      <w:lvlText w:val="(%1)"/>
      <w:numFmt w:val="decimal"/>
      <w:start w:val="90"/>
    </w:lvl>
    <w:lvl w:ilvl="1">
      <w:lvlJc w:val="left"/>
      <w:lvlText w:val="(%2)"/>
      <w:numFmt w:val="lowerLetter"/>
      <w:start w:val="5"/>
    </w:lvl>
  </w:abstractNum>
  <w:abstractNum w:abstractNumId="96">
    <w:nsid w:val="45E6D486"/>
    <w:multiLevelType w:val="hybridMultilevel"/>
    <w:lvl w:ilvl="0">
      <w:lvlJc w:val="left"/>
      <w:lvlText w:val="(%1)"/>
      <w:numFmt w:val="lowerLetter"/>
      <w:start w:val="1"/>
    </w:lvl>
  </w:abstractNum>
  <w:abstractNum w:abstractNumId="97">
    <w:nsid w:val="5C10FE21"/>
    <w:multiLevelType w:val="hybridMultilevel"/>
    <w:lvl w:ilvl="0">
      <w:lvlJc w:val="left"/>
      <w:lvlText w:val="(%1)"/>
      <w:numFmt w:val="lowerLetter"/>
      <w:start w:val="1"/>
    </w:lvl>
  </w:abstractNum>
  <w:abstractNum w:abstractNumId="98">
    <w:nsid w:val="E7FFA2B"/>
    <w:multiLevelType w:val="hybridMultilevel"/>
    <w:lvl w:ilvl="0">
      <w:lvlJc w:val="left"/>
      <w:lvlText w:val="(%1)"/>
      <w:numFmt w:val="lowerLetter"/>
      <w:start w:val="2"/>
    </w:lvl>
  </w:abstractNum>
  <w:abstractNum w:abstractNumId="99">
    <w:nsid w:val="3C5991AA"/>
    <w:multiLevelType w:val="hybridMultilevel"/>
    <w:lvl w:ilvl="0">
      <w:lvlJc w:val="left"/>
      <w:lvlText w:val="(%1)"/>
      <w:numFmt w:val="lowerLetter"/>
      <w:start w:val="1"/>
    </w:lvl>
  </w:abstractNum>
  <w:abstractNum w:abstractNumId="100">
    <w:nsid w:val="4BD8591A"/>
    <w:multiLevelType w:val="hybridMultilevel"/>
    <w:lvl w:ilvl="0">
      <w:lvlJc w:val="left"/>
      <w:lvlText w:val="(%1)"/>
      <w:numFmt w:val="lowerLetter"/>
      <w:start w:val="1"/>
    </w:lvl>
  </w:abstractNum>
  <w:abstractNum w:abstractNumId="101">
    <w:nsid w:val="78DF6A55"/>
    <w:multiLevelType w:val="hybridMultilevel"/>
    <w:lvl w:ilvl="0">
      <w:lvlJc w:val="left"/>
      <w:lvlText w:val="%1"/>
      <w:numFmt w:val="lowerLetter"/>
      <w:start w:val="1"/>
    </w:lvl>
    <w:lvl w:ilvl="1">
      <w:lvlJc w:val="left"/>
      <w:lvlText w:val="(%2)"/>
      <w:numFmt w:val="lowerLetter"/>
      <w:start w:val="1"/>
    </w:lvl>
  </w:abstractNum>
  <w:abstractNum w:abstractNumId="102">
    <w:nsid w:val="39B7AAA2"/>
    <w:multiLevelType w:val="hybridMultilevel"/>
    <w:lvl w:ilvl="0">
      <w:lvlJc w:val="left"/>
      <w:lvlText w:val="(%1)"/>
      <w:numFmt w:val="lowerLetter"/>
      <w:start w:val="3"/>
    </w:lvl>
    <w:lvl w:ilvl="1">
      <w:lvlJc w:val="left"/>
      <w:lvlText w:val="%2"/>
      <w:numFmt w:val="lowerLetter"/>
      <w:start w:val="1"/>
    </w:lvl>
  </w:abstractNum>
  <w:abstractNum w:abstractNumId="103">
    <w:nsid w:val="2B0D8DBE"/>
    <w:multiLevelType w:val="hybridMultilevel"/>
    <w:lvl w:ilvl="0">
      <w:lvlJc w:val="left"/>
      <w:lvlText w:val="(%1)"/>
      <w:numFmt w:val="decimal"/>
      <w:start w:val="10"/>
    </w:lvl>
  </w:abstractNum>
  <w:abstractNum w:abstractNumId="104">
    <w:nsid w:val="6C80EC70"/>
    <w:multiLevelType w:val="hybridMultilevel"/>
    <w:lvl w:ilvl="0">
      <w:lvlJc w:val="left"/>
      <w:lvlText w:val="(%1)"/>
      <w:numFmt w:val="lowerRoman"/>
      <w:start w:val="1"/>
    </w:lvl>
  </w:abstractNum>
  <w:abstractNum w:abstractNumId="105">
    <w:nsid w:val="379E21B5"/>
    <w:multiLevelType w:val="hybridMultilevel"/>
    <w:lvl w:ilvl="0">
      <w:lvlJc w:val="left"/>
      <w:lvlText w:val="(%1)"/>
      <w:numFmt w:val="lowerRoman"/>
      <w:start w:val="2"/>
    </w:lvl>
  </w:abstractNum>
  <w:abstractNum w:abstractNumId="106">
    <w:nsid w:val="69E373"/>
    <w:multiLevelType w:val="hybridMultilevel"/>
    <w:lvl w:ilvl="0">
      <w:lvlJc w:val="left"/>
      <w:lvlText w:val="(%1)"/>
      <w:numFmt w:val="lowerLetter"/>
      <w:start w:val="1"/>
    </w:lvl>
  </w:abstractNum>
  <w:abstractNum w:abstractNumId="107">
    <w:nsid w:val="2C27173B"/>
    <w:multiLevelType w:val="hybridMultilevel"/>
    <w:lvl w:ilvl="0">
      <w:lvlJc w:val="left"/>
      <w:lvlText w:val="(%1)"/>
      <w:numFmt w:val="lowerLetter"/>
      <w:start w:val="1"/>
    </w:lvl>
  </w:abstractNum>
  <w:abstractNum w:abstractNumId="108">
    <w:nsid w:val="4C9B0904"/>
    <w:multiLevelType w:val="hybridMultilevel"/>
    <w:lvl w:ilvl="0">
      <w:lvlJc w:val="left"/>
      <w:lvlText w:val="(%1)"/>
      <w:numFmt w:val="lowerLetter"/>
      <w:start w:val="25"/>
    </w:lvl>
  </w:abstractNum>
  <w:abstractNum w:abstractNumId="109">
    <w:nsid w:val="6AA7B75C"/>
    <w:multiLevelType w:val="hybridMultilevel"/>
    <w:lvl w:ilvl="0">
      <w:lvlJc w:val="left"/>
      <w:lvlText w:val="(%1)"/>
      <w:numFmt w:val="lowerLetter"/>
      <w:start w:val="1"/>
    </w:lvl>
  </w:abstractNum>
  <w:abstractNum w:abstractNumId="110">
    <w:nsid w:val="1DF029D3"/>
    <w:multiLevelType w:val="hybridMultilevel"/>
    <w:lvl w:ilvl="0">
      <w:lvlJc w:val="left"/>
      <w:lvlText w:val="(%1)"/>
      <w:numFmt w:val="lowerLetter"/>
      <w:start w:val="4"/>
    </w:lvl>
  </w:abstractNum>
  <w:abstractNum w:abstractNumId="111">
    <w:nsid w:val="5675FF36"/>
    <w:multiLevelType w:val="hybridMultilevel"/>
    <w:lvl w:ilvl="0">
      <w:lvlJc w:val="left"/>
      <w:lvlText w:val="(%1)"/>
      <w:numFmt w:val="lowerLetter"/>
      <w:start w:val="1"/>
    </w:lvl>
  </w:abstractNum>
  <w:abstractNum w:abstractNumId="112">
    <w:nsid w:val="3DD15094"/>
    <w:multiLevelType w:val="hybridMultilevel"/>
    <w:lvl w:ilvl="0">
      <w:lvlJc w:val="left"/>
      <w:lvlText w:val="%1."/>
      <w:numFmt w:val="decimal"/>
      <w:start w:val="12"/>
    </w:lvl>
    <w:lvl w:ilvl="1">
      <w:lvlJc w:val="left"/>
      <w:lvlText w:val="(%2)"/>
      <w:numFmt w:val="lowerLetter"/>
      <w:start w:val="1"/>
    </w:lvl>
  </w:abstractNum>
  <w:abstractNum w:abstractNumId="113">
    <w:nsid w:val="3DB012B3"/>
    <w:multiLevelType w:val="hybridMultilevel"/>
    <w:lvl w:ilvl="0">
      <w:lvlJc w:val="left"/>
      <w:lvlText w:val="(%1)"/>
      <w:numFmt w:val="lowerLetter"/>
      <w:start w:val="2"/>
    </w:lvl>
  </w:abstractNum>
  <w:abstractNum w:abstractNumId="114">
    <w:nsid w:val="2708C9AF"/>
    <w:multiLevelType w:val="hybridMultilevel"/>
    <w:lvl w:ilvl="0">
      <w:lvlJc w:val="left"/>
      <w:lvlText w:val="(%1)"/>
      <w:numFmt w:val="lowerLetter"/>
      <w:start w:val="1"/>
    </w:lvl>
  </w:abstractNum>
  <w:abstractNum w:abstractNumId="115">
    <w:nsid w:val="5B25ACE2"/>
    <w:multiLevelType w:val="hybridMultilevel"/>
    <w:lvl w:ilvl="0">
      <w:lvlJc w:val="left"/>
      <w:lvlText w:val="(%1)"/>
      <w:numFmt w:val="lowerLetter"/>
      <w:start w:val="1"/>
    </w:lvl>
  </w:abstractNum>
  <w:abstractNum w:abstractNumId="116">
    <w:nsid w:val="175DFCF0"/>
    <w:multiLevelType w:val="hybridMultilevel"/>
    <w:lvl w:ilvl="0">
      <w:lvlJc w:val="left"/>
      <w:lvlText w:val="(%1)"/>
      <w:numFmt w:val="lowerLetter"/>
      <w:start w:val="2"/>
    </w:lvl>
  </w:abstractNum>
  <w:abstractNum w:abstractNumId="117">
    <w:nsid w:val="4F97E3E4"/>
    <w:multiLevelType w:val="hybridMultilevel"/>
    <w:lvl w:ilvl="0">
      <w:lvlJc w:val="left"/>
      <w:lvlText w:val="(%1)"/>
      <w:numFmt w:val="lowerLetter"/>
      <w:start w:val="6"/>
    </w:lvl>
  </w:abstractNum>
  <w:abstractNum w:abstractNumId="118">
    <w:nsid w:val="53B0A9E"/>
    <w:multiLevelType w:val="hybridMultilevel"/>
    <w:lvl w:ilvl="0">
      <w:lvlJc w:val="left"/>
      <w:lvlText w:val="(%1)"/>
      <w:numFmt w:val="lowerLetter"/>
      <w:start w:val="1"/>
    </w:lvl>
  </w:abstractNum>
  <w:abstractNum w:abstractNumId="119">
    <w:nsid w:val="34FD6B4F"/>
    <w:multiLevelType w:val="hybridMultilevel"/>
    <w:lvl w:ilvl="0">
      <w:lvlJc w:val="left"/>
      <w:lvlText w:val="(%1)"/>
      <w:numFmt w:val="lowerLetter"/>
      <w:start w:val="3"/>
    </w:lvl>
  </w:abstractNum>
  <w:abstractNum w:abstractNumId="120">
    <w:nsid w:val="5915FF32"/>
    <w:multiLevelType w:val="hybridMultilevel"/>
    <w:lvl w:ilvl="0">
      <w:lvlJc w:val="left"/>
      <w:lvlText w:val="(%1)"/>
      <w:numFmt w:val="lowerLetter"/>
      <w:start w:val="7"/>
    </w:lvl>
  </w:abstractNum>
  <w:abstractNum w:abstractNumId="121">
    <w:nsid w:val="56438D15"/>
    <w:multiLevelType w:val="hybridMultilevel"/>
    <w:lvl w:ilvl="0">
      <w:lvlJc w:val="left"/>
      <w:lvlText w:val="(%1)"/>
      <w:numFmt w:val="lowerLetter"/>
      <w:start w:val="12"/>
    </w:lvl>
  </w:abstractNum>
  <w:abstractNum w:abstractNumId="122">
    <w:nsid w:val="519E3149"/>
    <w:multiLevelType w:val="hybridMultilevel"/>
    <w:lvl w:ilvl="0">
      <w:lvlJc w:val="left"/>
      <w:lvlText w:val="(%1)"/>
      <w:numFmt w:val="lowerLetter"/>
      <w:start w:val="19"/>
    </w:lvl>
  </w:abstractNum>
  <w:abstractNum w:abstractNumId="123">
    <w:nsid w:val="2C6E4AFD"/>
    <w:multiLevelType w:val="hybridMultilevel"/>
    <w:lvl w:ilvl="0">
      <w:lvlJc w:val="left"/>
      <w:lvlText w:val="(%1)"/>
      <w:numFmt w:val="lowerLetter"/>
      <w:start w:val="20"/>
    </w:lvl>
  </w:abstractNum>
  <w:abstractNum w:abstractNumId="124">
    <w:nsid w:val="17A1B582"/>
    <w:multiLevelType w:val="hybridMultilevel"/>
    <w:lvl w:ilvl="0">
      <w:lvlJc w:val="left"/>
      <w:lvlText w:val="(%1)"/>
      <w:numFmt w:val="lowerLetter"/>
      <w:start w:val="27"/>
    </w:lvl>
  </w:abstractNum>
  <w:abstractNum w:abstractNumId="125">
    <w:nsid w:val="4DF72E4E"/>
    <w:multiLevelType w:val="hybridMultilevel"/>
    <w:lvl w:ilvl="0">
      <w:lvlJc w:val="left"/>
      <w:lvlText w:val="(%1)"/>
      <w:numFmt w:val="lowerLetter"/>
      <w:start w:val="32"/>
    </w:lvl>
  </w:abstractNum>
  <w:abstractNum w:abstractNumId="126">
    <w:nsid w:val="5046B5A9"/>
    <w:multiLevelType w:val="hybridMultilevel"/>
    <w:lvl w:ilvl="0">
      <w:lvlJc w:val="left"/>
      <w:lvlText w:val="(%1)"/>
      <w:numFmt w:val="lowerLetter"/>
      <w:start w:val="33"/>
    </w:lvl>
  </w:abstractNum>
  <w:abstractNum w:abstractNumId="127">
    <w:nsid w:val="5D888A08"/>
    <w:multiLevelType w:val="hybridMultilevel"/>
    <w:lvl w:ilvl="0">
      <w:lvlJc w:val="left"/>
      <w:lvlText w:val="(%1)"/>
      <w:numFmt w:val="lowerLetter"/>
      <w:start w:val="39"/>
    </w:lvl>
  </w:abstractNum>
  <w:abstractNum w:abstractNumId="128">
    <w:nsid w:val="2A082C7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283" Type="http://schemas.openxmlformats.org/officeDocument/2006/relationships/hyperlink" Target="https://www.sec.gov/Archives/edgar/data/1858848/000095017023040651/tnya-ex3_1.htm" TargetMode="External"/><Relationship Id="rId284" Type="http://schemas.openxmlformats.org/officeDocument/2006/relationships/hyperlink" Target="https://www.sec.gov/Archives/edgar/data/1858848/000095017023008934/tnya-ex3_1.htm" TargetMode="External"/><Relationship Id="rId285" Type="http://schemas.openxmlformats.org/officeDocument/2006/relationships/hyperlink" Target="https://www.sec.gov/Archives/edgar/data/1858848/000095017024106817/tnya-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2024-11-06T16:02:18Z</dcterms:created>
  <dcterms:modified xsi:type="dcterms:W3CDTF">2024-11-06T16:02:18Z</dcterms:modified>
</cp:coreProperties>
</file>