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333-257820 and 333-258285</w:t>
      </w:r>
    </w:p>
    <w:p>
      <w:pPr>
        <w:spacing w:after="0" w:line="136" w:lineRule="exact"/>
        <w:rPr>
          <w:sz w:val="24"/>
          <w:szCs w:val="24"/>
          <w:color w:val="auto"/>
        </w:rPr>
      </w:pPr>
    </w:p>
    <w:p>
      <w:pPr>
        <w:ind w:left="120"/>
        <w:spacing w:after="0"/>
        <w:rPr>
          <w:sz w:val="20"/>
          <w:szCs w:val="20"/>
          <w:color w:val="auto"/>
        </w:rPr>
      </w:pPr>
      <w:r>
        <w:rPr>
          <w:rFonts w:ascii="Arial" w:cs="Arial" w:eastAsia="Arial" w:hAnsi="Arial"/>
          <w:sz w:val="22"/>
          <w:szCs w:val="22"/>
          <w:i w:val="1"/>
          <w:iCs w:val="1"/>
          <w:color w:val="auto"/>
        </w:rPr>
        <w:t>PROSPECTUS</w:t>
      </w: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32"/>
          <w:szCs w:val="32"/>
          <w:i w:val="1"/>
          <w:iCs w:val="1"/>
          <w:color w:val="auto"/>
        </w:rPr>
        <w:t>12,000,000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70485</wp:posOffset>
            </wp:positionV>
            <wp:extent cx="2331720" cy="831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31720" cy="831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Tenaya Therapeutics, Inc. is offering 12,000,000 shares of our common stock. This is the initial public offering, and no public market currently exists for our shares of common stock. The initial public offering price 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common stock has been approved for listing on the Nasdaq Global Select Market under the symbol “TNYA”.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229235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120" w:right="72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are an “emerging growth company” as defined under the federal securities laws. Investing in our common stock involves risks. See the section titled “</w:t>
      </w:r>
      <w:hyperlink w:anchor="page18">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193040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PRICE $15.00 A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177800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gridSpan w:val="2"/>
          </w:tcPr>
          <w:p>
            <w:pPr>
              <w:jc w:val="center"/>
              <w:ind w:right="1020"/>
              <w:spacing w:after="0"/>
              <w:rPr>
                <w:sz w:val="20"/>
                <w:szCs w:val="20"/>
                <w:color w:val="auto"/>
              </w:rPr>
            </w:pPr>
            <w:r>
              <w:rPr>
                <w:rFonts w:ascii="Arial" w:cs="Arial" w:eastAsia="Arial" w:hAnsi="Arial"/>
                <w:sz w:val="14"/>
                <w:szCs w:val="14"/>
                <w:b w:val="1"/>
                <w:bCs w:val="1"/>
                <w:i w:val="1"/>
                <w:iCs w:val="1"/>
                <w:color w:val="auto"/>
                <w:w w:val="92"/>
              </w:rPr>
              <w:t>Underwriting</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i w:val="1"/>
                <w:iCs w:val="1"/>
                <w:color w:val="auto"/>
                <w:w w:val="88"/>
              </w:rPr>
              <w:t>Discounts</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4420" w:type="dxa"/>
            <w:vAlign w:val="bottom"/>
            <w:gridSpan w:val="3"/>
          </w:tcPr>
          <w:p>
            <w:pPr>
              <w:jc w:val="right"/>
              <w:ind w:right="1210"/>
              <w:spacing w:after="0" w:line="149" w:lineRule="exact"/>
              <w:rPr>
                <w:sz w:val="20"/>
                <w:szCs w:val="20"/>
                <w:color w:val="auto"/>
              </w:rPr>
            </w:pPr>
            <w:r>
              <w:rPr>
                <w:rFonts w:ascii="Arial" w:cs="Arial" w:eastAsia="Arial" w:hAnsi="Arial"/>
                <w:sz w:val="14"/>
                <w:szCs w:val="14"/>
                <w:b w:val="1"/>
                <w:bCs w:val="1"/>
                <w:i w:val="1"/>
                <w:iCs w:val="1"/>
                <w:color w:val="auto"/>
              </w:rPr>
              <w:t>Price to</w:t>
            </w:r>
          </w:p>
        </w:tc>
        <w:tc>
          <w:tcPr>
            <w:tcW w:w="19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91"/>
              </w:rPr>
              <w:t>Tenaya</w:t>
            </w: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4420" w:type="dxa"/>
            <w:vAlign w:val="bottom"/>
            <w:gridSpan w:val="3"/>
          </w:tcPr>
          <w:p>
            <w:pPr>
              <w:jc w:val="right"/>
              <w:ind w:right="1250"/>
              <w:spacing w:after="0"/>
              <w:rPr>
                <w:sz w:val="20"/>
                <w:szCs w:val="20"/>
                <w:color w:val="auto"/>
              </w:rPr>
            </w:pPr>
            <w:r>
              <w:rPr>
                <w:rFonts w:ascii="Arial" w:cs="Arial" w:eastAsia="Arial" w:hAnsi="Arial"/>
                <w:sz w:val="14"/>
                <w:szCs w:val="14"/>
                <w:b w:val="1"/>
                <w:bCs w:val="1"/>
                <w:i w:val="1"/>
                <w:iCs w:val="1"/>
                <w:color w:val="auto"/>
              </w:rPr>
              <w:t>Public</w:t>
            </w:r>
          </w:p>
        </w:tc>
        <w:tc>
          <w:tcPr>
            <w:tcW w:w="1980" w:type="dxa"/>
            <w:vAlign w:val="bottom"/>
            <w:gridSpan w:val="2"/>
          </w:tcPr>
          <w:p>
            <w:pPr>
              <w:jc w:val="center"/>
              <w:ind w:right="1020"/>
              <w:spacing w:after="0"/>
              <w:rPr>
                <w:sz w:val="20"/>
                <w:szCs w:val="20"/>
                <w:color w:val="auto"/>
              </w:rPr>
            </w:pPr>
            <w:r>
              <w:rPr>
                <w:rFonts w:ascii="Arial" w:cs="Arial" w:eastAsia="Arial" w:hAnsi="Arial"/>
                <w:sz w:val="14"/>
                <w:szCs w:val="14"/>
                <w:b w:val="1"/>
                <w:bCs w:val="1"/>
                <w:i w:val="1"/>
                <w:iCs w:val="1"/>
                <w:color w:val="auto"/>
                <w:w w:val="86"/>
              </w:rPr>
              <w:t>Commissions</w:t>
            </w:r>
            <w:r>
              <w:rPr>
                <w:rFonts w:ascii="Arial" w:cs="Arial" w:eastAsia="Arial" w:hAnsi="Arial"/>
                <w:sz w:val="12"/>
                <w:szCs w:val="12"/>
                <w:b w:val="1"/>
                <w:bCs w:val="1"/>
                <w:i w:val="1"/>
                <w:iCs w:val="1"/>
                <w:color w:val="auto"/>
                <w:w w:val="86"/>
              </w:rPr>
              <w:t>(1)</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i w:val="1"/>
                <w:iCs w:val="1"/>
                <w:color w:val="auto"/>
                <w:w w:val="90"/>
              </w:rPr>
              <w:t>Therapeutics, Inc.</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i w:val="1"/>
                <w:iCs w:val="1"/>
                <w:color w:val="auto"/>
              </w:rPr>
              <w:t>Per Share</w:t>
            </w:r>
          </w:p>
        </w:tc>
        <w:tc>
          <w:tcPr>
            <w:tcW w:w="27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vMerge w:val="restart"/>
          </w:tcPr>
          <w:p>
            <w:pPr>
              <w:jc w:val="right"/>
              <w:ind w:right="770"/>
              <w:spacing w:after="0"/>
              <w:rPr>
                <w:sz w:val="20"/>
                <w:szCs w:val="20"/>
                <w:color w:val="auto"/>
              </w:rPr>
            </w:pPr>
            <w:r>
              <w:rPr>
                <w:rFonts w:ascii="Arial" w:cs="Arial" w:eastAsia="Arial" w:hAnsi="Arial"/>
                <w:sz w:val="18"/>
                <w:szCs w:val="18"/>
                <w:i w:val="1"/>
                <w:iCs w:val="1"/>
                <w:color w:val="auto"/>
                <w:w w:val="83"/>
              </w:rPr>
              <w:t>$15.00</w:t>
            </w:r>
          </w:p>
        </w:tc>
        <w:tc>
          <w:tcPr>
            <w:tcW w:w="9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vMerge w:val="continue"/>
          </w:tcPr>
          <w:p>
            <w:pPr>
              <w:spacing w:after="0"/>
              <w:rPr>
                <w:sz w:val="16"/>
                <w:szCs w:val="16"/>
                <w:color w:val="auto"/>
              </w:rPr>
            </w:pPr>
          </w:p>
        </w:tc>
        <w:tc>
          <w:tcPr>
            <w:tcW w:w="27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980" w:type="dxa"/>
            <w:vAlign w:val="bottom"/>
            <w:gridSpan w:val="2"/>
          </w:tcPr>
          <w:p>
            <w:pPr>
              <w:jc w:val="right"/>
              <w:ind w:right="880"/>
              <w:spacing w:after="0" w:line="195" w:lineRule="exact"/>
              <w:rPr>
                <w:sz w:val="20"/>
                <w:szCs w:val="20"/>
                <w:color w:val="auto"/>
              </w:rPr>
            </w:pPr>
            <w:r>
              <w:rPr>
                <w:rFonts w:ascii="Arial" w:cs="Arial" w:eastAsia="Arial" w:hAnsi="Arial"/>
                <w:sz w:val="18"/>
                <w:szCs w:val="18"/>
                <w:i w:val="1"/>
                <w:iCs w:val="1"/>
                <w:color w:val="auto"/>
              </w:rPr>
              <w:t>$1.05</w:t>
            </w:r>
          </w:p>
        </w:tc>
        <w:tc>
          <w:tcPr>
            <w:tcW w:w="1260" w:type="dxa"/>
            <w:vAlign w:val="bottom"/>
            <w:gridSpan w:val="2"/>
          </w:tcPr>
          <w:p>
            <w:pPr>
              <w:jc w:val="right"/>
              <w:spacing w:after="0" w:line="195" w:lineRule="exact"/>
              <w:rPr>
                <w:sz w:val="20"/>
                <w:szCs w:val="20"/>
                <w:color w:val="auto"/>
              </w:rPr>
            </w:pPr>
            <w:r>
              <w:rPr>
                <w:rFonts w:ascii="Arial" w:cs="Arial" w:eastAsia="Arial" w:hAnsi="Arial"/>
                <w:sz w:val="18"/>
                <w:szCs w:val="18"/>
                <w:i w:val="1"/>
                <w:iCs w:val="1"/>
                <w:color w:val="auto"/>
              </w:rPr>
              <w:t>$13.95</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4420" w:type="dxa"/>
            <w:vAlign w:val="bottom"/>
            <w:gridSpan w:val="3"/>
          </w:tcPr>
          <w:p>
            <w:pPr>
              <w:jc w:val="right"/>
              <w:ind w:right="770"/>
              <w:spacing w:after="0"/>
              <w:rPr>
                <w:sz w:val="20"/>
                <w:szCs w:val="20"/>
                <w:color w:val="auto"/>
              </w:rPr>
            </w:pPr>
            <w:r>
              <w:rPr>
                <w:rFonts w:ascii="Arial" w:cs="Arial" w:eastAsia="Arial" w:hAnsi="Arial"/>
                <w:sz w:val="18"/>
                <w:szCs w:val="18"/>
                <w:i w:val="1"/>
                <w:iCs w:val="1"/>
                <w:color w:val="auto"/>
              </w:rPr>
              <w:t>$180,000,000</w:t>
            </w:r>
          </w:p>
        </w:tc>
        <w:tc>
          <w:tcPr>
            <w:tcW w:w="1980" w:type="dxa"/>
            <w:vAlign w:val="bottom"/>
            <w:gridSpan w:val="2"/>
          </w:tcPr>
          <w:p>
            <w:pPr>
              <w:jc w:val="right"/>
              <w:ind w:right="880"/>
              <w:spacing w:after="0"/>
              <w:rPr>
                <w:sz w:val="20"/>
                <w:szCs w:val="20"/>
                <w:color w:val="auto"/>
              </w:rPr>
            </w:pPr>
            <w:r>
              <w:rPr>
                <w:rFonts w:ascii="Arial" w:cs="Arial" w:eastAsia="Arial" w:hAnsi="Arial"/>
                <w:sz w:val="18"/>
                <w:szCs w:val="18"/>
                <w:i w:val="1"/>
                <w:iCs w:val="1"/>
                <w:color w:val="auto"/>
              </w:rPr>
              <w:t>$12,600,000</w:t>
            </w:r>
          </w:p>
        </w:tc>
        <w:tc>
          <w:tcPr>
            <w:tcW w:w="1260" w:type="dxa"/>
            <w:vAlign w:val="bottom"/>
            <w:gridSpan w:val="2"/>
          </w:tcPr>
          <w:p>
            <w:pPr>
              <w:jc w:val="right"/>
              <w:spacing w:after="0"/>
              <w:rPr>
                <w:sz w:val="20"/>
                <w:szCs w:val="20"/>
                <w:color w:val="auto"/>
              </w:rPr>
            </w:pPr>
            <w:r>
              <w:rPr>
                <w:rFonts w:ascii="Arial" w:cs="Arial" w:eastAsia="Arial" w:hAnsi="Arial"/>
                <w:sz w:val="18"/>
                <w:szCs w:val="18"/>
                <w:i w:val="1"/>
                <w:iCs w:val="1"/>
                <w:color w:val="auto"/>
              </w:rPr>
              <w:t>$167,400,000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See the section titled “Underwriters” for a description of the compensation payable to the underwriters.</w:t>
      </w:r>
    </w:p>
    <w:p>
      <w:pPr>
        <w:spacing w:after="0" w:line="144" w:lineRule="exact"/>
        <w:rPr>
          <w:sz w:val="24"/>
          <w:szCs w:val="24"/>
          <w:color w:val="auto"/>
        </w:rPr>
      </w:pPr>
    </w:p>
    <w:p>
      <w:pPr>
        <w:ind w:left="120"/>
        <w:spacing w:after="0"/>
        <w:rPr>
          <w:sz w:val="20"/>
          <w:szCs w:val="20"/>
          <w:color w:val="auto"/>
        </w:rPr>
      </w:pPr>
      <w:r>
        <w:rPr>
          <w:rFonts w:ascii="Arial" w:cs="Arial" w:eastAsia="Arial" w:hAnsi="Arial"/>
          <w:sz w:val="17"/>
          <w:szCs w:val="17"/>
          <w:i w:val="1"/>
          <w:iCs w:val="1"/>
          <w:color w:val="auto"/>
        </w:rPr>
        <w:t>We have granted the underwriters the right to purchase up to 1,800,000 additional shares of our common stock to cover over-allotments, if any.</w:t>
      </w:r>
    </w:p>
    <w:p>
      <w:pPr>
        <w:spacing w:after="0" w:line="169" w:lineRule="exact"/>
        <w:rPr>
          <w:sz w:val="24"/>
          <w:szCs w:val="24"/>
          <w:color w:val="auto"/>
        </w:rPr>
      </w:pPr>
    </w:p>
    <w:p>
      <w:pPr>
        <w:ind w:left="120" w:right="36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03" w:lineRule="exact"/>
        <w:rPr>
          <w:sz w:val="24"/>
          <w:szCs w:val="24"/>
          <w:color w:val="auto"/>
        </w:rPr>
      </w:pPr>
    </w:p>
    <w:p>
      <w:pPr>
        <w:ind w:left="120"/>
        <w:spacing w:after="0"/>
        <w:rPr>
          <w:sz w:val="20"/>
          <w:szCs w:val="20"/>
          <w:color w:val="auto"/>
        </w:rPr>
      </w:pPr>
      <w:r>
        <w:rPr>
          <w:rFonts w:ascii="Arial" w:cs="Arial" w:eastAsia="Arial" w:hAnsi="Arial"/>
          <w:sz w:val="18"/>
          <w:szCs w:val="18"/>
          <w:i w:val="1"/>
          <w:iCs w:val="1"/>
          <w:color w:val="auto"/>
        </w:rPr>
        <w:t>The underwriters expect to deliver the shares against payment in New York, New York, on or about August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220345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left="120"/>
        <w:spacing w:after="0"/>
        <w:tabs>
          <w:tab w:leader="none" w:pos="5320" w:val="left"/>
          <w:tab w:leader="none" w:pos="9300" w:val="left"/>
        </w:tabs>
        <w:rPr>
          <w:sz w:val="20"/>
          <w:szCs w:val="20"/>
          <w:color w:val="auto"/>
        </w:rPr>
      </w:pPr>
      <w:r>
        <w:rPr>
          <w:rFonts w:ascii="Arial" w:cs="Arial" w:eastAsia="Arial" w:hAnsi="Arial"/>
          <w:sz w:val="32"/>
          <w:szCs w:val="32"/>
          <w:i w:val="1"/>
          <w:iCs w:val="1"/>
          <w:color w:val="auto"/>
        </w:rPr>
        <w:t>Morgan Stanley</w:t>
      </w:r>
      <w:r>
        <w:rPr>
          <w:sz w:val="20"/>
          <w:szCs w:val="20"/>
          <w:color w:val="auto"/>
        </w:rPr>
        <w:tab/>
      </w:r>
      <w:r>
        <w:rPr>
          <w:rFonts w:ascii="Arial" w:cs="Arial" w:eastAsia="Arial" w:hAnsi="Arial"/>
          <w:sz w:val="32"/>
          <w:szCs w:val="32"/>
          <w:i w:val="1"/>
          <w:iCs w:val="1"/>
          <w:color w:val="auto"/>
        </w:rPr>
        <w:t>Cowen</w:t>
      </w:r>
      <w:r>
        <w:rPr>
          <w:sz w:val="20"/>
          <w:szCs w:val="20"/>
          <w:color w:val="auto"/>
        </w:rPr>
        <w:tab/>
      </w:r>
      <w:r>
        <w:rPr>
          <w:rFonts w:ascii="Arial" w:cs="Arial" w:eastAsia="Arial" w:hAnsi="Arial"/>
          <w:sz w:val="30"/>
          <w:szCs w:val="30"/>
          <w:i w:val="1"/>
          <w:iCs w:val="1"/>
          <w:color w:val="auto"/>
        </w:rPr>
        <w:t>Piper Sandler</w:t>
      </w:r>
    </w:p>
    <w:p>
      <w:pPr>
        <w:spacing w:after="0" w:line="73" w:lineRule="exact"/>
        <w:rPr>
          <w:sz w:val="24"/>
          <w:szCs w:val="24"/>
          <w:color w:val="auto"/>
        </w:rPr>
      </w:pPr>
    </w:p>
    <w:p>
      <w:pPr>
        <w:jc w:val="center"/>
        <w:ind w:left="340"/>
        <w:spacing w:after="0"/>
        <w:rPr>
          <w:sz w:val="20"/>
          <w:szCs w:val="20"/>
          <w:color w:val="auto"/>
        </w:rPr>
      </w:pPr>
      <w:r>
        <w:rPr>
          <w:rFonts w:ascii="Arial" w:cs="Arial" w:eastAsia="Arial" w:hAnsi="Arial"/>
          <w:sz w:val="29"/>
          <w:szCs w:val="29"/>
          <w:i w:val="1"/>
          <w:iCs w:val="1"/>
          <w:color w:val="auto"/>
        </w:rPr>
        <w:t>Chardan</w:t>
      </w:r>
    </w:p>
    <w:p>
      <w:pPr>
        <w:spacing w:after="0" w:line="189" w:lineRule="exact"/>
        <w:rPr>
          <w:sz w:val="24"/>
          <w:szCs w:val="24"/>
          <w:color w:val="auto"/>
        </w:rPr>
      </w:pPr>
    </w:p>
    <w:p>
      <w:pPr>
        <w:ind w:left="120"/>
        <w:spacing w:after="0"/>
        <w:rPr>
          <w:sz w:val="20"/>
          <w:szCs w:val="20"/>
          <w:color w:val="auto"/>
        </w:rPr>
      </w:pPr>
      <w:r>
        <w:rPr>
          <w:rFonts w:ascii="Arial" w:cs="Arial" w:eastAsia="Arial" w:hAnsi="Arial"/>
          <w:sz w:val="18"/>
          <w:szCs w:val="18"/>
          <w:i w:val="1"/>
          <w:iCs w:val="1"/>
          <w:color w:val="auto"/>
        </w:rPr>
        <w:t>July 29, 2021</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40" w:type="dxa"/>
            <w:vAlign w:val="bottom"/>
            <w:gridSpan w:val="1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Page</w:t>
            </w:r>
          </w:p>
        </w:tc>
        <w:tc>
          <w:tcPr>
            <w:tcW w:w="5000" w:type="dxa"/>
            <w:vAlign w:val="bottom"/>
            <w:gridSpan w:val="13"/>
            <w:vMerge w:val="restart"/>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840" w:type="dxa"/>
            <w:vAlign w:val="bottom"/>
            <w:gridSpan w:val="16"/>
            <w:vMerge w:val="continue"/>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4"/>
                <w:szCs w:val="14"/>
                <w:color w:val="auto"/>
              </w:rPr>
            </w:pPr>
          </w:p>
        </w:tc>
        <w:tc>
          <w:tcPr>
            <w:tcW w:w="500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218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gridSpan w:val="1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2760" w:type="dxa"/>
            <w:vAlign w:val="bottom"/>
            <w:gridSpan w:val="5"/>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16</w:t>
            </w:r>
          </w:p>
        </w:tc>
        <w:tc>
          <w:tcPr>
            <w:tcW w:w="5000" w:type="dxa"/>
            <w:vAlign w:val="bottom"/>
            <w:gridSpan w:val="13"/>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CERTAIN RELATIONSHIPS AND RELATED PARTY</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5"/>
          </w:tcPr>
          <w:p>
            <w:pPr>
              <w:spacing w:after="0" w:line="196"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SPECIAL NOTE REGARDING FORWARD- LOOKING</w:t>
              </w:r>
            </w:hyperlink>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20" w:type="dxa"/>
            <w:vAlign w:val="bottom"/>
            <w:gridSpan w:val="12"/>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96">
              <w:r>
                <w:rPr>
                  <w:rFonts w:ascii="Arial" w:cs="Arial" w:eastAsia="Arial" w:hAnsi="Arial"/>
                  <w:sz w:val="18"/>
                  <w:szCs w:val="18"/>
                  <w:color w:val="0000EE"/>
                  <w:w w:val="92"/>
                </w:rPr>
                <w:t>STATEMENTS</w:t>
              </w:r>
            </w:hyperlink>
          </w:p>
        </w:tc>
        <w:tc>
          <w:tcPr>
            <w:tcW w:w="288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94</w:t>
            </w:r>
          </w:p>
        </w:tc>
        <w:tc>
          <w:tcPr>
            <w:tcW w:w="244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236">
              <w:r>
                <w:rPr>
                  <w:rFonts w:ascii="Arial" w:cs="Arial" w:eastAsia="Arial" w:hAnsi="Arial"/>
                  <w:sz w:val="18"/>
                  <w:szCs w:val="18"/>
                  <w:color w:val="0000EE"/>
                  <w:w w:val="96"/>
                </w:rPr>
                <w:t>PRINCIPAL STOCKHOLDERS</w:t>
              </w:r>
            </w:hyperlink>
          </w:p>
        </w:tc>
        <w:tc>
          <w:tcPr>
            <w:tcW w:w="25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234</w:t>
            </w:r>
          </w:p>
        </w:tc>
        <w:tc>
          <w:tcPr>
            <w:tcW w:w="0" w:type="dxa"/>
            <w:vAlign w:val="bottom"/>
          </w:tcPr>
          <w:p>
            <w:pPr>
              <w:spacing w:after="0"/>
              <w:rPr>
                <w:sz w:val="1"/>
                <w:szCs w:val="1"/>
                <w:color w:val="auto"/>
              </w:rPr>
            </w:pPr>
          </w:p>
        </w:tc>
      </w:tr>
      <w:tr>
        <w:trPr>
          <w:trHeight w:val="196"/>
        </w:trPr>
        <w:tc>
          <w:tcPr>
            <w:tcW w:w="4840" w:type="dxa"/>
            <w:vAlign w:val="bottom"/>
            <w:gridSpan w:val="1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MARKET, INDUSTRY AND OTHER DATA</w:t>
              </w:r>
            </w:hyperlink>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96</w:t>
            </w:r>
          </w:p>
        </w:tc>
        <w:tc>
          <w:tcPr>
            <w:tcW w:w="5000" w:type="dxa"/>
            <w:vAlign w:val="bottom"/>
            <w:gridSpan w:val="13"/>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DESCRIPTION OF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237</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USE OF PROCEEDS</w:t>
              </w:r>
            </w:hyperlink>
          </w:p>
        </w:tc>
        <w:tc>
          <w:tcPr>
            <w:tcW w:w="1720" w:type="dxa"/>
            <w:vAlign w:val="bottom"/>
            <w:gridSpan w:val="3"/>
          </w:tcPr>
          <w:p>
            <w:pPr>
              <w:spacing w:after="0"/>
              <w:rPr>
                <w:sz w:val="17"/>
                <w:szCs w:val="17"/>
                <w:color w:val="auto"/>
              </w:rPr>
            </w:pPr>
          </w:p>
        </w:tc>
        <w:tc>
          <w:tcPr>
            <w:tcW w:w="1520" w:type="dxa"/>
            <w:vAlign w:val="bottom"/>
            <w:gridSpan w:val="3"/>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97</w:t>
            </w:r>
          </w:p>
        </w:tc>
        <w:tc>
          <w:tcPr>
            <w:tcW w:w="31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245">
              <w:r>
                <w:rPr>
                  <w:rFonts w:ascii="Arial" w:cs="Arial" w:eastAsia="Arial" w:hAnsi="Arial"/>
                  <w:sz w:val="18"/>
                  <w:szCs w:val="18"/>
                  <w:color w:val="0000EE"/>
                  <w:w w:val="95"/>
                </w:rPr>
                <w:t>SHARES ELIGIBLE FOR FUTURE SALE</w:t>
              </w:r>
            </w:hyperlink>
          </w:p>
        </w:tc>
        <w:tc>
          <w:tcPr>
            <w:tcW w:w="18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243</w:t>
            </w:r>
          </w:p>
        </w:tc>
        <w:tc>
          <w:tcPr>
            <w:tcW w:w="0" w:type="dxa"/>
            <w:vAlign w:val="bottom"/>
          </w:tcPr>
          <w:p>
            <w:pPr>
              <w:spacing w:after="0"/>
              <w:rPr>
                <w:sz w:val="1"/>
                <w:szCs w:val="1"/>
                <w:color w:val="auto"/>
              </w:rPr>
            </w:pPr>
          </w:p>
        </w:tc>
      </w:tr>
      <w:tr>
        <w:trPr>
          <w:trHeight w:val="196"/>
        </w:trPr>
        <w:tc>
          <w:tcPr>
            <w:tcW w:w="1580" w:type="dxa"/>
            <w:vAlign w:val="bottom"/>
            <w:gridSpan w:val="9"/>
          </w:tcPr>
          <w:p>
            <w:pPr>
              <w:spacing w:after="0" w:line="196" w:lineRule="exact"/>
              <w:rPr>
                <w:rFonts w:ascii="Arial" w:cs="Arial" w:eastAsia="Arial" w:hAnsi="Arial"/>
                <w:sz w:val="18"/>
                <w:szCs w:val="18"/>
                <w:color w:val="0000EE"/>
                <w:w w:val="99"/>
              </w:rPr>
            </w:pPr>
            <w:hyperlink w:anchor="page101">
              <w:r>
                <w:rPr>
                  <w:rFonts w:ascii="Arial" w:cs="Arial" w:eastAsia="Arial" w:hAnsi="Arial"/>
                  <w:sz w:val="18"/>
                  <w:szCs w:val="18"/>
                  <w:color w:val="0000EE"/>
                  <w:w w:val="99"/>
                </w:rPr>
                <w:t>DIVIDEND POLICY</w:t>
              </w:r>
            </w:hyperlink>
          </w:p>
        </w:tc>
        <w:tc>
          <w:tcPr>
            <w:tcW w:w="3260" w:type="dxa"/>
            <w:vAlign w:val="bottom"/>
            <w:gridSpan w:val="7"/>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99</w:t>
            </w:r>
          </w:p>
        </w:tc>
        <w:tc>
          <w:tcPr>
            <w:tcW w:w="5000" w:type="dxa"/>
            <w:vAlign w:val="bottom"/>
            <w:gridSpan w:val="13"/>
          </w:tcPr>
          <w:p>
            <w:pPr>
              <w:spacing w:after="0" w:line="196" w:lineRule="exact"/>
              <w:rPr>
                <w:rFonts w:ascii="Arial" w:cs="Arial" w:eastAsia="Arial" w:hAnsi="Arial"/>
                <w:sz w:val="18"/>
                <w:szCs w:val="18"/>
                <w:color w:val="0000EE"/>
              </w:rPr>
            </w:pPr>
            <w:hyperlink w:anchor="page247">
              <w:r>
                <w:rPr>
                  <w:rFonts w:ascii="Arial" w:cs="Arial" w:eastAsia="Arial" w:hAnsi="Arial"/>
                  <w:sz w:val="18"/>
                  <w:szCs w:val="18"/>
                  <w:color w:val="0000EE"/>
                </w:rPr>
                <w:t>MATERIAL U.S. FEDERAL INCOME TAX</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8"/>
          </w:tcPr>
          <w:p>
            <w:pPr>
              <w:spacing w:after="0" w:line="196" w:lineRule="exact"/>
              <w:rPr>
                <w:rFonts w:ascii="Arial" w:cs="Arial" w:eastAsia="Arial" w:hAnsi="Arial"/>
                <w:sz w:val="18"/>
                <w:szCs w:val="18"/>
                <w:color w:val="0000EE"/>
                <w:w w:val="98"/>
              </w:rPr>
            </w:pPr>
            <w:hyperlink w:anchor="page102">
              <w:r>
                <w:rPr>
                  <w:rFonts w:ascii="Arial" w:cs="Arial" w:eastAsia="Arial" w:hAnsi="Arial"/>
                  <w:sz w:val="18"/>
                  <w:szCs w:val="18"/>
                  <w:color w:val="0000EE"/>
                  <w:w w:val="98"/>
                </w:rPr>
                <w:t>CAPITALIZATION</w:t>
              </w:r>
            </w:hyperlink>
          </w:p>
        </w:tc>
        <w:tc>
          <w:tcPr>
            <w:tcW w:w="120" w:type="dxa"/>
            <w:vAlign w:val="bottom"/>
          </w:tcPr>
          <w:p>
            <w:pPr>
              <w:spacing w:after="0"/>
              <w:rPr>
                <w:sz w:val="17"/>
                <w:szCs w:val="17"/>
                <w:color w:val="auto"/>
              </w:rPr>
            </w:pPr>
          </w:p>
        </w:tc>
        <w:tc>
          <w:tcPr>
            <w:tcW w:w="3260" w:type="dxa"/>
            <w:vAlign w:val="bottom"/>
            <w:gridSpan w:val="7"/>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4820" w:type="dxa"/>
            <w:vAlign w:val="bottom"/>
            <w:gridSpan w:val="12"/>
          </w:tcPr>
          <w:p>
            <w:pPr>
              <w:spacing w:after="0" w:line="196" w:lineRule="exact"/>
              <w:rPr>
                <w:rFonts w:ascii="Arial" w:cs="Arial" w:eastAsia="Arial" w:hAnsi="Arial"/>
                <w:sz w:val="18"/>
                <w:szCs w:val="18"/>
                <w:color w:val="0000EE"/>
              </w:rPr>
            </w:pPr>
            <w:hyperlink w:anchor="page247">
              <w:r>
                <w:rPr>
                  <w:rFonts w:ascii="Arial" w:cs="Arial" w:eastAsia="Arial" w:hAnsi="Arial"/>
                  <w:sz w:val="18"/>
                  <w:szCs w:val="18"/>
                  <w:color w:val="0000EE"/>
                </w:rPr>
                <w:t>CONSIDERATIONS FOR NON-U.S. 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245</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DILUTION</w:t>
              </w:r>
            </w:hyperlink>
          </w:p>
        </w:tc>
        <w:tc>
          <w:tcPr>
            <w:tcW w:w="580" w:type="dxa"/>
            <w:vAlign w:val="bottom"/>
            <w:gridSpan w:val="5"/>
          </w:tcPr>
          <w:p>
            <w:pPr>
              <w:spacing w:after="0"/>
              <w:rPr>
                <w:sz w:val="17"/>
                <w:szCs w:val="17"/>
                <w:color w:val="auto"/>
              </w:rPr>
            </w:pPr>
          </w:p>
        </w:tc>
        <w:tc>
          <w:tcPr>
            <w:tcW w:w="3380" w:type="dxa"/>
            <w:vAlign w:val="bottom"/>
            <w:gridSpan w:val="8"/>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102</w:t>
            </w:r>
          </w:p>
        </w:tc>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251">
              <w:r>
                <w:rPr>
                  <w:rFonts w:ascii="Arial" w:cs="Arial" w:eastAsia="Arial" w:hAnsi="Arial"/>
                  <w:sz w:val="18"/>
                  <w:szCs w:val="18"/>
                  <w:color w:val="0000EE"/>
                  <w:w w:val="96"/>
                </w:rPr>
                <w:t>UNDERWRITERS</w:t>
              </w:r>
            </w:hyperlink>
          </w:p>
        </w:tc>
        <w:tc>
          <w:tcPr>
            <w:tcW w:w="354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249</w:t>
            </w:r>
          </w:p>
        </w:tc>
        <w:tc>
          <w:tcPr>
            <w:tcW w:w="0" w:type="dxa"/>
            <w:vAlign w:val="bottom"/>
          </w:tcPr>
          <w:p>
            <w:pPr>
              <w:spacing w:after="0"/>
              <w:rPr>
                <w:sz w:val="1"/>
                <w:szCs w:val="1"/>
                <w:color w:val="auto"/>
              </w:rPr>
            </w:pPr>
          </w:p>
        </w:tc>
      </w:tr>
      <w:tr>
        <w:trPr>
          <w:trHeight w:val="196"/>
        </w:trPr>
        <w:tc>
          <w:tcPr>
            <w:tcW w:w="4840" w:type="dxa"/>
            <w:vAlign w:val="bottom"/>
            <w:gridSpan w:val="16"/>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SELECTED FINANCIAL DATA</w:t>
              </w:r>
            </w:hyperlink>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104</w:t>
            </w:r>
          </w:p>
        </w:tc>
        <w:tc>
          <w:tcPr>
            <w:tcW w:w="5000" w:type="dxa"/>
            <w:vAlign w:val="bottom"/>
            <w:gridSpan w:val="13"/>
          </w:tcPr>
          <w:p>
            <w:pPr>
              <w:spacing w:after="0" w:line="196" w:lineRule="exact"/>
              <w:rPr>
                <w:rFonts w:ascii="Arial" w:cs="Arial" w:eastAsia="Arial" w:hAnsi="Arial"/>
                <w:sz w:val="18"/>
                <w:szCs w:val="18"/>
                <w:color w:val="0000EE"/>
              </w:rPr>
            </w:pPr>
            <w:hyperlink w:anchor="page263">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261</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5"/>
          </w:tcPr>
          <w:p>
            <w:pPr>
              <w:spacing w:after="0" w:line="196" w:lineRule="exact"/>
              <w:rPr>
                <w:rFonts w:ascii="Arial" w:cs="Arial" w:eastAsia="Arial" w:hAnsi="Arial"/>
                <w:sz w:val="18"/>
                <w:szCs w:val="18"/>
                <w:color w:val="0000EE"/>
                <w:w w:val="97"/>
              </w:rPr>
            </w:pPr>
            <w:hyperlink w:anchor="page108">
              <w:r>
                <w:rPr>
                  <w:rFonts w:ascii="Arial" w:cs="Arial" w:eastAsia="Arial" w:hAnsi="Arial"/>
                  <w:sz w:val="18"/>
                  <w:szCs w:val="18"/>
                  <w:color w:val="0000EE"/>
                  <w:w w:val="97"/>
                </w:rPr>
                <w:t>MANAGEMENT’S DISCUSSION AND ANALYSIS OF</w:t>
              </w:r>
            </w:hyperlink>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gridSpan w:val="13"/>
          </w:tcPr>
          <w:p>
            <w:pPr>
              <w:spacing w:after="0" w:line="196" w:lineRule="exact"/>
              <w:rPr>
                <w:rFonts w:ascii="Arial" w:cs="Arial" w:eastAsia="Arial" w:hAnsi="Arial"/>
                <w:sz w:val="18"/>
                <w:szCs w:val="18"/>
                <w:color w:val="0000EE"/>
              </w:rPr>
            </w:pPr>
            <w:hyperlink w:anchor="page263">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261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20" w:type="dxa"/>
            <w:vAlign w:val="bottom"/>
            <w:gridSpan w:val="8"/>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108">
              <w:r>
                <w:rPr>
                  <w:rFonts w:ascii="Arial" w:cs="Arial" w:eastAsia="Arial" w:hAnsi="Arial"/>
                  <w:sz w:val="18"/>
                  <w:szCs w:val="18"/>
                  <w:color w:val="0000EE"/>
                  <w:w w:val="97"/>
                </w:rPr>
                <w:t>FINANCIAL CONDITION AND RESULTS OF</w:t>
              </w:r>
            </w:hyperlink>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2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w:anchor="page263">
              <w:r>
                <w:rPr>
                  <w:rFonts w:ascii="Arial" w:cs="Arial" w:eastAsia="Arial" w:hAnsi="Arial"/>
                  <w:sz w:val="18"/>
                  <w:szCs w:val="18"/>
                  <w:color w:val="0000EE"/>
                  <w:w w:val="98"/>
                </w:rPr>
                <w:t>WHERE YOU CAN FIND ADDITIONAL INFORMATION</w:t>
              </w:r>
            </w:hyperlink>
          </w:p>
        </w:tc>
        <w:tc>
          <w:tcPr>
            <w:tcW w:w="5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261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08">
              <w:r>
                <w:rPr>
                  <w:rFonts w:ascii="Arial" w:cs="Arial" w:eastAsia="Arial" w:hAnsi="Arial"/>
                  <w:sz w:val="18"/>
                  <w:szCs w:val="18"/>
                  <w:color w:val="0000EE"/>
                  <w:w w:val="91"/>
                </w:rPr>
                <w:t>OPERATIONS</w:t>
              </w:r>
            </w:hyperlink>
          </w:p>
        </w:tc>
        <w:tc>
          <w:tcPr>
            <w:tcW w:w="3560" w:type="dxa"/>
            <w:vAlign w:val="bottom"/>
            <w:gridSpan w:val="11"/>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106</w:t>
            </w:r>
          </w:p>
        </w:tc>
        <w:tc>
          <w:tcPr>
            <w:tcW w:w="304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264">
              <w:r>
                <w:rPr>
                  <w:rFonts w:ascii="Arial" w:cs="Arial" w:eastAsia="Arial" w:hAnsi="Arial"/>
                  <w:sz w:val="18"/>
                  <w:szCs w:val="18"/>
                  <w:color w:val="0000EE"/>
                  <w:w w:val="97"/>
                </w:rPr>
                <w:t>INDEX TO FINANCIAL STATEMENTS</w:t>
              </w:r>
            </w:hyperlink>
          </w:p>
        </w:tc>
        <w:tc>
          <w:tcPr>
            <w:tcW w:w="19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BUSINESS</w:t>
              </w:r>
            </w:hyperlink>
          </w:p>
        </w:tc>
        <w:tc>
          <w:tcPr>
            <w:tcW w:w="3980" w:type="dxa"/>
            <w:vAlign w:val="bottom"/>
            <w:gridSpan w:val="14"/>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120</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209">
              <w:r>
                <w:rPr>
                  <w:rFonts w:ascii="Arial" w:cs="Arial" w:eastAsia="Arial" w:hAnsi="Arial"/>
                  <w:sz w:val="18"/>
                  <w:szCs w:val="18"/>
                  <w:color w:val="0000EE"/>
                  <w:w w:val="99"/>
                </w:rPr>
                <w:t>MANAGEMENT</w:t>
              </w:r>
            </w:hyperlink>
          </w:p>
        </w:tc>
        <w:tc>
          <w:tcPr>
            <w:tcW w:w="3540" w:type="dxa"/>
            <w:vAlign w:val="bottom"/>
            <w:gridSpan w:val="10"/>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207</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Neither we nor the underwriters have authorized anyone to provide you any information or make any representations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right="220" w:firstLine="440"/>
        <w:spacing w:after="0" w:line="289" w:lineRule="auto"/>
        <w:rPr>
          <w:sz w:val="20"/>
          <w:szCs w:val="20"/>
          <w:color w:val="auto"/>
        </w:rPr>
      </w:pPr>
      <w:r>
        <w:rPr>
          <w:rFonts w:ascii="Arial" w:cs="Arial" w:eastAsia="Arial" w:hAnsi="Arial"/>
          <w:sz w:val="17"/>
          <w:szCs w:val="17"/>
          <w:b w:val="1"/>
          <w:bCs w:val="1"/>
          <w:color w:val="auto"/>
        </w:rPr>
        <w:t>Through and including August 23,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titled “Risk Factors” and our financial statements and the related notes appearing elsewhere in this prospectus, before making an investment decision. As used in this prospectus, unless the context otherwise requires, references to “we,” “us,” “our,” “our company,” and “Tenaya” refer to Tenaya Therapeutics, Inc.</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We are a biotechnology company committed to a bold mission: to discover, develop and deliver curative therapies that address the underlying drivers of heart disease. Our vision is to change the treatment paradigm for heart disease, the leading cause of death in the world, and in doing so improve and extend the lives of millions of individuals and families. We are advancing a pipeline of disease-modifying therapies developed using our product platforms and core internal capabilities to target defined sub-populations of patients with both rare and highly prevalent forms of heart disease.</w:t>
      </w:r>
    </w:p>
    <w:p>
      <w:pPr>
        <w:spacing w:after="0" w:line="188"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auto"/>
        </w:rPr>
        <w:t>Founded by leading cardiovascular scientists from Gladstone Institutes and University of Texas Southwestern Medical Center (UTSW), we are developing therapies through scientific advancements in three distinct but interrelated product platforms: Gene Therapy, Cellular Regeneration and Precision Medicine. While our Gene Therapy and Cellular Regeneration platforms focus on the use of viral vectors for drug delivery, our Precision Medicine platform enables us to identify promising targets and product candidates in a modality-agnostic manner, including gene therapies, small molecules, and biologics.</w:t>
      </w:r>
    </w:p>
    <w:p>
      <w:pPr>
        <w:spacing w:after="0" w:line="188"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We are advancing a deep and diverse pipeline that includes both gene therapies and small molecules. In 2022, we intend to submit an investigational new drug application (IND) or a clinical trial application (CTA) to the U.S. Food and Drug Administration (FDA) or European Medicines Agency (EMA), respectively, for the most advanced product candidate from our Gene Therapy platform, TN-201, an adeno-associated virus (AAV)-based gene therapy to address genetic hypertrophic cardiomyopathy (gHCM) caused by Myosin Binding Protein C3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TN-201, currently in IND-enabling studies, is designed to deliver a fully functional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driven by our proprietary heart-specific promoter to restore normal levels of MYBPC3 protein. We also intend to submit an IND to the FDA in 2022 for the most advanced product candidate from our Precision Medicine platform, TYA-11631, a highly specific small molecule inhibitor of histone deacetylase 6 (HDAC6i). TYA-11631, currently in IND-enabling studies, has potentially broad utility in both heart failure (HF) with preserved ejection fraction (HFpEF) as well as genetic dilated cardiomyopathy (gDCM). Our PKP2 program involves using an AAV-based gene therapy to address genetic arrhythmogenic right ventricular cardiomyopathy (gARVC) caused by plakophilin 2 (</w:t>
      </w:r>
      <w:r>
        <w:rPr>
          <w:rFonts w:ascii="Arial" w:cs="Arial" w:eastAsia="Arial" w:hAnsi="Arial"/>
          <w:sz w:val="17"/>
          <w:szCs w:val="17"/>
          <w:i w:val="1"/>
          <w:iCs w:val="1"/>
          <w:color w:val="auto"/>
        </w:rPr>
        <w:t>PKP2</w:t>
      </w:r>
      <w:r>
        <w:rPr>
          <w:rFonts w:ascii="Arial" w:cs="Arial" w:eastAsia="Arial" w:hAnsi="Arial"/>
          <w:sz w:val="17"/>
          <w:szCs w:val="17"/>
          <w:color w:val="auto"/>
        </w:rPr>
        <w:t>) gene mutations, and is currently at the candidate selection stage. Our DWORF program, an AAV-based gene therapy designed to express the Dwarf Open Reading Frame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in the heart, has potentially broad utility in dilated cardiomyopathy (DCM) and HF with reduced ejection fraction (HFrEF), and is currently at the candidate selection stage. Our Reprogramming program for cardiac regeneration can potentially replace heart cells lost in patients experiencing HF due to prior myocardial infarction (MI), and is currently at the candidate selection stage. In addition, we have numerous earlier-stage programs emerging from our product platforms to address other forms of HF.</w:t>
      </w:r>
    </w:p>
    <w:p>
      <w:pPr>
        <w:spacing w:after="0" w:line="29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Product Platforms</w:t>
      </w:r>
    </w:p>
    <w:p>
      <w:pPr>
        <w:spacing w:after="0" w:line="117"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We have established three distinct but interrelated product platforms to discover novel therapies for various forms of heart disease. These platforms bring together differentiated science, capabilities, and intellectual property to enable multi-modality drug discovery. As displayed below, each of our product platforms is designed</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42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3" w:lineRule="auto"/>
        <w:rPr>
          <w:sz w:val="20"/>
          <w:szCs w:val="20"/>
          <w:color w:val="auto"/>
        </w:rPr>
      </w:pPr>
      <w:r>
        <w:rPr>
          <w:rFonts w:ascii="Arial" w:cs="Arial" w:eastAsia="Arial" w:hAnsi="Arial"/>
          <w:sz w:val="18"/>
          <w:szCs w:val="18"/>
          <w:color w:val="auto"/>
        </w:rPr>
        <w:t>to address different problems that have historically plagued the development of therapies for heart disease. We believe these three product platforms together yield better insight into disease processes, create more opportunities for successful drug development, mitigate scientific risks, and differentiate our efforts relative to competitors.</w:t>
      </w:r>
    </w:p>
    <w:p>
      <w:pPr>
        <w:spacing w:after="0" w:line="18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Our Product Platforms Powering Multi-Modality Drug Discovery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40" w:right="100" w:hanging="347"/>
        <w:spacing w:after="0" w:line="255"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i w:val="1"/>
          <w:iCs w:val="1"/>
          <w:color w:val="auto"/>
        </w:rPr>
        <w:t>Gene Therapy</w:t>
      </w:r>
      <w:r>
        <w:rPr>
          <w:rFonts w:ascii="Arial" w:cs="Arial" w:eastAsia="Arial" w:hAnsi="Arial"/>
          <w:sz w:val="18"/>
          <w:szCs w:val="18"/>
          <w:color w:val="auto"/>
        </w:rPr>
        <w:t xml:space="preserve"> platform uses AAVs to deliver genes to specific cells in the heart to correct or compensate for functional defects. We have the ability to use both known AAV capsids as well as novel capsids identified through our internal capsid engineering capabilities to target cardiomyocytes (CMs), cardiac fibroblasts (CFs) or other cells important to the proper functioning of the heart. The product candidates arising from this platform are intended to overcome the shortcomings of traditional therapies that are not able to address the underlying problems that contribute to heart disease. We believe this platform has potentially broad utility for both genetic and non-genetic forms of heart disease.</w:t>
      </w:r>
    </w:p>
    <w:p>
      <w:pPr>
        <w:spacing w:after="0" w:line="97" w:lineRule="exact"/>
        <w:rPr>
          <w:rFonts w:ascii="Arial" w:cs="Arial" w:eastAsia="Arial" w:hAnsi="Arial"/>
          <w:sz w:val="18"/>
          <w:szCs w:val="18"/>
          <w:color w:val="auto"/>
        </w:rPr>
      </w:pPr>
    </w:p>
    <w:p>
      <w:pPr>
        <w:ind w:left="1240" w:right="220" w:hanging="347"/>
        <w:spacing w:after="0" w:line="25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i w:val="1"/>
          <w:iCs w:val="1"/>
          <w:color w:val="auto"/>
        </w:rPr>
        <w:t>Cellular Regeneration</w:t>
      </w:r>
      <w:r>
        <w:rPr>
          <w:rFonts w:ascii="Arial" w:cs="Arial" w:eastAsia="Arial" w:hAnsi="Arial"/>
          <w:sz w:val="18"/>
          <w:szCs w:val="18"/>
          <w:color w:val="auto"/>
        </w:rPr>
        <w:t xml:space="preserve"> platform uses viral vectors to deliver specific combinations of genes to existing cells in the heart to regenerate CMs </w:t>
      </w:r>
      <w:r>
        <w:rPr>
          <w:rFonts w:ascii="Arial" w:cs="Arial" w:eastAsia="Arial" w:hAnsi="Arial"/>
          <w:sz w:val="18"/>
          <w:szCs w:val="18"/>
          <w:i w:val="1"/>
          <w:iCs w:val="1"/>
          <w:color w:val="auto"/>
        </w:rPr>
        <w:t>in vivo</w:t>
      </w:r>
      <w:r>
        <w:rPr>
          <w:rFonts w:ascii="Arial" w:cs="Arial" w:eastAsia="Arial" w:hAnsi="Arial"/>
          <w:sz w:val="18"/>
          <w:szCs w:val="18"/>
          <w:color w:val="auto"/>
        </w:rPr>
        <w:t>. The product candidates arising from this platform are intended to overcome the shortcomings of traditional therapies that address symptoms but are not able to address the irreversible loss of CMs. We believe this platform has potentially broad utility across a range of heart conditions that result in the loss of CMs, including MI, chemotherapy-related toxicity, and viral infection.</w:t>
      </w:r>
    </w:p>
    <w:p>
      <w:pPr>
        <w:spacing w:after="0" w:line="93" w:lineRule="exact"/>
        <w:rPr>
          <w:rFonts w:ascii="Arial" w:cs="Arial" w:eastAsia="Arial" w:hAnsi="Arial"/>
          <w:sz w:val="18"/>
          <w:szCs w:val="18"/>
          <w:color w:val="auto"/>
        </w:rPr>
      </w:pPr>
    </w:p>
    <w:p>
      <w:pPr>
        <w:ind w:left="1240" w:hanging="347"/>
        <w:spacing w:after="0" w:line="254"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i w:val="1"/>
          <w:iCs w:val="1"/>
          <w:color w:val="auto"/>
        </w:rPr>
        <w:t>Precision Medicine</w:t>
      </w:r>
      <w:r>
        <w:rPr>
          <w:rFonts w:ascii="Arial" w:cs="Arial" w:eastAsia="Arial" w:hAnsi="Arial"/>
          <w:sz w:val="18"/>
          <w:szCs w:val="18"/>
          <w:color w:val="auto"/>
        </w:rPr>
        <w:t xml:space="preserve"> platform uses human induced pluripotent stem cell-derived CMs (hiPSC-CMs) as proprietary disease models combined with analysis of human genetics and the use of machine learning algorithms for the identification of new targets, validation of known targets, and high-throughput screening for drug discovery. This platform is intended to overcome the shortcomings of traditional drug development efforts that rely more heavily on insights from animal models to identify targets and to develop therapies intended for human heart disease. We believe this platform has potentially broad utility for the identification of targets and therapies in a modality-agnostic manner—including gene therapy, small molecules, and biologics—for both genetic and non-genetic forms of heart disease.</w:t>
      </w: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Approach and Capabilities</w:t>
      </w:r>
    </w:p>
    <w:p>
      <w:pPr>
        <w:spacing w:after="0" w:line="117" w:lineRule="exact"/>
        <w:rPr>
          <w:sz w:val="20"/>
          <w:szCs w:val="20"/>
          <w:color w:val="auto"/>
        </w:rPr>
      </w:pPr>
    </w:p>
    <w:p>
      <w:pPr>
        <w:ind w:left="300" w:right="80" w:firstLine="426"/>
        <w:spacing w:after="0" w:line="279" w:lineRule="auto"/>
        <w:rPr>
          <w:sz w:val="20"/>
          <w:szCs w:val="20"/>
          <w:color w:val="auto"/>
        </w:rPr>
      </w:pPr>
      <w:r>
        <w:rPr>
          <w:rFonts w:ascii="Arial" w:cs="Arial" w:eastAsia="Arial" w:hAnsi="Arial"/>
          <w:sz w:val="17"/>
          <w:szCs w:val="17"/>
          <w:color w:val="auto"/>
        </w:rPr>
        <w:t>We have internalized and integrated core capabilities, as displayed below, to support our product platforms and our pipeline programs. We believe these capabilities provide us with several advantages and differentiate our efforts relative to competitors, particularly for our AAV-based drug development efforts. We believe these capabilities can collectively support rapid product development, precise product delivery, and efficient production, which ultimately improves the probability of technical and regulatory success of our product candidates.</w:t>
      </w:r>
    </w:p>
    <w:p>
      <w:pPr>
        <w:spacing w:after="0" w:line="16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Our Core Capabilities Supporting Our Differentiated Product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five core capabilities include:</w:t>
      </w:r>
    </w:p>
    <w:p>
      <w:pPr>
        <w:spacing w:after="0" w:line="131" w:lineRule="exact"/>
        <w:rPr>
          <w:sz w:val="20"/>
          <w:szCs w:val="20"/>
          <w:color w:val="auto"/>
        </w:rPr>
      </w:pPr>
    </w:p>
    <w:p>
      <w:pPr>
        <w:ind w:left="1240" w:hanging="347"/>
        <w:spacing w:after="0" w:line="273"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Disease Models</w:t>
      </w:r>
      <w:r>
        <w:rPr>
          <w:rFonts w:ascii="Arial" w:cs="Arial" w:eastAsia="Arial" w:hAnsi="Arial"/>
          <w:sz w:val="17"/>
          <w:szCs w:val="17"/>
          <w:color w:val="auto"/>
        </w:rPr>
        <w:t>. We have internalized the ability to create and integrate proprietary</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 vitro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models within our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organization. For our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hiPSC-CM disease models, we use multiple methods to induce phenotypes within cell lines that simulate human diseases and then use these models for high throughput target identification and drug discovery. For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disease models, we have a dedicated onsite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group and vivarium, where we have established approximately 15 rodent heart disease models, both genetic and non-genetic, and can dose animals, perform heart surgeries, and use non-invasive imaging to assess the impact of our therapies under development.</w:t>
      </w:r>
    </w:p>
    <w:p>
      <w:pPr>
        <w:spacing w:after="0" w:line="83" w:lineRule="exact"/>
        <w:rPr>
          <w:rFonts w:ascii="Arial" w:cs="Arial" w:eastAsia="Arial" w:hAnsi="Arial"/>
          <w:sz w:val="17"/>
          <w:szCs w:val="17"/>
          <w:color w:val="auto"/>
        </w:rPr>
      </w:pPr>
    </w:p>
    <w:p>
      <w:pPr>
        <w:ind w:left="1240" w:right="140" w:hanging="347"/>
        <w:spacing w:after="0" w:line="273"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Capsid Engineering</w:t>
      </w:r>
      <w:r>
        <w:rPr>
          <w:rFonts w:ascii="Arial" w:cs="Arial" w:eastAsia="Arial" w:hAnsi="Arial"/>
          <w:sz w:val="17"/>
          <w:szCs w:val="17"/>
          <w:color w:val="auto"/>
        </w:rPr>
        <w:t>. We have established in-house AAV capsid engineering capabilities and have successfully screened over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billion variants from more than 30 diverse, proprietary AAV libraries in multiple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models to discover novel AAV capsids that can target the different types of cells in the heart. These capsids are designed to have desirable properties including the ability to more selectively target the heart versus other organs as well as lower susceptibility to neutralizing antibodies. We believe our capsid engineering efforts will be critical in supporting the successful clinical development of our product candidates and enabling those product candidates, if approved, to reach more patients.</w:t>
      </w:r>
    </w:p>
    <w:p>
      <w:pPr>
        <w:spacing w:after="0" w:line="83" w:lineRule="exact"/>
        <w:rPr>
          <w:rFonts w:ascii="Arial" w:cs="Arial" w:eastAsia="Arial" w:hAnsi="Arial"/>
          <w:sz w:val="17"/>
          <w:szCs w:val="17"/>
          <w:color w:val="auto"/>
        </w:rPr>
      </w:pPr>
    </w:p>
    <w:p>
      <w:pPr>
        <w:ind w:left="1240" w:right="40" w:hanging="347"/>
        <w:spacing w:after="0" w:line="259"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Promoters and Regulatory Elements</w:t>
      </w:r>
      <w:r>
        <w:rPr>
          <w:rFonts w:ascii="Arial" w:cs="Arial" w:eastAsia="Arial" w:hAnsi="Arial"/>
          <w:sz w:val="18"/>
          <w:szCs w:val="18"/>
          <w:color w:val="auto"/>
        </w:rPr>
        <w:t>. We have created novel promoters and regulatory elements to support our gene therapy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cellular regeneration programs. We use these innovations to help ensure more precise and more robust expression of therapeutic payloads in the different cell types of the heart as compared to what can be achieved with currently available methods. We believe our innovations can</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5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support successful clinical development in part by improving the efficacy and safety profile of our product candidates.</w:t>
      </w:r>
    </w:p>
    <w:p>
      <w:pPr>
        <w:spacing w:after="0" w:line="131" w:lineRule="exact"/>
        <w:rPr>
          <w:sz w:val="20"/>
          <w:szCs w:val="20"/>
          <w:color w:val="auto"/>
        </w:rPr>
      </w:pPr>
    </w:p>
    <w:p>
      <w:pPr>
        <w:ind w:left="1240" w:right="60" w:hanging="347"/>
        <w:spacing w:after="0" w:line="279"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Drug Delivery</w:t>
      </w:r>
      <w:r>
        <w:rPr>
          <w:rFonts w:ascii="Arial" w:cs="Arial" w:eastAsia="Arial" w:hAnsi="Arial"/>
          <w:sz w:val="17"/>
          <w:szCs w:val="17"/>
          <w:color w:val="auto"/>
        </w:rPr>
        <w:t>. We are actively exploring different routes of administration (ROAs) as well as different infusion- and injection-based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methods for delivering our AAV-based therapies. We have designed a new catheter to support more targeted delivery and more efficient uptake of therapeutic payloads in the heart. We believe our discoveries in drug delivery can help widen the therapeutic index of our product candidates by reducing the dose required for a therapeutic benefit.</w:t>
      </w:r>
    </w:p>
    <w:p>
      <w:pPr>
        <w:spacing w:after="0" w:line="76" w:lineRule="exact"/>
        <w:rPr>
          <w:rFonts w:ascii="Arial" w:cs="Arial" w:eastAsia="Arial" w:hAnsi="Arial"/>
          <w:sz w:val="17"/>
          <w:szCs w:val="17"/>
          <w:color w:val="auto"/>
        </w:rPr>
      </w:pPr>
    </w:p>
    <w:p>
      <w:pPr>
        <w:ind w:left="1240" w:right="20" w:hanging="347"/>
        <w:spacing w:after="0" w:line="254"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We have taken important steps towards internalizing both current Good Manufacturing Practice (cGMP) and non-GMP AAV manufacturing capabilities to support our emerging portfolio of gene therapy and cellular regeneration product candidates. This includes a growing in-house team of approximately 25 personnel that can support process development (PD), analytical development (AD), quality assurance (QA) and quality control (QC). We have produced non-clinical material involving both parental and novel AAV capsids at the 50L and 200L scales to support early research and IND-enabling studies in small and large animal models. We have initiated construction of a current cGMP facility in the San Francisco Bay Area near our research labs to enable smooth scale-up of production to support first-in-human (FIH) studies, initially at the 1000L scale. We expect this facility will be operational in the first half of 2022.</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Pipeline</w:t>
      </w:r>
    </w:p>
    <w:p>
      <w:pPr>
        <w:spacing w:after="0" w:line="117"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color w:val="auto"/>
        </w:rPr>
        <w:t>We are advancing a deep and diverse pipeline of therapeutic programs intended for rare diseases, such as gHCM and gARVC, as well as for more prevalent forms of heart disease, such as DCM and HFpEF. We have exclusive worldwide rights to all of our programs. Our current pipeline is summarized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20" w:hanging="427"/>
        <w:spacing w:after="0"/>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USA Prevalence refers to the number of patients in the United States with the indication based on publicly available market data</w:t>
      </w:r>
    </w:p>
    <w:p>
      <w:pPr>
        <w:spacing w:after="0" w:line="109" w:lineRule="exact"/>
        <w:rPr>
          <w:rFonts w:ascii="Arial" w:cs="Arial" w:eastAsia="Arial" w:hAnsi="Arial"/>
          <w:sz w:val="14"/>
          <w:szCs w:val="14"/>
          <w:color w:val="auto"/>
        </w:rPr>
      </w:pPr>
    </w:p>
    <w:p>
      <w:pPr>
        <w:ind w:left="1240" w:hanging="523"/>
        <w:spacing w:after="0" w:line="271"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MYBPC3 Program for gHCM</w:t>
      </w:r>
      <w:r>
        <w:rPr>
          <w:rFonts w:ascii="Arial" w:cs="Arial" w:eastAsia="Arial" w:hAnsi="Arial"/>
          <w:sz w:val="17"/>
          <w:szCs w:val="17"/>
          <w:color w:val="auto"/>
        </w:rPr>
        <w:t>. We are developing an AAV-based gene therapy designed to deliver a functional</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MYBPC3</w:t>
      </w:r>
      <w:r>
        <w:rPr>
          <w:rFonts w:ascii="Arial" w:cs="Arial" w:eastAsia="Arial" w:hAnsi="Arial"/>
          <w:sz w:val="17"/>
          <w:szCs w:val="17"/>
          <w:b w:val="1"/>
          <w:bCs w:val="1"/>
          <w:color w:val="auto"/>
        </w:rPr>
        <w:t xml:space="preserve"> </w:t>
      </w:r>
      <w:r>
        <w:rPr>
          <w:rFonts w:ascii="Arial" w:cs="Arial" w:eastAsia="Arial" w:hAnsi="Arial"/>
          <w:sz w:val="17"/>
          <w:szCs w:val="17"/>
          <w:color w:val="auto"/>
        </w:rPr>
        <w:t>gene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adults and children with gHCM due to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estimated to affect more than 115,000 patients in the United States. These mutations can cause the heart walls of affected individuals to become significantly thickened, leading to fibrosis, abnormal heart rhythms, cardiac dysfunction, HF, and sudden cardiac death in some adults and children. Based on publicly available information to date, we believe there are currently no approved treatments that address the underlying genetic cause of this disease. Our product candidate, TN-201, uses a differentiated approach designed to enable robust expression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in the heart. We have demonstrated significant and durable disease reversal and survival benefit in a relevant murine model after a single dose, as well as tolerability in mice and non-human primates (NHPs). The program is currently in IND-enabling studies, and we have obtained feedback from multiple regulatory agencies,</w:t>
      </w: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spacing w:after="0" w:line="277" w:lineRule="auto"/>
        <w:rPr>
          <w:sz w:val="20"/>
          <w:szCs w:val="20"/>
          <w:color w:val="auto"/>
        </w:rPr>
      </w:pPr>
      <w:r>
        <w:rPr>
          <w:rFonts w:ascii="Arial" w:cs="Arial" w:eastAsia="Arial" w:hAnsi="Arial"/>
          <w:sz w:val="18"/>
          <w:szCs w:val="18"/>
          <w:color w:val="auto"/>
        </w:rPr>
        <w:t>including the FDA, to guide our path to clinical development. TN-201 has also been granted Orphan Drug Designation (ODD) by the FDA. We intend to submit an IND or CTA to the FDA or EMA, respectively, in 2022.</w:t>
      </w:r>
    </w:p>
    <w:p>
      <w:pPr>
        <w:spacing w:after="0" w:line="72" w:lineRule="exact"/>
        <w:rPr>
          <w:sz w:val="20"/>
          <w:szCs w:val="20"/>
          <w:color w:val="auto"/>
        </w:rPr>
      </w:pPr>
    </w:p>
    <w:p>
      <w:pPr>
        <w:ind w:left="1240" w:right="60" w:hanging="523"/>
        <w:spacing w:after="0" w:line="291"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HDAC6i Program for HFpEF</w:t>
      </w:r>
      <w:r>
        <w:rPr>
          <w:rFonts w:ascii="Arial" w:cs="Arial" w:eastAsia="Arial" w:hAnsi="Arial"/>
          <w:sz w:val="16"/>
          <w:szCs w:val="16"/>
          <w:color w:val="auto"/>
        </w:rPr>
        <w:t>. We are developing an HDAC6i small molecule for various forms of HF, including HFpEF.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disease involves systemic inflammation, left ventricular hypertrophy, fibrosis, and diastolic dysfunction resulting in high morbidity and mortality in affected individuals. HFpEF is one of the greatest areas of unmet need in heart disease with more than three million patients in the United States and currently no approved disease-modifying therapies. Our product candidate, TYA-11631, is a differentiated compound with unique chemical structures and high specificity for HDAC6. We have demonstrated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of our HDAC6i molecules in multiple animal models, including significant disease reversal in two different models of HFpEF as well as tolerability in mice and NHPs. Based on publicly available information to date, we believe TYA-11631 is the first HDAC6i being developed for heart disease. We have initiated IND-enabling activities and intend to submit an IND to the FDA in 2022.</w:t>
      </w:r>
    </w:p>
    <w:p>
      <w:pPr>
        <w:spacing w:after="0" w:line="64" w:lineRule="exact"/>
        <w:rPr>
          <w:rFonts w:ascii="Arial" w:cs="Arial" w:eastAsia="Arial" w:hAnsi="Arial"/>
          <w:sz w:val="16"/>
          <w:szCs w:val="16"/>
          <w:color w:val="auto"/>
        </w:rPr>
      </w:pPr>
    </w:p>
    <w:p>
      <w:pPr>
        <w:ind w:left="1240" w:right="60" w:hanging="523"/>
        <w:spacing w:after="0" w:line="289"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PKP2 Program for gARVC</w:t>
      </w:r>
      <w:r>
        <w:rPr>
          <w:rFonts w:ascii="Arial" w:cs="Arial" w:eastAsia="Arial" w:hAnsi="Arial"/>
          <w:sz w:val="16"/>
          <w:szCs w:val="16"/>
          <w:color w:val="auto"/>
        </w:rPr>
        <w:t>. We are developing an AAV-based gene therapy designed to deliver a functional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PKP2</w:t>
      </w:r>
      <w:r>
        <w:rPr>
          <w:rFonts w:ascii="Arial" w:cs="Arial" w:eastAsia="Arial" w:hAnsi="Arial"/>
          <w:sz w:val="16"/>
          <w:szCs w:val="16"/>
          <w:b w:val="1"/>
          <w:bCs w:val="1"/>
          <w:color w:val="auto"/>
        </w:rPr>
        <w:t xml:space="preserve"> </w:t>
      </w:r>
      <w:r>
        <w:rPr>
          <w:rFonts w:ascii="Arial" w:cs="Arial" w:eastAsia="Arial" w:hAnsi="Arial"/>
          <w:sz w:val="16"/>
          <w:szCs w:val="16"/>
          <w:color w:val="auto"/>
        </w:rPr>
        <w:t>gene in adults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gARVC due to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 estimated to affect more than 70,000 patients in the United States. These mutations can cause enlargement of the right ventricle (RV) in affected individuals, replacement of heart muscle with fibrotic tissue and fatty deposits, and severely abnormal heart rhythms (arrhythmia) that can make it harder for the heart to function properly and result in sudden cardiac death in some adults and children. Based on publicly available information to date, we believe there are currently no approved treatments that address the underlying genetic cause of this disease. We have demonstrated prevention of disease progression and survival benefit in a murine model after a single dose. Based on publicly available information to date, we believe these data are the first known demonstrations of durable disease modification, survival benefit, and prevention of arrhythmia using an AAV:PKP2 gene therapy construct. This program is currently at the candidate selection stage.</w:t>
      </w:r>
    </w:p>
    <w:p>
      <w:pPr>
        <w:spacing w:after="0" w:line="71" w:lineRule="exact"/>
        <w:rPr>
          <w:rFonts w:ascii="Arial" w:cs="Arial" w:eastAsia="Arial" w:hAnsi="Arial"/>
          <w:sz w:val="16"/>
          <w:szCs w:val="16"/>
          <w:color w:val="auto"/>
        </w:rPr>
      </w:pPr>
    </w:p>
    <w:p>
      <w:pPr>
        <w:ind w:left="1240" w:hanging="523"/>
        <w:spacing w:after="0" w:line="25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DWORF Program for DCM</w:t>
      </w:r>
      <w:r>
        <w:rPr>
          <w:rFonts w:ascii="Arial" w:cs="Arial" w:eastAsia="Arial" w:hAnsi="Arial"/>
          <w:sz w:val="18"/>
          <w:szCs w:val="18"/>
          <w:color w:val="auto"/>
        </w:rPr>
        <w:t>. We are developing an AAV-based gene therapy designed to deliver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DWORF</w:t>
      </w:r>
      <w:r>
        <w:rPr>
          <w:rFonts w:ascii="Arial" w:cs="Arial" w:eastAsia="Arial" w:hAnsi="Arial"/>
          <w:sz w:val="18"/>
          <w:szCs w:val="18"/>
          <w:b w:val="1"/>
          <w:bCs w:val="1"/>
          <w:color w:val="auto"/>
        </w:rPr>
        <w:t xml:space="preserve"> </w:t>
      </w:r>
      <w:r>
        <w:rPr>
          <w:rFonts w:ascii="Arial" w:cs="Arial" w:eastAsia="Arial" w:hAnsi="Arial"/>
          <w:sz w:val="18"/>
          <w:szCs w:val="18"/>
          <w:color w:val="auto"/>
        </w:rPr>
        <w:t>gene for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DCM, estimated to affect about one million patients in the United States. DCM is a progressive and life-threatening disease that causes left ventricle (LV) enlargement, LV wall thinning, insufficient contraction, reduced blood flow, ventricular arrhythmias, and can result in premature morbidity and need for heart transplant in affected individuals. DWORF is a muscle-specific micro-peptide first discovered by our co-founder Eric Olson, Ph.D. that acts on the sarcoplasmic/endoplasmic reticulum Ca2+ ATPase 2a (SERCA2a) pathway, widely considered to be a promising target in HF. We and our academic collaborators have accumulated significant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evidence for the therapeutic benefit of over-expression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in multiple murine models, including models of gDCM and HFrEF, as well as tolerability in murine models. Based on publicly available information to date, we believe these are the first demonstrations of the potential benefit of AAV:DWORF. This program is currently at the candidate selection stage.</w:t>
      </w:r>
    </w:p>
    <w:p>
      <w:pPr>
        <w:spacing w:after="0" w:line="99" w:lineRule="exact"/>
        <w:rPr>
          <w:rFonts w:ascii="Arial" w:cs="Arial" w:eastAsia="Arial" w:hAnsi="Arial"/>
          <w:sz w:val="18"/>
          <w:szCs w:val="18"/>
          <w:color w:val="auto"/>
        </w:rPr>
      </w:pPr>
    </w:p>
    <w:p>
      <w:pPr>
        <w:ind w:left="1240" w:hanging="523"/>
        <w:spacing w:after="0" w:line="272"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Reprogramming Program for HF due to prior MI</w:t>
      </w:r>
      <w:r>
        <w:rPr>
          <w:rFonts w:ascii="Arial" w:cs="Arial" w:eastAsia="Arial" w:hAnsi="Arial"/>
          <w:sz w:val="17"/>
          <w:szCs w:val="17"/>
          <w:color w:val="auto"/>
        </w:rPr>
        <w:t>. We are developing an AAV-based approach to cellular regeneration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involves converting (or reprogramming) existing CFs within the heart to turn into new CMs and to replace cells permanently lost due to MI. There are estimated to be more than four million patients in the United States living with HF due to prior MI. The loss of CMs in affected individuals permanently impairs heart contraction, leading to HF and potentially fatal arrhythmias, and the death of approximately 5% to 10% of MI survivors within the first year. There are currently no approved treatments that address the underlying loss of heart tissue. The potential utility of our unique approach to creating new CMs was first demonstrated by our co-founder Deepak Srivastava, M.D. We have discovered a proprietary combination of three genes that can drive robust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reprogramming of CFs to CMs when delivered together in a single AAV capsid. We have demonstrated significant and</w:t>
      </w:r>
    </w:p>
    <w:p>
      <w:pPr>
        <w:spacing w:after="0" w:line="3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30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3030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spacing w:after="0" w:line="311" w:lineRule="auto"/>
        <w:rPr>
          <w:sz w:val="20"/>
          <w:szCs w:val="20"/>
          <w:color w:val="auto"/>
        </w:rPr>
      </w:pPr>
      <w:r>
        <w:rPr>
          <w:rFonts w:ascii="Arial" w:cs="Arial" w:eastAsia="Arial" w:hAnsi="Arial"/>
          <w:sz w:val="16"/>
          <w:szCs w:val="16"/>
          <w:color w:val="auto"/>
        </w:rPr>
        <w:t>durable disease reversal as well as tolerability in multiple small and large animal models. Based on publicly available information to date, we believe our results in a pig model of HF due to prior MI represent the first-ever successful demonstration of the potential benefit of this approach in a human-sized heart. This program is currently at the candidate selection stage.</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Overview of Heart Disease</w:t>
      </w:r>
    </w:p>
    <w:p>
      <w:pPr>
        <w:spacing w:after="0" w:line="117"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Heart disease is the leading cause of death in the world, accounting for more deaths than from all cancers combined. In the United States, more than 30 million adults, or approximately 12% of the adult population, are diagnosed with heart disease. In addition, an adult dies from a cardiovascular-related health condition, such as a heart attack every 36 seconds, a gruesome statistic that translates to 31% of all deaths in the United States each year. The picture is equally bleak at the other end of the age spectrum, as approximately 35,000 children are born in the United States every year with congenital heart disease (CHD), and CHD is the leading cause of birth defect-related morbidity and mortality. There are over 250 known genetically defined disorders where the primary source of morbidity and mortality involves the heart, but there are few approved products that target the underlying cause of such diseases. Recent analysis has shown that after decades of reduction in the mortality rate due to HF, these rates are once again rising, highlighting the need for improved treatments.</w:t>
      </w:r>
    </w:p>
    <w:p>
      <w:pPr>
        <w:spacing w:after="0" w:line="178" w:lineRule="exact"/>
        <w:rPr>
          <w:sz w:val="20"/>
          <w:szCs w:val="20"/>
          <w:color w:val="auto"/>
        </w:rPr>
      </w:pPr>
    </w:p>
    <w:p>
      <w:pPr>
        <w:ind w:left="300" w:right="80" w:firstLine="426"/>
        <w:spacing w:after="0" w:line="296" w:lineRule="auto"/>
        <w:rPr>
          <w:sz w:val="20"/>
          <w:szCs w:val="20"/>
          <w:color w:val="auto"/>
        </w:rPr>
      </w:pPr>
      <w:r>
        <w:rPr>
          <w:rFonts w:ascii="Arial" w:cs="Arial" w:eastAsia="Arial" w:hAnsi="Arial"/>
          <w:sz w:val="16"/>
          <w:szCs w:val="16"/>
          <w:color w:val="auto"/>
        </w:rPr>
        <w:t>The heart is a complex organ due to its biological structure as well as its tightly regulated and coordinated electrophysiological and biomechanical properties. Heart disease comes in many forms, affects individuals at many ages, and is a result of many factors. As depicted in the below table, heart disease can be generally categorized as either directly resulting from problems associated with the heart organ, for example, HF, arrhythmia, and heart valve disease, or indirectly resulting from problems associated with the vasculature, for example, coronary artery disease (CAD). In each case, the underlying cause could be genetic, or due to normal aging or due to environmental factors.</w:t>
      </w:r>
    </w:p>
    <w:p>
      <w:pPr>
        <w:spacing w:after="0" w:line="35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075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table below illustrates four broad categories of heart disease:</w:t>
      </w:r>
    </w:p>
    <w:p>
      <w:pPr>
        <w:spacing w:after="0" w:line="246" w:lineRule="exact"/>
        <w:rPr>
          <w:sz w:val="20"/>
          <w:szCs w:val="20"/>
          <w:color w:val="auto"/>
        </w:rPr>
      </w:pPr>
    </w:p>
    <w:tbl>
      <w:tblPr>
        <w:tblLayout w:type="fixed"/>
        <w:tblInd w:w="310" w:type="dxa"/>
        <w:tblCellMar>
          <w:top w:w="0" w:type="dxa"/>
          <w:left w:w="0" w:type="dxa"/>
          <w:bottom w:w="0" w:type="dxa"/>
          <w:right w:w="0" w:type="dxa"/>
        </w:tblCellMar>
      </w:tblPr>
      <w:tr>
        <w:trPr>
          <w:trHeight w:val="256"/>
        </w:trPr>
        <w:tc>
          <w:tcPr>
            <w:tcW w:w="3780" w:type="dxa"/>
            <w:vAlign w:val="bottom"/>
            <w:tcBorders>
              <w:top w:val="single" w:sz="8" w:color="auto"/>
              <w:left w:val="single" w:sz="8" w:color="auto"/>
              <w:bottom w:val="single" w:sz="8" w:color="auto"/>
              <w:right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CATEGORIES</w:t>
            </w:r>
          </w:p>
        </w:tc>
        <w:tc>
          <w:tcPr>
            <w:tcW w:w="6880" w:type="dxa"/>
            <w:vAlign w:val="bottom"/>
            <w:tcBorders>
              <w:top w:val="single" w:sz="8" w:color="auto"/>
              <w:bottom w:val="single" w:sz="8" w:color="auto"/>
              <w:right w:val="single" w:sz="8" w:color="auto"/>
            </w:tcBorders>
          </w:tcPr>
          <w:p>
            <w:pPr>
              <w:ind w:left="3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411"/>
        </w:trPr>
        <w:tc>
          <w:tcPr>
            <w:tcW w:w="378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HF is a heart condition in which the heart’s pumping capacity is not adequate to meet the</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demands for blood and oxygen required by the rest of the body. HF can be the result of a</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range of conditions that lead to weakening of the heart muscle. Conditions that can be</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associated with the development of HF include a heart attack, uncontrolled high blood</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pressure, congenital heart disease (heart defects present at birth), and genetic</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vMerge w:val="restart"/>
          </w:tcPr>
          <w:p>
            <w:pPr>
              <w:jc w:val="center"/>
              <w:ind w:left="34"/>
              <w:spacing w:after="0"/>
              <w:rPr>
                <w:sz w:val="20"/>
                <w:szCs w:val="20"/>
                <w:color w:val="auto"/>
              </w:rPr>
            </w:pPr>
            <w:r>
              <w:rPr>
                <w:rFonts w:ascii="Arial" w:cs="Arial" w:eastAsia="Arial" w:hAnsi="Arial"/>
                <w:sz w:val="18"/>
                <w:szCs w:val="18"/>
                <w:color w:val="auto"/>
                <w:w w:val="92"/>
              </w:rPr>
              <w:t>Heart Failure (HF)</w:t>
            </w: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cardiomyopathies.</w:t>
            </w:r>
          </w:p>
        </w:tc>
        <w:tc>
          <w:tcPr>
            <w:tcW w:w="0" w:type="dxa"/>
            <w:vAlign w:val="bottom"/>
          </w:tcPr>
          <w:p>
            <w:pPr>
              <w:spacing w:after="0"/>
              <w:rPr>
                <w:sz w:val="1"/>
                <w:szCs w:val="1"/>
                <w:color w:val="auto"/>
              </w:rPr>
            </w:pPr>
          </w:p>
        </w:tc>
      </w:tr>
      <w:tr>
        <w:trPr>
          <w:trHeight w:val="169"/>
        </w:trPr>
        <w:tc>
          <w:tcPr>
            <w:tcW w:w="37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6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8"/>
        </w:trPr>
        <w:tc>
          <w:tcPr>
            <w:tcW w:w="378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Arrhythmia is one of the most common heart conditions and is described as any change in</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the heart’s normal electrical impulses. Electrical impulses from within the heart initiate</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each heartbeat and ensure its normal pumping function. Arrhythmias can cause the heart to</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beat too quickly, too slowly or irregularly, resulting in a broad range of symptoms as well as</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spacing w:after="0"/>
              <w:rPr>
                <w:sz w:val="20"/>
                <w:szCs w:val="20"/>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sudden death and stroke.</w:t>
            </w:r>
          </w:p>
        </w:tc>
        <w:tc>
          <w:tcPr>
            <w:tcW w:w="0" w:type="dxa"/>
            <w:vAlign w:val="bottom"/>
          </w:tcPr>
          <w:p>
            <w:pPr>
              <w:spacing w:after="0"/>
              <w:rPr>
                <w:sz w:val="1"/>
                <w:szCs w:val="1"/>
                <w:color w:val="auto"/>
              </w:rPr>
            </w:pPr>
          </w:p>
        </w:tc>
      </w:tr>
      <w:tr>
        <w:trPr>
          <w:trHeight w:val="277"/>
        </w:trPr>
        <w:tc>
          <w:tcPr>
            <w:tcW w:w="378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6"/>
              </w:rPr>
              <w:t>Arrhythmia</w:t>
            </w:r>
          </w:p>
        </w:tc>
        <w:tc>
          <w:tcPr>
            <w:tcW w:w="6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4"/>
        </w:trPr>
        <w:tc>
          <w:tcPr>
            <w:tcW w:w="378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Heart value disease occurs when there is a problem with one or more of the four valves that</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normally work in unison to make sure that blood is pumped in the proper direction through</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spacing w:after="0"/>
              <w:rPr>
                <w:sz w:val="20"/>
                <w:szCs w:val="20"/>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four chambers of the heart.</w:t>
            </w:r>
          </w:p>
        </w:tc>
        <w:tc>
          <w:tcPr>
            <w:tcW w:w="0" w:type="dxa"/>
            <w:vAlign w:val="bottom"/>
          </w:tcPr>
          <w:p>
            <w:pPr>
              <w:spacing w:after="0"/>
              <w:rPr>
                <w:sz w:val="1"/>
                <w:szCs w:val="1"/>
                <w:color w:val="auto"/>
              </w:rPr>
            </w:pPr>
          </w:p>
        </w:tc>
      </w:tr>
      <w:tr>
        <w:trPr>
          <w:trHeight w:val="493"/>
        </w:trPr>
        <w:tc>
          <w:tcPr>
            <w:tcW w:w="3780" w:type="dxa"/>
            <w:vAlign w:val="bottom"/>
            <w:tcBorders>
              <w:left w:val="single" w:sz="8" w:color="auto"/>
              <w:bottom w:val="single" w:sz="8" w:color="auto"/>
              <w:right w:val="single" w:sz="8" w:color="auto"/>
            </w:tcBorders>
          </w:tcPr>
          <w:p>
            <w:pPr>
              <w:jc w:val="center"/>
              <w:ind w:left="34"/>
              <w:spacing w:after="0"/>
              <w:rPr>
                <w:sz w:val="20"/>
                <w:szCs w:val="20"/>
                <w:color w:val="auto"/>
              </w:rPr>
            </w:pPr>
            <w:r>
              <w:rPr>
                <w:rFonts w:ascii="Arial" w:cs="Arial" w:eastAsia="Arial" w:hAnsi="Arial"/>
                <w:sz w:val="18"/>
                <w:szCs w:val="18"/>
                <w:color w:val="auto"/>
                <w:w w:val="88"/>
              </w:rPr>
              <w:t>Heart Valve Disease</w:t>
            </w:r>
          </w:p>
        </w:tc>
        <w:tc>
          <w:tcPr>
            <w:tcW w:w="6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4"/>
        </w:trPr>
        <w:tc>
          <w:tcPr>
            <w:tcW w:w="378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CAD is among the most common type of heart disease and occurs when plaque grows in</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the walls of the coronary arteries, limiting the blood flow to the heart’s muscle. CAD can</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spacing w:after="0"/>
              <w:rPr>
                <w:sz w:val="20"/>
                <w:szCs w:val="20"/>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ultimately lead to a heart attack.</w:t>
            </w:r>
          </w:p>
        </w:tc>
        <w:tc>
          <w:tcPr>
            <w:tcW w:w="0" w:type="dxa"/>
            <w:vAlign w:val="bottom"/>
          </w:tcPr>
          <w:p>
            <w:pPr>
              <w:spacing w:after="0"/>
              <w:rPr>
                <w:sz w:val="1"/>
                <w:szCs w:val="1"/>
                <w:color w:val="auto"/>
              </w:rPr>
            </w:pPr>
          </w:p>
        </w:tc>
      </w:tr>
      <w:tr>
        <w:trPr>
          <w:trHeight w:val="493"/>
        </w:trPr>
        <w:tc>
          <w:tcPr>
            <w:tcW w:w="3780" w:type="dxa"/>
            <w:vAlign w:val="bottom"/>
            <w:tcBorders>
              <w:left w:val="single" w:sz="8" w:color="auto"/>
              <w:bottom w:val="single" w:sz="8" w:color="auto"/>
              <w:right w:val="single" w:sz="8" w:color="auto"/>
            </w:tcBorders>
          </w:tcPr>
          <w:p>
            <w:pPr>
              <w:jc w:val="center"/>
              <w:ind w:left="34"/>
              <w:spacing w:after="0"/>
              <w:rPr>
                <w:sz w:val="20"/>
                <w:szCs w:val="20"/>
                <w:color w:val="auto"/>
              </w:rPr>
            </w:pPr>
            <w:r>
              <w:rPr>
                <w:rFonts w:ascii="Arial" w:cs="Arial" w:eastAsia="Arial" w:hAnsi="Arial"/>
                <w:sz w:val="18"/>
                <w:szCs w:val="18"/>
                <w:color w:val="auto"/>
                <w:w w:val="92"/>
              </w:rPr>
              <w:t>Coronary Artery Disease (CAD)</w:t>
            </w:r>
          </w:p>
        </w:tc>
        <w:tc>
          <w:tcPr>
            <w:tcW w:w="6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Current Challenges in the Development of Novel Therapies for Heart Disease</w:t>
      </w:r>
    </w:p>
    <w:p>
      <w:pPr>
        <w:spacing w:after="0" w:line="117"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While there is significant unmet need in the field of heart disease, historically there have been challenges in developing novel therapies for the different forms of heart disease. These challenges include, but are not limited to:</w:t>
      </w:r>
    </w:p>
    <w:p>
      <w:pPr>
        <w:spacing w:after="0" w:line="76" w:lineRule="exact"/>
        <w:rPr>
          <w:sz w:val="20"/>
          <w:szCs w:val="20"/>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Most development efforts focus on treating symptoms rather than targeting the underlying causes of diseases;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new disease-modifying targets is challenging;</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Genetic diagnosis and genetic counseling are limited;</w:t>
      </w:r>
    </w:p>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32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96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896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Regenerative therapy science is still in its early stages;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 therapy science for the heart is still maturing;</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requirements are stringent;</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development are high;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 access barriers are challenging.</w:t>
      </w:r>
    </w:p>
    <w:p>
      <w:pPr>
        <w:spacing w:after="0" w:line="225"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These factors have contributed to a decline in successful heart disease drug development. However, there are recent signs of improvement. There is increasing insight into the genetic causes of heart disease and a greater push for more consistent genetic testing and family counseling supported by (1) updated clinical practice guidelines such as 2020 American College of Cardiology (ACC) and American Heart Association (AHA) recommendations for patients with hypertrophic cardiomyopathy (HCM), (2) the push by patient advocacy organizations for mandatory screening of young athletes, and (3) increased availability of accessible genetic testing covering more than 150 relevant genes associated with inherited arrhythmia and cardiomyopathy conditions. We believe with the evolving understanding of heart disease in the scientific community and general public, there are significant opportunities where we can benefit from and support the evolution towards more precise diagnosis, drug development, and treatment for heart disease, as depicted in the diagram below.</w:t>
      </w:r>
    </w:p>
    <w:p>
      <w:pPr>
        <w:spacing w:after="0" w:line="1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Evolving Landscape of Heart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Strategy</w:t>
      </w:r>
    </w:p>
    <w:p>
      <w:pPr>
        <w:spacing w:after="0" w:line="117" w:lineRule="exact"/>
        <w:rPr>
          <w:sz w:val="20"/>
          <w:szCs w:val="20"/>
          <w:color w:val="auto"/>
        </w:rPr>
      </w:pPr>
    </w:p>
    <w:p>
      <w:pPr>
        <w:ind w:left="300" w:right="260" w:firstLine="426"/>
        <w:spacing w:after="0" w:line="259" w:lineRule="auto"/>
        <w:rPr>
          <w:sz w:val="20"/>
          <w:szCs w:val="20"/>
          <w:color w:val="auto"/>
        </w:rPr>
      </w:pPr>
      <w:r>
        <w:rPr>
          <w:rFonts w:ascii="Arial" w:cs="Arial" w:eastAsia="Arial" w:hAnsi="Arial"/>
          <w:sz w:val="18"/>
          <w:szCs w:val="18"/>
          <w:color w:val="auto"/>
        </w:rPr>
        <w:t>Our goal is to become a leading, fully integrated biotechnology company delivering next-generation therapies that address the underlying causes of heart disease identified through our multi-modality product platforms. We are taking advantage of an expanded understanding of heart biology and scientific advancements to discover, develop, manufacture and ultimately commercialize a deep and diverse pipeline of novel therapies. The key components of our strategy to achieve these goals are:</w:t>
      </w:r>
    </w:p>
    <w:p>
      <w:pPr>
        <w:spacing w:after="0" w:line="92" w:lineRule="exact"/>
        <w:rPr>
          <w:sz w:val="20"/>
          <w:szCs w:val="20"/>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 exclusively on heart disease;</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disease-modifying therapies;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Discover novel therapies using three product platforms in parallel;</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Target defined sub-populations of patients most likely to respond to our therapies;</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a deep and diverse pipeline of therapies;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Internalize and integrate core capabilities to support our innovation;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Become a fully integrated biopharmaceutical company with commercial capabilities.</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History and Team</w:t>
      </w:r>
    </w:p>
    <w:p>
      <w:pPr>
        <w:spacing w:after="0" w:line="117"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7"/>
          <w:szCs w:val="17"/>
          <w:color w:val="auto"/>
        </w:rPr>
        <w:t>We were incorporated in August 2016 by The Column Group, in partnership with leading scientific and clinical researchers in cardiovascular genetics and muscle biology at Gladstone Institutes and UTSW. Since our founding, we have attracted a talented group of industry experts and scientists as part of a highly innovative organization that, as of June 30, 2021, comprises over 85 employees.</w:t>
      </w:r>
    </w:p>
    <w:p>
      <w:pPr>
        <w:spacing w:after="0" w:line="165" w:lineRule="exact"/>
        <w:rPr>
          <w:sz w:val="20"/>
          <w:szCs w:val="20"/>
          <w:color w:val="auto"/>
        </w:rPr>
      </w:pPr>
    </w:p>
    <w:p>
      <w:pPr>
        <w:ind w:left="300" w:right="20" w:firstLine="426"/>
        <w:spacing w:after="0" w:line="301" w:lineRule="auto"/>
        <w:rPr>
          <w:sz w:val="20"/>
          <w:szCs w:val="20"/>
          <w:color w:val="auto"/>
        </w:rPr>
      </w:pPr>
      <w:r>
        <w:rPr>
          <w:rFonts w:ascii="Arial" w:cs="Arial" w:eastAsia="Arial" w:hAnsi="Arial"/>
          <w:sz w:val="16"/>
          <w:szCs w:val="16"/>
          <w:color w:val="auto"/>
        </w:rPr>
        <w:t>We are led by a team of executives and directors with significant experience in the discovery, development, manufacture, and commercialization of novel therapeutics, specifically in the fields of rare diseases, gene therapies, and heart disease. Faraz Ali, M.B.A., our Chief Executive Officer since 2018, previously served as the Chief Business Officer at REGENXBIO, and prior to that accumulated relevant experiences at industry-leading companies in gene therapy and orphan drug development including at bluebird bio and Genzyme Corporation.</w:t>
      </w:r>
    </w:p>
    <w:p>
      <w:pPr>
        <w:spacing w:after="0" w:line="15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Since inception, we have raised approximately $248 million in equity financing from leading venture, strategic and public investors, including The Column Group, Casdin Capital, SymBiosis II, LLC, Fidelity Management &amp; Research Company, RTW Investments, and others who share our vision to build a highly innovative, integrated biotechnology company delivering next-generation therapies that address the underlying causes of heart disease.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00" w:right="380" w:firstLine="426"/>
        <w:spacing w:after="0" w:line="263" w:lineRule="auto"/>
        <w:rPr>
          <w:sz w:val="20"/>
          <w:szCs w:val="20"/>
          <w:color w:val="auto"/>
        </w:rPr>
      </w:pPr>
      <w:r>
        <w:rPr>
          <w:rFonts w:ascii="Arial" w:cs="Arial" w:eastAsia="Arial" w:hAnsi="Arial"/>
          <w:sz w:val="18"/>
          <w:szCs w:val="18"/>
          <w:color w:val="auto"/>
        </w:rPr>
        <w:t>Our ability to execute on our business strategy is subject to a number of risks, which are discussed more fully in the section titled “Risk Factors.” You should carefully consider these risks before making an investment in our common stock. These risks include, among others, the following:</w:t>
      </w:r>
    </w:p>
    <w:p>
      <w:pPr>
        <w:spacing w:after="0" w:line="89" w:lineRule="exact"/>
        <w:rPr>
          <w:sz w:val="20"/>
          <w:szCs w:val="20"/>
          <w:color w:val="auto"/>
        </w:rPr>
      </w:pPr>
    </w:p>
    <w:p>
      <w:pPr>
        <w:ind w:left="1240" w:right="120" w:hanging="523"/>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89" w:lineRule="exact"/>
        <w:rPr>
          <w:rFonts w:ascii="Arial" w:cs="Arial" w:eastAsia="Arial" w:hAnsi="Arial"/>
          <w:sz w:val="18"/>
          <w:szCs w:val="18"/>
          <w:color w:val="auto"/>
        </w:rPr>
      </w:pPr>
    </w:p>
    <w:p>
      <w:pPr>
        <w:ind w:left="1240" w:right="6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not generated any product revenue to date, have incurred significant net losses since our inception, and expect to continue to incur significant net losses for the foreseeable future.</w:t>
      </w:r>
    </w:p>
    <w:p>
      <w:pPr>
        <w:spacing w:after="0" w:line="75" w:lineRule="exact"/>
        <w:rPr>
          <w:rFonts w:ascii="Arial" w:cs="Arial" w:eastAsia="Arial" w:hAnsi="Arial"/>
          <w:sz w:val="18"/>
          <w:szCs w:val="18"/>
          <w:color w:val="auto"/>
        </w:rPr>
      </w:pPr>
    </w:p>
    <w:p>
      <w:pPr>
        <w:ind w:left="1240" w:right="14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75" w:lineRule="exact"/>
        <w:rPr>
          <w:rFonts w:ascii="Arial" w:cs="Arial" w:eastAsia="Arial" w:hAnsi="Arial"/>
          <w:sz w:val="18"/>
          <w:szCs w:val="18"/>
          <w:color w:val="auto"/>
        </w:rPr>
      </w:pPr>
    </w:p>
    <w:p>
      <w:pPr>
        <w:ind w:left="1240" w:hanging="523"/>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89" w:lineRule="exact"/>
        <w:rPr>
          <w:rFonts w:ascii="Arial" w:cs="Arial" w:eastAsia="Arial" w:hAnsi="Arial"/>
          <w:sz w:val="18"/>
          <w:szCs w:val="18"/>
          <w:color w:val="auto"/>
        </w:rPr>
      </w:pPr>
    </w:p>
    <w:p>
      <w:pPr>
        <w:ind w:left="1240" w:right="12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operations and financial results could be adversely impacted by the COVID-19 pandemic in the United States and the rest of the world.</w:t>
      </w:r>
    </w:p>
    <w:p>
      <w:pPr>
        <w:spacing w:after="0" w:line="75" w:lineRule="exact"/>
        <w:rPr>
          <w:rFonts w:ascii="Arial" w:cs="Arial" w:eastAsia="Arial" w:hAnsi="Arial"/>
          <w:sz w:val="18"/>
          <w:szCs w:val="18"/>
          <w:color w:val="auto"/>
        </w:rPr>
      </w:pPr>
    </w:p>
    <w:p>
      <w:pPr>
        <w:ind w:left="1240" w:right="460" w:hanging="523"/>
        <w:spacing w:after="0" w:line="311"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3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81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line="311"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54" w:lineRule="exact"/>
        <w:rPr>
          <w:rFonts w:ascii="Arial" w:cs="Arial" w:eastAsia="Arial" w:hAnsi="Arial"/>
          <w:sz w:val="16"/>
          <w:szCs w:val="16"/>
          <w:color w:val="auto"/>
        </w:rPr>
      </w:pPr>
    </w:p>
    <w:p>
      <w:pPr>
        <w:ind w:left="1240" w:right="14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mechanisms of action of our product candidates are unproven, and we do not know whether we will be able to develop any drug of commercial value.</w:t>
      </w:r>
    </w:p>
    <w:p>
      <w:pPr>
        <w:spacing w:after="0" w:line="75" w:lineRule="exact"/>
        <w:rPr>
          <w:rFonts w:ascii="Arial" w:cs="Arial" w:eastAsia="Arial" w:hAnsi="Arial"/>
          <w:sz w:val="18"/>
          <w:szCs w:val="18"/>
          <w:color w:val="auto"/>
        </w:rPr>
      </w:pPr>
    </w:p>
    <w:p>
      <w:pPr>
        <w:ind w:left="1240" w:hanging="523"/>
        <w:spacing w:after="0" w:line="25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93" w:lineRule="exact"/>
        <w:rPr>
          <w:rFonts w:ascii="Arial" w:cs="Arial" w:eastAsia="Arial" w:hAnsi="Arial"/>
          <w:sz w:val="18"/>
          <w:szCs w:val="18"/>
          <w:color w:val="auto"/>
        </w:rPr>
      </w:pPr>
    </w:p>
    <w:p>
      <w:pPr>
        <w:ind w:left="1240" w:hanging="523"/>
        <w:spacing w:after="0" w:line="286"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0" w:lineRule="exact"/>
        <w:rPr>
          <w:rFonts w:ascii="Arial" w:cs="Arial" w:eastAsia="Arial" w:hAnsi="Arial"/>
          <w:sz w:val="17"/>
          <w:szCs w:val="17"/>
          <w:color w:val="auto"/>
        </w:rPr>
      </w:pPr>
    </w:p>
    <w:p>
      <w:pPr>
        <w:ind w:left="1240" w:hanging="523"/>
        <w:spacing w:after="0" w:line="259"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92" w:lineRule="exact"/>
        <w:rPr>
          <w:rFonts w:ascii="Arial" w:cs="Arial" w:eastAsia="Arial" w:hAnsi="Arial"/>
          <w:sz w:val="18"/>
          <w:szCs w:val="18"/>
          <w:color w:val="auto"/>
        </w:rPr>
      </w:pPr>
    </w:p>
    <w:p>
      <w:pPr>
        <w:ind w:left="1240" w:right="120" w:hanging="523"/>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89" w:lineRule="exact"/>
        <w:rPr>
          <w:rFonts w:ascii="Arial" w:cs="Arial" w:eastAsia="Arial" w:hAnsi="Arial"/>
          <w:sz w:val="18"/>
          <w:szCs w:val="18"/>
          <w:color w:val="auto"/>
        </w:rPr>
      </w:pPr>
    </w:p>
    <w:p>
      <w:pPr>
        <w:jc w:val="both"/>
        <w:ind w:left="1240" w:right="20" w:hanging="523"/>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89" w:lineRule="exact"/>
        <w:rPr>
          <w:rFonts w:ascii="Arial" w:cs="Arial" w:eastAsia="Arial" w:hAnsi="Arial"/>
          <w:sz w:val="18"/>
          <w:szCs w:val="18"/>
          <w:color w:val="auto"/>
        </w:rPr>
      </w:pPr>
    </w:p>
    <w:p>
      <w:pPr>
        <w:ind w:left="1240" w:right="40" w:hanging="523"/>
        <w:spacing w:after="0" w:line="25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July 1, 2021, we have in-licensed one issued U.S. patent, own one issued U.S. patent, and own one allowed U.S. patent application relating to our technology and product candidates.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93" w:lineRule="exact"/>
        <w:rPr>
          <w:rFonts w:ascii="Arial" w:cs="Arial" w:eastAsia="Arial" w:hAnsi="Arial"/>
          <w:sz w:val="18"/>
          <w:szCs w:val="18"/>
          <w:color w:val="auto"/>
        </w:rPr>
      </w:pPr>
    </w:p>
    <w:p>
      <w:pPr>
        <w:ind w:left="1240" w:right="20" w:hanging="523"/>
        <w:spacing w:after="0" w:line="301"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62" w:lineRule="exact"/>
        <w:rPr>
          <w:rFonts w:ascii="Arial" w:cs="Arial" w:eastAsia="Arial" w:hAnsi="Arial"/>
          <w:sz w:val="16"/>
          <w:szCs w:val="16"/>
          <w:color w:val="auto"/>
        </w:rPr>
      </w:pPr>
    </w:p>
    <w:p>
      <w:pPr>
        <w:ind w:left="1240" w:right="140" w:hanging="523"/>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0" w:firstLine="426"/>
        <w:spacing w:after="0" w:line="279" w:lineRule="auto"/>
        <w:rPr>
          <w:sz w:val="20"/>
          <w:szCs w:val="20"/>
          <w:color w:val="auto"/>
        </w:rPr>
      </w:pPr>
      <w:r>
        <w:rPr>
          <w:rFonts w:ascii="Arial" w:cs="Arial" w:eastAsia="Arial" w:hAnsi="Arial"/>
          <w:sz w:val="17"/>
          <w:szCs w:val="17"/>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We use the Tenaya logo and other marks as unregistered trademarks in the United States and certain other countries. This prospectus contains references to our trademarks and to those belonging to other entities. Solely for convenience, trademarks and trade names referred to in this prospectus, including logos, artwork and other visual displays, may appear without a trademark symbol, but such references are not intended to indicate in any way that we will not assert, to the fullest extent under applicable law, our rights or the rights of the applicable owner of these trademarks and trade names. We do not intend our use or display of other entities’ trade names or trademarks to imply a relationship with, or endorsement or sponsorship of us by, any other entity.</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U.S.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1"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36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12,000,000 shares.</w:t>
      </w:r>
    </w:p>
    <w:p>
      <w:pPr>
        <w:spacing w:after="0" w:line="138"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We have granted the underwriters an option for a period of 30 days to purchase up to 1,800,000 additional shares of our common stock.</w:t>
      </w:r>
    </w:p>
    <w:p>
      <w:pPr>
        <w:spacing w:after="0" w:line="35"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80" w:hanging="78"/>
        <w:spacing w:after="0" w:line="277"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39,324,727 shares (or 41,124,727 shares if the underwriters exercise in full their option to purchase additional shares).</w:t>
      </w:r>
    </w:p>
    <w:p>
      <w:pPr>
        <w:spacing w:after="0" w:line="49" w:lineRule="exact"/>
        <w:rPr>
          <w:sz w:val="20"/>
          <w:szCs w:val="20"/>
          <w:color w:val="auto"/>
        </w:rPr>
      </w:pPr>
    </w:p>
    <w:p>
      <w:pPr>
        <w:sectPr>
          <w:pgSz w:w="11900" w:h="16838" w:orient="portrait"/>
          <w:cols w:equalWidth="0" w:num="2">
            <w:col w:w="4000" w:space="34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color w:val="auto"/>
        </w:rPr>
        <w:t>We estimate that the net proceeds from this offering will be approximately $163.7 million, or $188.8 million if the underwriters exercise in full their option to purchase additional shares of common stock, at the initial public offering price of $15.00 per share, after deducting the underwriting discounts and commissions and estimated offering expenses payable by us.</w:t>
      </w:r>
    </w:p>
    <w:p>
      <w:pPr>
        <w:spacing w:after="0" w:line="53"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4340"/>
        <w:spacing w:after="0" w:line="272"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fund our ongoing and planned preclinical and clinical development of our most advanced product candidates in our MYBPC3 and HDAC6i programs, the continued development of our other programs, including our PKP2, DWORF and Reprogramming programs, the expansion of our manufacturing capabilities and facilities and the remainder, if any, for working capital and other general corporate purposes. See the section titled “Use of Proceeds.”</w:t>
      </w:r>
    </w:p>
    <w:p>
      <w:pPr>
        <w:sectPr>
          <w:pgSz w:w="11900" w:h="16838" w:orient="portrait"/>
          <w:cols w:equalWidth="0" w:num="1">
            <w:col w:w="10940"/>
          </w:cols>
          <w:pgMar w:left="320" w:top="459" w:right="639" w:bottom="1440" w:gutter="0" w:footer="0" w:header="0"/>
          <w:type w:val="continuous"/>
        </w:sectPr>
      </w:pPr>
    </w:p>
    <w:p>
      <w:pPr>
        <w:spacing w:after="0" w:line="4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the section titled “Risk Factors” for a discussion of factors that you should carefully consider before deciding to invest in shares of our common stock.</w:t>
      </w:r>
    </w:p>
    <w:p>
      <w:pPr>
        <w:spacing w:after="0" w:line="35"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“TNYA”</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300" w:right="720" w:firstLine="426"/>
        <w:spacing w:after="0" w:line="342" w:lineRule="auto"/>
        <w:rPr>
          <w:sz w:val="20"/>
          <w:szCs w:val="20"/>
          <w:color w:val="auto"/>
        </w:rPr>
      </w:pPr>
      <w:r>
        <w:rPr>
          <w:rFonts w:ascii="Arial" w:cs="Arial" w:eastAsia="Arial" w:hAnsi="Arial"/>
          <w:sz w:val="16"/>
          <w:szCs w:val="16"/>
          <w:color w:val="auto"/>
        </w:rPr>
        <w:t>The number of shares of our common stock to be outstanding after this offering is based on 27,324,727 shares of our common stock outstanding as of March 31, 2021 (including our convertible preferred stock on an as-converted basis), and excludes:</w:t>
      </w:r>
    </w:p>
    <w:p>
      <w:pPr>
        <w:spacing w:after="0" w:line="29" w:lineRule="exact"/>
        <w:rPr>
          <w:sz w:val="20"/>
          <w:szCs w:val="20"/>
          <w:color w:val="auto"/>
        </w:rPr>
      </w:pPr>
    </w:p>
    <w:p>
      <w:pPr>
        <w:ind w:left="1240" w:right="50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1,727,968 shares of common stock issuable upon exercise of options outstanding as of March 31, 2021 with a weighted-average exercise price of $3.06 per share;</w:t>
      </w:r>
    </w:p>
    <w:p>
      <w:pPr>
        <w:spacing w:after="0" w:line="75" w:lineRule="exact"/>
        <w:rPr>
          <w:rFonts w:ascii="Arial" w:cs="Arial" w:eastAsia="Arial" w:hAnsi="Arial"/>
          <w:sz w:val="18"/>
          <w:szCs w:val="18"/>
          <w:color w:val="auto"/>
        </w:rPr>
      </w:pPr>
    </w:p>
    <w:p>
      <w:pPr>
        <w:ind w:left="1240" w:right="26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835,473 shares of common stock issuable upon exercise of options granted after March 31, 2021, with a weighted-average exercise price of $10.00 per share;</w:t>
      </w:r>
    </w:p>
    <w:p>
      <w:pPr>
        <w:spacing w:after="0" w:line="75" w:lineRule="exact"/>
        <w:rPr>
          <w:rFonts w:ascii="Arial" w:cs="Arial" w:eastAsia="Arial" w:hAnsi="Arial"/>
          <w:sz w:val="18"/>
          <w:szCs w:val="18"/>
          <w:color w:val="auto"/>
        </w:rPr>
      </w:pPr>
    </w:p>
    <w:p>
      <w:pPr>
        <w:ind w:left="1240" w:right="60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379,271 shares of common stock reserved for future issuance under our Amended and Restated 2016 Equity Incentive Plan, as amended, as of March 31, 2021;</w:t>
      </w:r>
    </w:p>
    <w:p>
      <w:pPr>
        <w:spacing w:after="0" w:line="75" w:lineRule="exact"/>
        <w:rPr>
          <w:rFonts w:ascii="Arial" w:cs="Arial" w:eastAsia="Arial" w:hAnsi="Arial"/>
          <w:sz w:val="18"/>
          <w:szCs w:val="18"/>
          <w:color w:val="auto"/>
        </w:rPr>
      </w:pPr>
    </w:p>
    <w:p>
      <w:pPr>
        <w:ind w:left="1240" w:hanging="523"/>
        <w:spacing w:after="0" w:line="311"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4,000,000 shares of common stock reserved for future issuance under our 2021 Equity Incentive Plan (2021 Plan), which became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54" w:lineRule="exact"/>
        <w:rPr>
          <w:rFonts w:ascii="Arial" w:cs="Arial" w:eastAsia="Arial" w:hAnsi="Arial"/>
          <w:sz w:val="16"/>
          <w:szCs w:val="16"/>
          <w:color w:val="auto"/>
        </w:rPr>
      </w:pPr>
    </w:p>
    <w:p>
      <w:pPr>
        <w:ind w:left="1240" w:right="360" w:hanging="523"/>
        <w:spacing w:after="0" w:line="259"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800,000 shares of common stock reserved for future issuance under our 2021 Employee Stock Purchase Plan (2021 ESPP), which became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906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19069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31" w:lineRule="exact"/>
        <w:rPr>
          <w:sz w:val="20"/>
          <w:szCs w:val="20"/>
          <w:color w:val="auto"/>
        </w:rPr>
      </w:pPr>
    </w:p>
    <w:p>
      <w:pPr>
        <w:ind w:left="1240" w:hanging="523"/>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1-for-6 reverse stock split of our outstanding common and preferred stock effected on July 23, 2021;</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w:t>
      </w:r>
    </w:p>
    <w:p>
      <w:pPr>
        <w:spacing w:after="0" w:line="130" w:lineRule="exact"/>
        <w:rPr>
          <w:rFonts w:ascii="Arial" w:cs="Arial" w:eastAsia="Arial" w:hAnsi="Arial"/>
          <w:sz w:val="18"/>
          <w:szCs w:val="18"/>
          <w:color w:val="auto"/>
        </w:rPr>
      </w:pPr>
    </w:p>
    <w:p>
      <w:pPr>
        <w:ind w:left="1240" w:right="100" w:hanging="523"/>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1,800,000 shares of common stock from us in this offering;</w:t>
      </w:r>
    </w:p>
    <w:p>
      <w:pPr>
        <w:spacing w:after="0" w:line="75" w:lineRule="exact"/>
        <w:rPr>
          <w:rFonts w:ascii="Arial" w:cs="Arial" w:eastAsia="Arial" w:hAnsi="Arial"/>
          <w:sz w:val="18"/>
          <w:szCs w:val="18"/>
          <w:color w:val="auto"/>
        </w:rPr>
      </w:pPr>
    </w:p>
    <w:p>
      <w:pPr>
        <w:ind w:left="1240" w:right="200" w:hanging="523"/>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March 31, 2021 into an aggregate of 26,102,278 shares of our common stock immediately prior to the completion of this offering; and</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35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320" w:top="459" w:right="10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340" w:firstLine="426"/>
        <w:spacing w:after="0" w:line="272" w:lineRule="auto"/>
        <w:rPr>
          <w:sz w:val="20"/>
          <w:szCs w:val="20"/>
          <w:color w:val="auto"/>
        </w:rPr>
      </w:pPr>
      <w:r>
        <w:rPr>
          <w:rFonts w:ascii="Arial" w:cs="Arial" w:eastAsia="Arial" w:hAnsi="Arial"/>
          <w:sz w:val="17"/>
          <w:szCs w:val="17"/>
          <w:color w:val="auto"/>
        </w:rPr>
        <w:t>The following tables set forth our summary financial data for the periods and as of the dates indicated. We have derived the summary statements of operations data for the years ended December 31, 2019 and 2020 from our audited financial statements included elsewhere in this prospectus. The summary statements of operations data for the three months ended March 31, 2020 and 2021 and the summary balance sheet data as of March 31, 2021 are derived from our unaudited interim condensed financial statements included elsewhere in this prospectus. We have prepared the unaudited interim condensed financial statements on the same basis as the audited financial statements. We have included, in our opinion, all adjustments, consisting only of normal recurring adjustments that we consider necessary for a fair presentation of the financial information set forth in those unaudited interim condensed financial statements.</w:t>
      </w:r>
    </w:p>
    <w:p>
      <w:pPr>
        <w:spacing w:after="0" w:line="177" w:lineRule="exact"/>
        <w:rPr>
          <w:sz w:val="20"/>
          <w:szCs w:val="20"/>
          <w:color w:val="auto"/>
        </w:rPr>
      </w:pPr>
    </w:p>
    <w:p>
      <w:pPr>
        <w:ind w:left="300" w:right="360" w:firstLine="426"/>
        <w:spacing w:after="0" w:line="296" w:lineRule="auto"/>
        <w:rPr>
          <w:sz w:val="20"/>
          <w:szCs w:val="20"/>
          <w:color w:val="auto"/>
        </w:rPr>
      </w:pPr>
      <w:r>
        <w:rPr>
          <w:rFonts w:ascii="Arial" w:cs="Arial" w:eastAsia="Arial" w:hAnsi="Arial"/>
          <w:sz w:val="16"/>
          <w:szCs w:val="16"/>
          <w:color w:val="auto"/>
        </w:rPr>
        <w:t>You should read the following summary financial data together with the section titled “Management’s Discussion and Analysis of Financial Condition and Results of Operations” and our financial statements and the related notes included elsewhere in this prospectus. The summary financial data in this section are not intended to replace our financial statements and are qualified in their entirety by our financial statements and related notes included elsewhere in this prospectus. Our historical results are not necessarily indicative of the results that may be expected in the future, and our results for the three months ended March 31, 2021 are not necessarily indicative of results to be expected for the full year.</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6"/>
          </w:tcPr>
          <w:p>
            <w:pPr>
              <w:jc w:val="center"/>
              <w:ind w:right="10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share and per share data)</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31,099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6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38,912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13,105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(27,712)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(38,912)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(9,266)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Net loss before income tax expense</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(26,231)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(38,395)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(9,051)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(26,231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(38,395</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280" w:type="dxa"/>
            <w:vAlign w:val="bottom"/>
          </w:tcPr>
          <w:p>
            <w:pPr>
              <w:jc w:val="right"/>
              <w:ind w:right="145"/>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(10.15)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Weighted-average shares used in computing net loss per share, basic and</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755,779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972,091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891,990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1,097,805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Weighted-average shares used in computing pro forma net loss per share,</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4"/>
          </w:tcPr>
          <w:p>
            <w:pPr>
              <w:jc w:val="right"/>
              <w:ind w:right="181"/>
              <w:spacing w:after="0"/>
              <w:rPr>
                <w:sz w:val="20"/>
                <w:szCs w:val="20"/>
                <w:color w:val="auto"/>
              </w:rPr>
            </w:pPr>
            <w:r>
              <w:rPr>
                <w:rFonts w:ascii="Arial" w:cs="Arial" w:eastAsia="Arial" w:hAnsi="Arial"/>
                <w:sz w:val="18"/>
                <w:szCs w:val="18"/>
                <w:color w:val="auto"/>
              </w:rPr>
              <w:t>27,074,369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w w:val="88"/>
              </w:rPr>
              <w:t>27,200,083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5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584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95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395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40" w:hanging="422"/>
        <w:spacing w:after="0" w:line="25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unaudited pro forma net loss per share for the year ended December 31, 2020 and the three months ended March 31, 2021 was computed using the weighted-average number of shares of common stock outstanding, including the pro forma effect of the conversion of all outstanding shares of our convertible preferred stock into shares of common stock, as if such conversion had occurred at the beginning of the most recently completed fiscal year.</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As of March 31, 2021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Actual</w:t>
            </w:r>
          </w:p>
        </w:tc>
        <w:tc>
          <w:tcPr>
            <w:tcW w:w="14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Pro Forma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80" w:type="dxa"/>
            <w:vAlign w:val="bottom"/>
            <w:gridSpan w:val="2"/>
          </w:tcPr>
          <w:p>
            <w:pPr>
              <w:jc w:val="right"/>
              <w:ind w:right="88"/>
              <w:spacing w:after="0"/>
              <w:rPr>
                <w:sz w:val="20"/>
                <w:szCs w:val="20"/>
                <w:color w:val="auto"/>
              </w:rPr>
            </w:pPr>
            <w:r>
              <w:rPr>
                <w:rFonts w:ascii="Arial" w:cs="Arial" w:eastAsia="Arial" w:hAnsi="Arial"/>
                <w:sz w:val="18"/>
                <w:szCs w:val="18"/>
                <w:color w:val="auto"/>
              </w:rPr>
              <w:t>$128,439</w:t>
            </w:r>
          </w:p>
        </w:tc>
        <w:tc>
          <w:tcPr>
            <w:tcW w:w="1440" w:type="dxa"/>
            <w:vAlign w:val="bottom"/>
          </w:tcPr>
          <w:p>
            <w:pPr>
              <w:jc w:val="right"/>
              <w:ind w:right="275"/>
              <w:spacing w:after="0"/>
              <w:rPr>
                <w:sz w:val="20"/>
                <w:szCs w:val="20"/>
                <w:color w:val="auto"/>
              </w:rPr>
            </w:pPr>
            <w:r>
              <w:rPr>
                <w:rFonts w:ascii="Arial" w:cs="Arial" w:eastAsia="Arial" w:hAnsi="Arial"/>
                <w:sz w:val="18"/>
                <w:szCs w:val="18"/>
                <w:color w:val="auto"/>
              </w:rPr>
              <w:t>$  128,439</w:t>
            </w:r>
          </w:p>
        </w:tc>
        <w:tc>
          <w:tcPr>
            <w:tcW w:w="880" w:type="dxa"/>
            <w:vAlign w:val="bottom"/>
          </w:tcPr>
          <w:p>
            <w:pPr>
              <w:jc w:val="right"/>
              <w:spacing w:after="0"/>
              <w:rPr>
                <w:sz w:val="20"/>
                <w:szCs w:val="20"/>
                <w:color w:val="auto"/>
              </w:rPr>
            </w:pPr>
            <w:r>
              <w:rPr>
                <w:rFonts w:ascii="Arial" w:cs="Arial" w:eastAsia="Arial" w:hAnsi="Arial"/>
                <w:sz w:val="18"/>
                <w:szCs w:val="18"/>
                <w:color w:val="auto"/>
              </w:rPr>
              <w:t>$  292,139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3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123,840</w:t>
            </w:r>
          </w:p>
        </w:tc>
        <w:tc>
          <w:tcPr>
            <w:tcW w:w="14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123,840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Total assets</w:t>
            </w:r>
          </w:p>
        </w:tc>
        <w:tc>
          <w:tcPr>
            <w:tcW w:w="3280" w:type="dxa"/>
            <w:vAlign w:val="bottom"/>
            <w:gridSpan w:val="2"/>
          </w:tcPr>
          <w:p>
            <w:pPr>
              <w:jc w:val="right"/>
              <w:ind w:right="88"/>
              <w:spacing w:after="0"/>
              <w:rPr>
                <w:sz w:val="20"/>
                <w:szCs w:val="20"/>
                <w:color w:val="auto"/>
              </w:rPr>
            </w:pPr>
            <w:r>
              <w:rPr>
                <w:rFonts w:ascii="Arial" w:cs="Arial" w:eastAsia="Arial" w:hAnsi="Arial"/>
                <w:sz w:val="18"/>
                <w:szCs w:val="18"/>
                <w:color w:val="auto"/>
              </w:rPr>
              <w:t>159,757</w:t>
            </w:r>
          </w:p>
        </w:tc>
        <w:tc>
          <w:tcPr>
            <w:tcW w:w="1440" w:type="dxa"/>
            <w:vAlign w:val="bottom"/>
          </w:tcPr>
          <w:p>
            <w:pPr>
              <w:jc w:val="right"/>
              <w:ind w:right="275"/>
              <w:spacing w:after="0"/>
              <w:rPr>
                <w:sz w:val="20"/>
                <w:szCs w:val="20"/>
                <w:color w:val="auto"/>
              </w:rPr>
            </w:pPr>
            <w:r>
              <w:rPr>
                <w:rFonts w:ascii="Arial" w:cs="Arial" w:eastAsia="Arial" w:hAnsi="Arial"/>
                <w:sz w:val="18"/>
                <w:szCs w:val="18"/>
                <w:color w:val="auto"/>
              </w:rPr>
              <w:t>159,757</w:t>
            </w:r>
          </w:p>
        </w:tc>
        <w:tc>
          <w:tcPr>
            <w:tcW w:w="880" w:type="dxa"/>
            <w:vAlign w:val="bottom"/>
          </w:tcPr>
          <w:p>
            <w:pPr>
              <w:jc w:val="right"/>
              <w:spacing w:after="0"/>
              <w:rPr>
                <w:sz w:val="20"/>
                <w:szCs w:val="20"/>
                <w:color w:val="auto"/>
              </w:rPr>
            </w:pPr>
            <w:r>
              <w:rPr>
                <w:rFonts w:ascii="Arial" w:cs="Arial" w:eastAsia="Arial" w:hAnsi="Arial"/>
                <w:sz w:val="18"/>
                <w:szCs w:val="18"/>
                <w:color w:val="auto"/>
              </w:rPr>
              <w:t>323,383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240,735</w:t>
            </w:r>
          </w:p>
        </w:tc>
        <w:tc>
          <w:tcPr>
            <w:tcW w:w="14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80" w:type="dxa"/>
            <w:vAlign w:val="bottom"/>
            <w:gridSpan w:val="2"/>
          </w:tcPr>
          <w:p>
            <w:pPr>
              <w:jc w:val="right"/>
              <w:ind w:right="88"/>
              <w:spacing w:after="0"/>
              <w:rPr>
                <w:sz w:val="20"/>
                <w:szCs w:val="20"/>
                <w:color w:val="auto"/>
              </w:rPr>
            </w:pPr>
            <w:r>
              <w:rPr>
                <w:rFonts w:ascii="Arial" w:cs="Arial" w:eastAsia="Arial" w:hAnsi="Arial"/>
                <w:sz w:val="18"/>
                <w:szCs w:val="18"/>
                <w:color w:val="auto"/>
              </w:rPr>
              <w:t>2,054</w:t>
            </w:r>
          </w:p>
        </w:tc>
        <w:tc>
          <w:tcPr>
            <w:tcW w:w="1440" w:type="dxa"/>
            <w:vAlign w:val="bottom"/>
          </w:tcPr>
          <w:p>
            <w:pPr>
              <w:jc w:val="right"/>
              <w:ind w:right="275"/>
              <w:spacing w:after="0"/>
              <w:rPr>
                <w:sz w:val="20"/>
                <w:szCs w:val="20"/>
                <w:color w:val="auto"/>
              </w:rPr>
            </w:pPr>
            <w:r>
              <w:rPr>
                <w:rFonts w:ascii="Arial" w:cs="Arial" w:eastAsia="Arial" w:hAnsi="Arial"/>
                <w:sz w:val="18"/>
                <w:szCs w:val="18"/>
                <w:color w:val="auto"/>
              </w:rPr>
              <w:t>242,786</w:t>
            </w:r>
          </w:p>
        </w:tc>
        <w:tc>
          <w:tcPr>
            <w:tcW w:w="880" w:type="dxa"/>
            <w:vAlign w:val="bottom"/>
          </w:tcPr>
          <w:p>
            <w:pPr>
              <w:jc w:val="right"/>
              <w:spacing w:after="0"/>
              <w:rPr>
                <w:sz w:val="20"/>
                <w:szCs w:val="20"/>
                <w:color w:val="auto"/>
              </w:rPr>
            </w:pPr>
            <w:r>
              <w:rPr>
                <w:rFonts w:ascii="Arial" w:cs="Arial" w:eastAsia="Arial" w:hAnsi="Arial"/>
                <w:sz w:val="18"/>
                <w:szCs w:val="18"/>
                <w:color w:val="auto"/>
              </w:rPr>
              <w:t>406,485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(95,910)</w:t>
            </w:r>
          </w:p>
        </w:tc>
        <w:tc>
          <w:tcPr>
            <w:tcW w:w="14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(95,910)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(95,910)</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3280" w:type="dxa"/>
            <w:vAlign w:val="bottom"/>
            <w:gridSpan w:val="2"/>
          </w:tcPr>
          <w:p>
            <w:pPr>
              <w:jc w:val="right"/>
              <w:ind w:right="28"/>
              <w:spacing w:after="0"/>
              <w:rPr>
                <w:sz w:val="20"/>
                <w:szCs w:val="20"/>
                <w:color w:val="auto"/>
              </w:rPr>
            </w:pPr>
            <w:r>
              <w:rPr>
                <w:rFonts w:ascii="Arial" w:cs="Arial" w:eastAsia="Arial" w:hAnsi="Arial"/>
                <w:sz w:val="18"/>
                <w:szCs w:val="18"/>
                <w:color w:val="auto"/>
              </w:rPr>
              <w:t>(93,943)</w:t>
            </w:r>
          </w:p>
        </w:tc>
        <w:tc>
          <w:tcPr>
            <w:tcW w:w="1440" w:type="dxa"/>
            <w:vAlign w:val="bottom"/>
          </w:tcPr>
          <w:p>
            <w:pPr>
              <w:jc w:val="right"/>
              <w:ind w:right="275"/>
              <w:spacing w:after="0"/>
              <w:rPr>
                <w:sz w:val="20"/>
                <w:szCs w:val="20"/>
                <w:color w:val="auto"/>
              </w:rPr>
            </w:pPr>
            <w:r>
              <w:rPr>
                <w:rFonts w:ascii="Arial" w:cs="Arial" w:eastAsia="Arial" w:hAnsi="Arial"/>
                <w:sz w:val="18"/>
                <w:szCs w:val="18"/>
                <w:color w:val="auto"/>
              </w:rPr>
              <w:t>146,792</w:t>
            </w:r>
          </w:p>
        </w:tc>
        <w:tc>
          <w:tcPr>
            <w:tcW w:w="880" w:type="dxa"/>
            <w:vAlign w:val="bottom"/>
          </w:tcPr>
          <w:p>
            <w:pPr>
              <w:jc w:val="right"/>
              <w:spacing w:after="0"/>
              <w:rPr>
                <w:sz w:val="20"/>
                <w:szCs w:val="20"/>
                <w:color w:val="auto"/>
              </w:rPr>
            </w:pPr>
            <w:r>
              <w:rPr>
                <w:rFonts w:ascii="Arial" w:cs="Arial" w:eastAsia="Arial" w:hAnsi="Arial"/>
                <w:sz w:val="18"/>
                <w:szCs w:val="18"/>
                <w:color w:val="auto"/>
              </w:rPr>
              <w:t>310,492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20" w:right="60" w:hanging="422"/>
        <w:spacing w:after="0" w:line="286"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 forma balance sheet data gives effect to: (i) the automatic conversion of all outstanding shares of our convertible preferred stock into an aggregate of 26,102,278 shares of our common stock immediately prior to the completion of this offering, as if such conversion had occurred on March 31, 2021; (ii) the related reclassification of our convertible preferred stock aggregate carrying value to permanent equity; and (iii) the filing and effectiveness of our amended and restated certificate of incorporation immediately prior to the closing of this offering.</w:t>
      </w:r>
    </w:p>
    <w:p>
      <w:pPr>
        <w:spacing w:after="0" w:line="1" w:lineRule="exact"/>
        <w:rPr>
          <w:rFonts w:ascii="Arial" w:cs="Arial" w:eastAsia="Arial" w:hAnsi="Arial"/>
          <w:sz w:val="16"/>
          <w:szCs w:val="16"/>
          <w:color w:val="auto"/>
        </w:rPr>
      </w:pPr>
    </w:p>
    <w:p>
      <w:pPr>
        <w:ind w:left="720" w:right="160" w:hanging="422"/>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 forma as adjusted balance sheet data gives effect to: (i) the pro forma adjustments set forth in footnote (1) above; and (ii) the issuance and sale of 12,000,000 shares of our common stock in this offering at the initial public offering price of $15.00 per share, and after deducting underwriting discounts and commissions and estimated offering expenses payable by us.</w:t>
      </w:r>
    </w:p>
    <w:p>
      <w:pPr>
        <w:spacing w:after="0" w:line="1" w:lineRule="exact"/>
        <w:rPr>
          <w:rFonts w:ascii="Arial" w:cs="Arial" w:eastAsia="Arial" w:hAnsi="Arial"/>
          <w:sz w:val="18"/>
          <w:szCs w:val="18"/>
          <w:color w:val="auto"/>
        </w:rPr>
      </w:pPr>
    </w:p>
    <w:p>
      <w:pPr>
        <w:ind w:left="720" w:right="260" w:hanging="422"/>
        <w:spacing w:after="0" w:line="26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financial statements and the related notes included elsewhere in this prospectus for further details regarding our current assets and current liabilities.</w:t>
      </w: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audited financial statements and the related notes included elsewhere in this prospectus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Need for Additional Capital and Limited Operating History</w:t>
      </w:r>
    </w:p>
    <w:p>
      <w:pPr>
        <w:spacing w:after="0" w:line="229" w:lineRule="exact"/>
        <w:rPr>
          <w:sz w:val="20"/>
          <w:szCs w:val="20"/>
          <w:color w:val="auto"/>
        </w:rPr>
      </w:pPr>
    </w:p>
    <w:p>
      <w:pPr>
        <w:ind w:left="560" w:right="320"/>
        <w:spacing w:after="0" w:line="263" w:lineRule="auto"/>
        <w:rPr>
          <w:sz w:val="20"/>
          <w:szCs w:val="20"/>
          <w:color w:val="auto"/>
        </w:rPr>
      </w:pPr>
      <w:r>
        <w:rPr>
          <w:rFonts w:ascii="Arial" w:cs="Arial" w:eastAsia="Arial" w:hAnsi="Arial"/>
          <w:sz w:val="18"/>
          <w:szCs w:val="18"/>
          <w:b w:val="1"/>
          <w:bCs w:val="1"/>
          <w:i w:val="1"/>
          <w:iCs w:val="1"/>
          <w:color w:val="auto"/>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76"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We are a preclinical stage biotechnology company with a limited operating history upon which you can evaluate our business and prospects. We commenced operations in 2016, have not initiated or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All of our product candidates are still in preclinical development and have never been tested in humans. Since our inception in 2016, we have devoted substantially all of our focus and financial resources to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not yet demonstrated our ability to successfully initiate and complete any clinical trials, obtain marketing approvals, manufacture a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9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We have not generated any product revenue to date, have incurred significant net losses since our inception, and expect to continue to incur significant net losses for the foreseeable future.</w:t>
      </w:r>
    </w:p>
    <w:p>
      <w:pPr>
        <w:spacing w:after="0" w:line="6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have incurred significant net losses since our inception, have not generated any product revenue to date and have financed our operations through private placements of our convertible preferred stock. Our net loss was $38.4 million for the year ended December 31, 2020 and $13.1 million for the three months ended March 31, 2021. As of March 31, 2021, we had an accumulated deficit of $95.9 million. Substantially all of our losses have resulted from expenses incurred in connection with our research and development programs and from general and administrative costs associated with our operations. We are still in the early stages of development of our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product candidates and have not yet initiated or completed any clinical trials.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300"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spacing w:after="0" w:line="92" w:lineRule="exact"/>
        <w:rPr>
          <w:sz w:val="20"/>
          <w:szCs w:val="20"/>
          <w:color w:val="auto"/>
        </w:rPr>
      </w:pPr>
    </w:p>
    <w:p>
      <w:pPr>
        <w:ind w:left="1080" w:right="580" w:hanging="532"/>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successful and timely completion of preclinical and clinical development of product candidates and programs in our Gene Therapy, Cellular Regeneration and Precision Medicine platforms, and our other future product candidates and programs;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approval to commence clinical trials of our product candidates;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of our product candidates and any other future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initiation and successful patient enrollment and completion of clinical trials on a timely basis;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acceptable frequency and severity of adverse events in the clinical trials;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efficacy and safety profiles that are satisfactory to the U.S. Food and Drug Administration (FDA) or any comparable foreign regulatory authority for marketing approval;</w:t>
      </w:r>
    </w:p>
    <w:p>
      <w:pPr>
        <w:spacing w:after="0" w:line="75"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operating a manufacturing facility and developing an efficient and scalable manufacturing process for our product candidates;</w:t>
      </w:r>
    </w:p>
    <w:p>
      <w:pPr>
        <w:spacing w:after="0" w:line="75"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4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outputs from our capsid engineering and promotor and regulator elements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maintaining, and expanding patent and other intellectual property protection, trade secret protection and regulatory exclusivity, both in the United States and internationally;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defending against third-party infringement, misappropriation, or other claims, if any;</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products and patients’ willingness to pay in the absence of such coverage and adequate reimbursement;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additional funding to develop, manufacture and commercialize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managing costs, including any unforeseen costs, that we may incur as a result of nonclinical study or clinical trial delays due to COVID-19 or other causes;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including clinical, scientific, management and administrative personnel.</w:t>
      </w:r>
    </w:p>
    <w:p>
      <w:pPr>
        <w:spacing w:after="0" w:line="22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71"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We may also experience delays in establishing our manufacturing facility, developing a sustainable, reproducible and scalable manufacturing process or transferring that process to commercial partners, which may prevent us from initiating and completing our planned clinical trials or commercializing our product candidates on a timely or profitable basis, if at all.</w:t>
      </w:r>
    </w:p>
    <w:p>
      <w:pPr>
        <w:spacing w:after="0" w:line="292" w:lineRule="exact"/>
        <w:rPr>
          <w:sz w:val="20"/>
          <w:szCs w:val="20"/>
          <w:color w:val="auto"/>
        </w:rPr>
      </w:pPr>
    </w:p>
    <w:p>
      <w:pPr>
        <w:jc w:val="both"/>
        <w:ind w:left="560" w:right="48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of March 31, 2021, we had $128.4 million in cash and cash equivalents. Based on our current operating plan, we believe that the net proceeds from this offering, together with our existing cash and cash equivalents, will be sufficient to fund our operations through at least the next 24 months from the date of our unaudited interim condensed financial statements included elsewhere in this prospectus. Our estimate as to how long we expect the net proceeds from this offering,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programs as well as develop our proprietary drug discovery platforms.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preclinical studies in addition to those that we currently anticipate. Other unanticipated costs may also arise. Because the design and outcome of our planned and anticipated preclinical studies and clinical trials are highly uncertain, we cannot reasonably estimate the actual amount of resources and funding that will be necessary to successfully complete the development and commercialization of any product candidate we develop. We are not permitted to market or promote any product candidate before we receive marketing approval from the FDA. Following this offering, we also expect to incur additional costs associated with operating as a public company. Accordingly, we will need to obtain substantial additional funding in order to continue our operations.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will depend on may factors, including, but not limited to:</w:t>
      </w:r>
    </w:p>
    <w:p>
      <w:pPr>
        <w:spacing w:after="0" w:line="131" w:lineRule="exact"/>
        <w:rPr>
          <w:sz w:val="20"/>
          <w:szCs w:val="20"/>
          <w:color w:val="auto"/>
        </w:rPr>
      </w:pPr>
    </w:p>
    <w:p>
      <w:pPr>
        <w:ind w:left="10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developing and testing our product candidates including conducting preclinical studies and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or any future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 or acquire;</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establishing and operating our own manufacturing facility;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products and sufficient inventory to support commercial launch;</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include the cost of building a sales force in anticipation of product commercialization and distribution costs;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protecting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establish and maintain collaborations on favorable terms, if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receipt and amount of sales of, or milestone payments related to or royalties on, our current or future product candidates, if any;</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compliance and administrative costs associated with being a public company; and</w:t>
      </w:r>
    </w:p>
    <w:p>
      <w:pPr>
        <w:spacing w:after="0" w:line="130"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although we currently have no commitments or agreements relating to any of these types of transactions.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Identifying potential product candidates and conducting preclinical studies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spacing w:after="0" w:line="19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currently plan to use the net proceeds from this offering, together with our existing resources, as described in the section titled “Use of Proceeds.” Advancing the development of our programs will require a significant amount of capital. The net proceeds from this offering, together with our cash and cash equivalents, will not be sufficient for us to fund any of our product candidates through regulatory approval, and we will need to raise additional capital to complete the development and commercialization of our product candidates.</w:t>
      </w:r>
    </w:p>
    <w:p>
      <w:pPr>
        <w:spacing w:after="0" w:line="17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platforms, programs, planned clinical trials or future commercialization efforts.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operations and financial results could be adversely impacted by the COVID-19 pandemic in the United States and the rest of the world.</w:t>
      </w:r>
    </w:p>
    <w:p>
      <w:pPr>
        <w:spacing w:after="0" w:line="152"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In March 2020, the World Health Organization declared the novel coronavirus disease (COVID-19) outbreak a global pandemic. To limit the spread of COVID-19, governments have taken various actions including the issuance of stay-at-home orders and physical distancing guidelines. Accordingly, businesses have adjusted, reduced or suspended operating activities. Beginning in March 2020, the majority of our workforce began working from home. Disruptions caused by the COVID-19 pandemic, including the effects of the stay-at-home orders and work-from-home policies, have impacted productivity, have resulted in increased operational expenses, certain adjustments to our operations, delays in our development efforts, and delays in certain supply chain activities. We may experience further disruptions as a result of COVID-19 that could severely impact our business, including:</w:t>
      </w:r>
    </w:p>
    <w:p>
      <w:pPr>
        <w:spacing w:after="0" w:line="100" w:lineRule="exact"/>
        <w:rPr>
          <w:sz w:val="20"/>
          <w:szCs w:val="20"/>
          <w:color w:val="auto"/>
        </w:rPr>
      </w:pPr>
    </w:p>
    <w:p>
      <w:pPr>
        <w:ind w:left="1080" w:right="4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build out of our manufacturing facility;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clinical trials and incurrence of additional costs as a result of preclinical study and clinical trial delays and adjustments;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related to ongoing and increased operational expenses related to the COVID-19 pandemic;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difficulties or increased costs to comply with COVID-19 protocols at our leased facilities and clinical sites;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that may serve as our potential clinical trial sites and hospital staff supporting the conduct of clinical trials;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75" w:lineRule="exact"/>
        <w:rPr>
          <w:rFonts w:ascii="Arial" w:cs="Arial" w:eastAsia="Arial" w:hAnsi="Arial"/>
          <w:sz w:val="18"/>
          <w:szCs w:val="18"/>
          <w:color w:val="auto"/>
        </w:rPr>
      </w:pPr>
    </w:p>
    <w:p>
      <w:pPr>
        <w:jc w:val="both"/>
        <w:ind w:left="1080" w:right="60" w:hanging="532"/>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“Stay-at-Home” orders or similar working restrictions;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preclinical and clinical sites receiving the supplies and materials needed to conduct our planned clinical trials;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to be used in our clinical trials;</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or to discontinue clinical trials altogether, or which may result in unexpected costs;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competition for CROs, contract development and manufacturing organizations (CDMOs), suppliers and vendors; and</w:t>
      </w:r>
    </w:p>
    <w:p>
      <w:pPr>
        <w:spacing w:after="0" w:line="142" w:lineRule="exact"/>
        <w:rPr>
          <w:rFonts w:ascii="Arial" w:cs="Arial" w:eastAsia="Arial" w:hAnsi="Arial"/>
          <w:sz w:val="17"/>
          <w:szCs w:val="17"/>
          <w:color w:val="auto"/>
        </w:rPr>
      </w:pPr>
    </w:p>
    <w:p>
      <w:pPr>
        <w:ind w:left="1080" w:right="240" w:hanging="532"/>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in collecting, receiving and analyzing data from patients enrolled in our clinical trials due to limited staff at potential clinical trial sites, limitation or suspension of on-site visits by patients, or patients’ reluctance to visit the clinical trial sites during the pandemic.</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we experienced delays in the procurement of materials needed to conduct our preclinical studies. Additionally, certain preclinical studies are conducted by CROs, some of which were delayed as a result of the COVID-19 pandemic and which could be discontinued or further delayed as the pandemic continues. Research and development expenses and general and administrative expenses may vary significantly if there is an increased impact from COVID-19 on the costs and timing associated with the conduct of our business. As we continue to actively advance our programs, we are assessing the impact of the COVID-19 pandemic, our expected timelines and costs on an ongoing basis.</w:t>
      </w:r>
    </w:p>
    <w:p>
      <w:pPr>
        <w:spacing w:after="0" w:line="166"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Three vaccines for COVID-19 have been granted Emergency Use Authorization by the FDA, and more are likely to be authorized in the coming months. The resultant demand for vaccines and potential for manufacturing facilities and materials to be commandeered under the Defense Production Act of 1950, or equivalent foreign legislation, has made it more difficult to obtain materials and manufacturing slots for our product candidates needed for our preclinical studies and clinical trials, which could lead to delays in these studies and trials.</w:t>
      </w:r>
    </w:p>
    <w:p>
      <w:pPr>
        <w:spacing w:after="0" w:line="17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global outbreak of COVID-19 continues to rapidly evolve. The extent to which the COVID-19 pandemic impacts our business will depend on future developments such as the rate of the spread of the disease,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travel restrictions and social distancing in the United States and other countries, business closures or business disruptions, supply of and demand for vaccines, and the effectiveness of actions taken in the United States and other countries to contain and treat the disease and to address its impact, including on financial markets or otherwise. Further, a lack of coordinated response on risk mitigation and vaccination deployment with respect to the COVID-19 pandemic could result in significant increases to the duration and severity of the pandemic and could have a corresponding negative impact on our business.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9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278"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dilution to our stockholders, including purchasers of our common stock in this offering, restrict our operations or require us to relinquish rights to our technologies or product candidates.</w:t>
      </w:r>
    </w:p>
    <w:p>
      <w:pPr>
        <w:spacing w:after="0" w:line="6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16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to offset future taxable income may be limited.</w:t>
      </w:r>
    </w:p>
    <w:p>
      <w:pPr>
        <w:spacing w:after="0" w:line="140"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Our net operating loss (NOL) carryforwards may be unavailable to offset future taxable income because of restrictions under U.S. tax law. Our NOLs generated in tax years ending on or prior to December 31, 2017 are only permitted to be carried forward for 20 taxable years under applicable U.S. federal tax law, and therefore could expire unused. Under tax legislation commonly referred to as the Tax Cuts and Jobs Act (Tax Act) as amended by the Coronavirus Aid, Relief, and Economic Security Act (CARES Act), our federal NOLs generated in tax years beginning after December 31, 2017 may be carried forward indefinitely, but for taxable years beginning after December 31, 2020, the deductibility of federal NOLs generated in</w:t>
      </w:r>
    </w:p>
    <w:p>
      <w:pPr>
        <w:spacing w:after="0" w:line="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tax years beginning after December 31, 2017 is limited to 80% of our current year taxable income. It is uncertain if and to what extent various states will conform to the Tax Act. As of December 31, 2020, we had available federal NOL carry forwards of approximately $78.5 million, of which $75.4 million do not expire.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this offering or subsequent shifts in our stock ownership, some of which are outside our control. As of December 31, 2020, a formal study was conducted and concluded that we experienced an ownership change during 2020. As a result, we have removed $3.1 million of deferred tax assets related to NOLs and research tax credit carryforwards due to Section 382 limitations. Our ability to utilize our remaining NOLs and certain other tax attributes could be further limited by a future “ownership change” as described above and consequently, we may not be able to utilize a material portion of our NOLs and certain other tax attributes, which could have a material adverse effect on our cash flows and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Manufacturing and Commercialization of Our Product Candidates</w:t>
      </w:r>
    </w:p>
    <w:p>
      <w:pPr>
        <w:spacing w:after="0" w:line="229" w:lineRule="exact"/>
        <w:rPr>
          <w:sz w:val="20"/>
          <w:szCs w:val="20"/>
          <w:color w:val="auto"/>
        </w:rPr>
      </w:pPr>
    </w:p>
    <w:p>
      <w:pPr>
        <w:jc w:val="both"/>
        <w:ind w:left="560" w:right="300"/>
        <w:spacing w:after="0" w:line="311" w:lineRule="auto"/>
        <w:rPr>
          <w:sz w:val="20"/>
          <w:szCs w:val="20"/>
          <w:color w:val="auto"/>
        </w:rPr>
      </w:pPr>
      <w:r>
        <w:rPr>
          <w:rFonts w:ascii="Arial" w:cs="Arial" w:eastAsia="Arial" w:hAnsi="Arial"/>
          <w:sz w:val="16"/>
          <w:szCs w:val="16"/>
          <w:b w:val="1"/>
          <w:bCs w:val="1"/>
          <w:i w:val="1"/>
          <w:iCs w:val="1"/>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4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We are very early in our development efforts. We have not initiated clinical trials for any of our programs. We do not have any products that are approved for commercial sale, and we may never be able to develop or commercialize marketable products. Before we generate any revenue from product sales, each of our programs and product candidates will require additional preclinical and clinical development, expansion of manufacturing capabilities and expertise, regulatory approval, building a commercial organization or successfully outsourcing commercialization, substantial investment and significant marketing efforts. We are not permitted to market or promote any product candidates before we receive approval from the FDA or comparable foreign regulatory authorities, and we many never receive such approval. Because our product candidates are in an early stage of development, there is a high risk of failure and we may never succeed in developing marketable products.</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we do not successfully initiate and complete our planned clinical trials in a timely manner or fail to achieve favorable results from the trial, we may experience significant delays or other issues in advancing our programs. We cannot be certain that our clinical trials will be initiated and completed on time, if at all, or whether our planned clinical strategy will be acceptable to the FDA or comparable foreign regulatory authorities. 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studies and clinical trials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Because of the early stage of development of our programs, our ability to eventually generate significant revenues from our product candidates, which we do not expect will occur for several years, if ever, will depend on a number of factors, including:</w:t>
      </w:r>
    </w:p>
    <w:p>
      <w:pPr>
        <w:spacing w:after="0" w:line="76"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successful and timely completion of our ongoing preclinical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any delays, necessary adjustments and additional costs in preclinical studies and clinical trials resulting from factors related to the COVID-19 pandemic;</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submission of INDs or other regulatory applications for our planned clinical trials and authorizations from regulators to initiate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on a timely basis;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achieving favorable results from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timely manufacture of sufficient quantities of a product candidate for use in clinical trials and, if approved, commercialization;</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outputs from our capsid engineering and promotor and regulator elements efforts;</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and commercialization activities;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 in clinical trials;</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demonstrating efficacy, safety and tolerability profiles that are satisfactory to the FDA, EMA or any comparable foreign regulatory authority for marketing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timely receipt of marketing approvals from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operational, technical and clinical development challenges associated with pediatric indications that we may pursue, including challenges associated with recruiting and enrolling eligible pediatric patients in clinical trials;</w:t>
      </w:r>
    </w:p>
    <w:p>
      <w:pPr>
        <w:spacing w:after="0" w:line="75" w:lineRule="exact"/>
        <w:rPr>
          <w:rFonts w:ascii="Arial" w:cs="Arial" w:eastAsia="Arial" w:hAnsi="Arial"/>
          <w:sz w:val="18"/>
          <w:szCs w:val="18"/>
          <w:color w:val="auto"/>
        </w:rPr>
      </w:pPr>
    </w:p>
    <w:p>
      <w:pPr>
        <w:ind w:left="1080" w:right="50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clinical trials and other requirements imposed by regulatory authorities for expanding drug labeling to include pediatric populations or for approval a pediatric product candidate, including formulation changes, additional bridging studies, manufacturing changes, dosage and administration changes, among others;</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 and, if approved, commercialization;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maintaining consistent quality, purity, and potency across clinical supplies and commercial supplies for any approved products;</w:t>
      </w:r>
    </w:p>
    <w:p>
      <w:pPr>
        <w:spacing w:after="0" w:line="142" w:lineRule="exact"/>
        <w:rPr>
          <w:rFonts w:ascii="Arial" w:cs="Arial" w:eastAsia="Arial" w:hAnsi="Arial"/>
          <w:sz w:val="17"/>
          <w:szCs w:val="17"/>
          <w:color w:val="auto"/>
        </w:rPr>
      </w:pPr>
    </w:p>
    <w:p>
      <w:pPr>
        <w:ind w:left="1080" w:right="20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other intellectual property protection, trade secret protection and regulatory exclusivity, both in the United States and internationally;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protecting, enforcing and defending our rights in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expand into multiple indications;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continued acceptable safety profile and sustained therapeutic effect of our therapies following any marketing approval;</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actual market-size, ability to identify patients and the demographics of patients eligible for our product candidates, which may be different than expected;</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particularly since the product candidates we develop may be novel;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do not have control over many of these factors, including certain aspects of preclinical and clinical development and the regulatory submission process and potential threats to our intellectual property rights. If we are not successful with respect to one or more of these factors in a timely manner or at all, we could experience significant delays or an inability to successfully commercialize our product candidates, which would materially harm our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To become and remain profitable, we must develop, obtain approval for and eventually commercialize products candidates, if approved, that generate significant revenue. We do not expect to receive approval of any product candidates for many years and may never succeed in these activities. In addition, it is not uncommon for product candidates to exhibit unforeseen safety issues or inadequate efficacy when tested in humans despite promising results in preclinical animal models,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187" w:lineRule="exact"/>
        <w:rPr>
          <w:sz w:val="20"/>
          <w:szCs w:val="20"/>
          <w:color w:val="auto"/>
        </w:rPr>
      </w:pPr>
    </w:p>
    <w:p>
      <w:pPr>
        <w:jc w:val="both"/>
        <w:ind w:left="120" w:right="380" w:firstLine="440"/>
        <w:spacing w:after="0" w:line="311" w:lineRule="auto"/>
        <w:rPr>
          <w:sz w:val="20"/>
          <w:szCs w:val="20"/>
          <w:color w:val="auto"/>
        </w:rPr>
      </w:pPr>
      <w:r>
        <w:rPr>
          <w:rFonts w:ascii="Arial" w:cs="Arial" w:eastAsia="Arial" w:hAnsi="Arial"/>
          <w:sz w:val="16"/>
          <w:szCs w:val="16"/>
          <w:color w:val="auto"/>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257" w:lineRule="exact"/>
        <w:rPr>
          <w:sz w:val="20"/>
          <w:szCs w:val="20"/>
          <w:color w:val="auto"/>
        </w:rPr>
      </w:pPr>
    </w:p>
    <w:p>
      <w:pPr>
        <w:ind w:left="560" w:right="80"/>
        <w:spacing w:after="0" w:line="311" w:lineRule="auto"/>
        <w:rPr>
          <w:sz w:val="20"/>
          <w:szCs w:val="20"/>
          <w:color w:val="auto"/>
        </w:rPr>
      </w:pPr>
      <w:r>
        <w:rPr>
          <w:rFonts w:ascii="Arial" w:cs="Arial" w:eastAsia="Arial" w:hAnsi="Arial"/>
          <w:sz w:val="16"/>
          <w:szCs w:val="16"/>
          <w:b w:val="1"/>
          <w:bCs w:val="1"/>
          <w:i w:val="1"/>
          <w:iCs w:val="1"/>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4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192"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To date, only three products that utilize AAV-mediated gene transfer have been approved in the United States or Europe, including Novartis Pharmaceuticals’ Zolgensma (developed by AveXis), Roche’s Luxturna (developed by Spark Therapeutics), and uniQure’s Glybera.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United States, the European Union or other jurisdictions.</w:t>
      </w:r>
    </w:p>
    <w:p>
      <w:pPr>
        <w:spacing w:after="0" w:line="18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regulatory requirements that will govern any novel gene therapy product candidates we develop are not entirely clear, have changed over time and are subject to further change. Within the broader genetic medicine field, very few therapeutic products have received marketing authorization from the FDA, the EMA or comparable foreign regulatory authorities.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cell therapy products. For example, in the United States,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184"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66"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The same applies in the European Union.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Approvals by the EMA may not be indicative of what the FDA may require for approval. Delay or failure to obtain, or unexpected costs in obtaining, the regulatory approvals necessary to bring a potential product to market could decrease our ability to generate sufficient product revenue and our business, financial condition, results of operations and prospects could be materially harmed.</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Adverse developments in preclinical studies or clinical trials conducted by others in the field of gene therapy and gene regulation products may cause the FDA, the EMA, and other regulatory bodies to revise the requirements for the conduct of the clinical studies and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expenses, delays, or other impediments to our research programs or the commercialization of resulting products. Further, approvals by one regulatory agency may not be indicative of what other regulatory agencies may require for approval.</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89"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b w:val="1"/>
          <w:bCs w:val="1"/>
          <w:i w:val="1"/>
          <w:iCs w:val="1"/>
          <w:color w:val="auto"/>
        </w:rPr>
        <w:t>The mechanisms of action of our product candidates are unproven, and we do not know whether we will be able to develop any drug of commercial value.</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have seen for our compounds in preclinical models may not translate into similar results in humans, and results of early clinical trials in humans may not be predictive of the results of larger clinical trials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16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286" w:lineRule="exact"/>
        <w:rPr>
          <w:sz w:val="20"/>
          <w:szCs w:val="20"/>
          <w:color w:val="auto"/>
        </w:rPr>
      </w:pPr>
    </w:p>
    <w:p>
      <w:pPr>
        <w:ind w:left="560" w:right="220"/>
        <w:spacing w:after="0" w:line="275"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It is impossible to predict when or if any product candidate that we develop will prove effective or safe in humans or will receive marketing approval. Before obtaining marketing approval from the FDA, EMA or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comparable foreign regulatory authorities for the sale of our product candidates, we must complete preclinical development and extensive clinical trials to demonstrate with substantial evidence the safety and efficacy of such product candidates.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its ultimate outcome is uncertain. We cannot guarantee that any of our clinical trials will be conducted as planned or completed on schedule, or at all. Clinical trials can fail at any stage of testing and failure may result from a multitude of factors, including, among other things, flaws in study design, dose selection issues, placebo effects, patient enrollment criteria and failure to demonstrate favorable safety or efficacy traits.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clinical trials that we conduct will demonstrate consistent or adequate efficacy and safety to support marketing approval.</w:t>
      </w:r>
    </w:p>
    <w:p>
      <w:pPr>
        <w:spacing w:after="0" w:line="16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studies, such as bridging studies and additional safety studies, before we can commence our clinical trials in pediatric populations. Any delays in our planned clinical development activities for pediatric patients could have an adverse effect on our business operations.</w:t>
      </w:r>
    </w:p>
    <w:p>
      <w:pPr>
        <w:spacing w:after="0" w:line="16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To date, we have not initiated or completed any clinical trials required for the approval of our product candidates. We may experience numerous unforeseen events during, or as a result of, preclinical studies or clinical trials that could delay or prevent receipt of marketing approval or our ability to commercialize our product candidates, including:</w:t>
      </w:r>
    </w:p>
    <w:p>
      <w:pPr>
        <w:spacing w:after="0" w:line="8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 including our natural history studies;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 observations or results that require us to modify the design of our clinical trials;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approval from one or more IRBs;</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130" w:lineRule="exact"/>
        <w:rPr>
          <w:rFonts w:ascii="Arial" w:cs="Arial" w:eastAsia="Arial" w:hAnsi="Arial"/>
          <w:sz w:val="18"/>
          <w:szCs w:val="18"/>
          <w:color w:val="auto"/>
        </w:rPr>
      </w:pPr>
    </w:p>
    <w:p>
      <w:pPr>
        <w:ind w:left="1080" w:right="260" w:hanging="532"/>
        <w:spacing w:after="0" w:line="311"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30"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w:t>
      </w:r>
    </w:p>
    <w:p>
      <w:pPr>
        <w:spacing w:after="0" w:line="130"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absence in some countries of established groups with sufficient regulatory expertise for review of AAV gene therapy protocols; and</w:t>
      </w:r>
    </w:p>
    <w:p>
      <w:pPr>
        <w:spacing w:after="0" w:line="142"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66"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which could result in increased costs and expenses and/or delays. Any delays in completing our clinical trials will increase our costs, slow down our product candidate development and approval process and jeopardize our ability to commence product sales and generate revenues.</w:t>
      </w:r>
    </w:p>
    <w:p>
      <w:pPr>
        <w:spacing w:after="0" w:line="17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296"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b w:val="1"/>
          <w:bCs w:val="1"/>
          <w:i w:val="1"/>
          <w:iCs w:val="1"/>
          <w:color w:val="auto"/>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5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spacing w:after="0" w:line="16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Patients in our planned clinical trials may in the future suffer other serious adverse events or other side effects not observed in our preclinical studies or previous clinical trials. Patients treated with our other product candidates may also be undergoing other therapies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w:t>
      </w:r>
    </w:p>
    <w:p>
      <w:pPr>
        <w:spacing w:after="0" w:line="17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If further serious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76" w:lineRule="exact"/>
        <w:rPr>
          <w:sz w:val="20"/>
          <w:szCs w:val="20"/>
          <w:color w:val="auto"/>
        </w:rPr>
      </w:pPr>
    </w:p>
    <w:p>
      <w:pPr>
        <w:ind w:left="560" w:right="280"/>
        <w:spacing w:after="0" w:line="342"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1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17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7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278"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w:t>
      </w:r>
    </w:p>
    <w:p>
      <w:pPr>
        <w:spacing w:after="0" w:line="18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may experience delays if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171"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color w:val="auto"/>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spacing w:after="0" w:line="17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current or any future clinical trials may be affected by other factors, including:</w:t>
      </w:r>
    </w:p>
    <w:p>
      <w:pPr>
        <w:spacing w:after="0" w:line="54"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30"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associated with recruiting pediatric patient population, including, but not limited to, identifying clinical sites that are qualified to participate in pediatric clinical trials, smaller number of eligible pediatric patients who are interested in participating within the target age groups, or under-diagnosis or challenges associated with diagnosing pediatric populations with the applicable target disease or condition;</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perceived risks and benefits of novel, unproven approaches;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jc w:val="both"/>
        <w:ind w:left="1080" w:right="380" w:hanging="532"/>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activities of key opinion leaders (KOLs) and patient advocacy groups;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have an advanced disease, will not survive the full terms of the clinical trials.</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65" w:lineRule="exact"/>
        <w:rPr>
          <w:sz w:val="20"/>
          <w:szCs w:val="20"/>
          <w:color w:val="auto"/>
        </w:rPr>
      </w:pPr>
    </w:p>
    <w:p>
      <w:pPr>
        <w:jc w:val="both"/>
        <w:ind w:left="560" w:right="100"/>
        <w:spacing w:after="0" w:line="259"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276" w:lineRule="exact"/>
        <w:rPr>
          <w:sz w:val="20"/>
          <w:szCs w:val="20"/>
          <w:color w:val="auto"/>
        </w:rPr>
      </w:pPr>
    </w:p>
    <w:p>
      <w:pPr>
        <w:ind w:left="560" w:right="80"/>
        <w:spacing w:after="0" w:line="342" w:lineRule="auto"/>
        <w:rPr>
          <w:sz w:val="20"/>
          <w:szCs w:val="20"/>
          <w:color w:val="auto"/>
        </w:rPr>
      </w:pPr>
      <w:r>
        <w:rPr>
          <w:rFonts w:ascii="Arial" w:cs="Arial" w:eastAsia="Arial" w:hAnsi="Arial"/>
          <w:sz w:val="16"/>
          <w:szCs w:val="16"/>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1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expect to face competition from existing products and products in development for each of our programs. We anticipate substantial direct competition from a variety of competitors, including:</w:t>
      </w:r>
    </w:p>
    <w:p>
      <w:pPr>
        <w:spacing w:after="0" w:line="76" w:lineRule="exact"/>
        <w:rPr>
          <w:sz w:val="20"/>
          <w:szCs w:val="20"/>
          <w:color w:val="auto"/>
        </w:rPr>
      </w:pPr>
    </w:p>
    <w:p>
      <w:pPr>
        <w:ind w:left="1080" w:right="64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cardiovascular drug development: Companies known to have approved product and active drug development efforts for cardiovascular disease include but are not limited to AstraZeneca, Bayer, Bristol Myers Squibb, Cytokinetics, Eli Lilly, Johnson &amp; Johnson/Janssen, Maze Therapeutics, Merck, Novartis, and Novo Nordisk;</w:t>
      </w:r>
    </w:p>
    <w:p>
      <w:pPr>
        <w:spacing w:after="0" w:line="89"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 Therapy platform: Companies known to be pursuing gene therapy approaches for the heart include but are not limited to 4D Molecular Therapeutics, Bayer, Bristol Myers Squibb, BioMarin Pharmaceutical, DiNAQOR, Nuevocor, Precigen, Renova Therapeutics, Renovacor, Rocket Pharmaceuticals, Sardicor, Stride Bio, and uniQure;</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Cellular Regeneration platform: Companies known to be pursuing approaches to cellular regeneration for the heart include but are not limited to AstraZeneca, Bayer, BioCardia, Cardior Pharmaceuticals, Jaan Biotherapeutics, Khloris Biosciences, Mesoblast, Mogrify, Sana Biotechnologies and Xylocor Therapeutics; and</w:t>
      </w:r>
    </w:p>
    <w:p>
      <w:pPr>
        <w:spacing w:after="0" w:line="89"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Precision Medicine platform: Companies known to be pursuing approaches to drug discovery for the heart using disease models based on iPSC-CMs include but are not limited to DiNAQOR and Tara Biosystems.</w:t>
      </w:r>
    </w:p>
    <w:p>
      <w:pPr>
        <w:spacing w:after="0" w:line="170"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16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96" w:lineRule="exact"/>
        <w:rPr>
          <w:sz w:val="20"/>
          <w:szCs w:val="20"/>
          <w:color w:val="auto"/>
        </w:rPr>
      </w:pPr>
    </w:p>
    <w:p>
      <w:pPr>
        <w:ind w:left="560" w:right="10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7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not be successful in our efforts to utilize our proprietary drug discovery platforms to develop a pipeline of product candidates.</w:t>
      </w:r>
    </w:p>
    <w:p>
      <w:pPr>
        <w:spacing w:after="0" w:line="14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57" w:lineRule="auto"/>
        <w:rPr>
          <w:sz w:val="20"/>
          <w:szCs w:val="20"/>
          <w:color w:val="auto"/>
        </w:rPr>
      </w:pPr>
      <w:r>
        <w:rPr>
          <w:rFonts w:ascii="Arial" w:cs="Arial" w:eastAsia="Arial" w:hAnsi="Arial"/>
          <w:sz w:val="18"/>
          <w:szCs w:val="18"/>
          <w:color w:val="auto"/>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spacing w:after="0" w:line="18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spacing w:after="0" w:line="274" w:lineRule="exact"/>
        <w:rPr>
          <w:sz w:val="20"/>
          <w:szCs w:val="20"/>
          <w:color w:val="auto"/>
        </w:rPr>
      </w:pPr>
    </w:p>
    <w:p>
      <w:pPr>
        <w:jc w:val="both"/>
        <w:ind w:left="560" w:right="120"/>
        <w:spacing w:after="0" w:line="286" w:lineRule="auto"/>
        <w:rPr>
          <w:sz w:val="20"/>
          <w:szCs w:val="20"/>
          <w:color w:val="auto"/>
        </w:rPr>
      </w:pPr>
      <w:r>
        <w:rPr>
          <w:rFonts w:ascii="Arial" w:cs="Arial" w:eastAsia="Arial" w:hAnsi="Arial"/>
          <w:sz w:val="17"/>
          <w:szCs w:val="17"/>
          <w:b w:val="1"/>
          <w:bCs w:val="1"/>
          <w:i w:val="1"/>
          <w:iCs w:val="1"/>
          <w:color w:val="auto"/>
        </w:rPr>
        <w:t>The manufacture of drugs is complex, and we or our third-party manufacturers may encounter difficulties in production. If we or any of our third-party manufacturers encounter such difficulties, our ability to provide adequate supply of our product candidates for preclinical studies or clinical trials or our products for patients, if approved, could be delayed or prevented.</w:t>
      </w:r>
    </w:p>
    <w:p>
      <w:pPr>
        <w:spacing w:after="0" w:line="5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 are made to the manufacturing process, we may be required to provide preclinical and clinical data showing the comparable quality and efficacy of the products before and after such changes. If we or our third-party manufacturers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289" w:lineRule="exact"/>
        <w:rPr>
          <w:sz w:val="20"/>
          <w:szCs w:val="20"/>
          <w:color w:val="auto"/>
        </w:rPr>
      </w:pPr>
    </w:p>
    <w:p>
      <w:pPr>
        <w:ind w:left="560"/>
        <w:spacing w:after="0" w:line="375" w:lineRule="auto"/>
        <w:rPr>
          <w:sz w:val="20"/>
          <w:szCs w:val="20"/>
          <w:color w:val="auto"/>
        </w:rPr>
      </w:pPr>
      <w:r>
        <w:rPr>
          <w:rFonts w:ascii="Arial" w:cs="Arial" w:eastAsia="Arial" w:hAnsi="Arial"/>
          <w:sz w:val="15"/>
          <w:szCs w:val="15"/>
          <w:b w:val="1"/>
          <w:bCs w:val="1"/>
          <w:i w:val="1"/>
          <w:iCs w:val="1"/>
          <w:color w:val="auto"/>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comparable applicable foreign regulatory authorities standards or specifications with consistent and acceptable production yields and costs.</w:t>
      </w:r>
    </w:p>
    <w:p>
      <w:pPr>
        <w:spacing w:after="0" w:line="237"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In addition, the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19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84"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Any problems in our manufacturing process or facilities or the facilities with which we contract could make us a less attractive collaborator for potential partners, including larger pharmaceutical companies, which could limit our access to additional attractive development programs. Problems in manufacturing process or facilities also could restrict our ability to meet market demand for our products, if approved. Additionally, 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269" w:lineRule="exact"/>
        <w:rPr>
          <w:sz w:val="20"/>
          <w:szCs w:val="20"/>
          <w:color w:val="auto"/>
        </w:rPr>
      </w:pPr>
    </w:p>
    <w:p>
      <w:pPr>
        <w:jc w:val="both"/>
        <w:ind w:left="560" w:right="180"/>
        <w:spacing w:after="0" w:line="263" w:lineRule="auto"/>
        <w:rPr>
          <w:sz w:val="20"/>
          <w:szCs w:val="20"/>
          <w:color w:val="auto"/>
        </w:rPr>
      </w:pPr>
      <w:r>
        <w:rPr>
          <w:rFonts w:ascii="Arial" w:cs="Arial" w:eastAsia="Arial" w:hAnsi="Arial"/>
          <w:sz w:val="18"/>
          <w:szCs w:val="18"/>
          <w:b w:val="1"/>
          <w:bCs w:val="1"/>
          <w:i w:val="1"/>
          <w:iCs w:val="1"/>
          <w:color w:val="auto"/>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7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have historically relied on third parties to manufacture supplies of our product candidates. 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pharmacology (efficacy) and toxicology (safety) studies. We have initiated construction of a dedicated cGMP facility for drug product manufacturing in the San Francisco Bay Area that we expect will be operational in the first half of 2022. The facility will initially produce drug product at the 1000L scale to support FIH studies for TN-201, the most advanced product candidate from our MYBPC3 program. To optimize our use of resources and utilize extensive third-party experience in small molecule manufacturing, we intend to work with CDMOs for our small molecule programs. We intend to initiate cGMP manufacturing for our HDAC6 inhibitor program, TYA-11631, before the end of 2021.</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Although some of our employees have experience in the manufacturing of biopharmaceutical products from prior employment at other companies, we as a company have no prior experience in manufacturing. We may face delays or increased costs in the build out of our manufacturing facility or the production of clinical supply at our manufacturing facility, once operational, and cannot guarantee when our facility will be able to produce sufficient quantities of product candidates needed to support our preclinical studies and planned clinical trials. In addition, government approvals will be required for us to operate our manufacturing facility and can be time-consuming to obtain, and there can be no assurance that such approval will be obtained. As a manufacturer of pharmaceutical products, we also will be required to demonstrate and maintain compliance with cGMP requirements related to production processes, quality control and assurance and recordkeeping. Furthermore, establishing and maintaining manufacturing operations may require a reallocation of other resources and management time, as well as potentially significant capital expenditures,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Any failure or delay in the development of our manufacturing facility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spacing w:after="0" w:line="292" w:lineRule="exact"/>
        <w:rPr>
          <w:sz w:val="20"/>
          <w:szCs w:val="20"/>
          <w:color w:val="auto"/>
        </w:rPr>
      </w:pPr>
    </w:p>
    <w:p>
      <w:pPr>
        <w:ind w:left="560" w:right="260"/>
        <w:spacing w:after="0" w:line="308" w:lineRule="auto"/>
        <w:rPr>
          <w:sz w:val="20"/>
          <w:szCs w:val="20"/>
          <w:color w:val="auto"/>
        </w:rPr>
      </w:pPr>
      <w:r>
        <w:rPr>
          <w:rFonts w:ascii="Arial" w:cs="Arial" w:eastAsia="Arial" w:hAnsi="Arial"/>
          <w:sz w:val="17"/>
          <w:szCs w:val="17"/>
          <w:b w:val="1"/>
          <w:bCs w:val="1"/>
          <w:i w:val="1"/>
          <w:iCs w:val="1"/>
          <w:color w:val="auto"/>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3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will need to comply with the FDA’s and applicable foreign regulatory authorities’ cGMP requirements for the production of product candidates for clinical trials and, if approved, commercial supply. We may encounter difficulties in achieving QC and QA and may experience shortages in qualified personnel.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294"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manufacture our product candidates in sufficient quality and quantity, which would delay or prevent us from developing our product candidates and commercializing resulting approved products, if any.</w:t>
      </w:r>
    </w:p>
    <w:p>
      <w:pPr>
        <w:spacing w:after="0" w:line="6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To date, our product candidates have been manufactured in quantities adequate for preclinical studies.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If we are unable to successfully manufacture of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left="120" w:right="260" w:firstLine="440"/>
        <w:spacing w:after="0" w:line="272" w:lineRule="auto"/>
        <w:rPr>
          <w:sz w:val="20"/>
          <w:szCs w:val="20"/>
          <w:color w:val="auto"/>
        </w:rPr>
      </w:pPr>
      <w:r>
        <w:rPr>
          <w:rFonts w:ascii="Arial" w:cs="Arial" w:eastAsia="Arial" w:hAnsi="Arial"/>
          <w:sz w:val="17"/>
          <w:szCs w:val="17"/>
          <w:color w:val="auto"/>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Even if approved, we may not successfully commercialize our product candidates.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product candidates are subject to the risks of failure inherent in the development of pharmaceutical products based on new technologies, and our failure to develop safe, commercially viable products would severely limit our ability to become profitable or to achieve significant revenues. Even if one or more of our product candidates is approved, we may be unable to successfully commercialize our product candidates for several reasons, including:</w:t>
      </w:r>
    </w:p>
    <w:p>
      <w:pPr>
        <w:spacing w:after="0" w:line="92" w:lineRule="exact"/>
        <w:rPr>
          <w:sz w:val="20"/>
          <w:szCs w:val="20"/>
          <w:color w:val="auto"/>
        </w:rPr>
      </w:pPr>
    </w:p>
    <w:p>
      <w:pPr>
        <w:ind w:left="1080" w:right="100" w:hanging="532"/>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some or all of our product candidates may be found to be unsafe or ineffective or otherwise fail to meet applicable regulatory standards or receive necessary regulatory clearances; our product candidates, if safe and effective, may nonetheless not be able to be developed into commercially viable products;</w:t>
      </w:r>
    </w:p>
    <w:p>
      <w:pPr>
        <w:spacing w:after="0" w:line="89"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may be difficult to manufacture or market our product candidates on a scale that is necessary to ultimately deliver our products to end-users;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intellectual property and proprietary rights of third parties may preclude us from marketing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of our indications as rare diseases means that the potential market size may be limited; and</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third parties may market superior or equivalent drugs which could adversely affect the commercial viability and success of our product candidates.</w:t>
      </w:r>
    </w:p>
    <w:p>
      <w:pPr>
        <w:spacing w:after="0" w:line="278"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92"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the relevant pediatric patient population if approved for a pediatric indication, including challenges associated with diagnosing or identifying pediatric populations with the applicable target disease or condition;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perceive safety and efficacy profile and ease of use for pediatric patient population if approved for a pediatric indication;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physicians, hospitals, treatment centers and patients considering our product candidates as a safe, pure and effective treatment;</w:t>
      </w:r>
    </w:p>
    <w:p>
      <w:pPr>
        <w:spacing w:after="0" w:line="142" w:lineRule="exact"/>
        <w:rPr>
          <w:rFonts w:ascii="Arial" w:cs="Arial" w:eastAsia="Arial" w:hAnsi="Arial"/>
          <w:sz w:val="17"/>
          <w:szCs w:val="17"/>
          <w:color w:val="auto"/>
        </w:rPr>
      </w:pPr>
    </w:p>
    <w:p>
      <w:pPr>
        <w:ind w:left="1080" w:right="16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perceived prevalence and severity of any side effects for our product candidates compared to the prevalence and severity of any side effects for conventional products and other gene therapies;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willingness of the target patient population or their caregivers to try new therapies and of physicians to prescribe these therapies;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patients’ willingness to pay for these therapies in the absence of such coverage and adequate reimbursement;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support from KOLs and patient advocacy groups;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25"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32" w:lineRule="exact"/>
        <w:rPr>
          <w:sz w:val="20"/>
          <w:szCs w:val="20"/>
          <w:color w:val="auto"/>
        </w:rPr>
      </w:pPr>
    </w:p>
    <w:p>
      <w:pPr>
        <w:ind w:left="560" w:right="280"/>
        <w:spacing w:after="0" w:line="308" w:lineRule="auto"/>
        <w:rPr>
          <w:sz w:val="20"/>
          <w:szCs w:val="20"/>
          <w:color w:val="auto"/>
        </w:rPr>
      </w:pPr>
      <w:r>
        <w:rPr>
          <w:rFonts w:ascii="Arial" w:cs="Arial" w:eastAsia="Arial" w:hAnsi="Arial"/>
          <w:sz w:val="17"/>
          <w:szCs w:val="17"/>
          <w:b w:val="1"/>
          <w:bCs w:val="1"/>
          <w:i w:val="1"/>
          <w:iCs w:val="1"/>
          <w:color w:val="auto"/>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3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19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Publicity of any adverse events in, or unfavorable results of, preclinical studies or clinical trials for any current or future product candidates, or with respect to the studies or trials of our competitors or of academic</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40"/>
          </w:cols>
          <w:pgMar w:left="32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spacing w:after="0" w:line="279" w:lineRule="exact"/>
        <w:rPr>
          <w:sz w:val="20"/>
          <w:szCs w:val="20"/>
          <w:color w:val="auto"/>
        </w:rPr>
      </w:pPr>
    </w:p>
    <w:p>
      <w:pPr>
        <w:ind w:left="560" w:right="80"/>
        <w:spacing w:after="0" w:line="275" w:lineRule="auto"/>
        <w:rPr>
          <w:sz w:val="20"/>
          <w:szCs w:val="20"/>
          <w:color w:val="auto"/>
        </w:rPr>
      </w:pPr>
      <w:r>
        <w:rPr>
          <w:rFonts w:ascii="Arial" w:cs="Arial" w:eastAsia="Arial" w:hAnsi="Arial"/>
          <w:sz w:val="17"/>
          <w:szCs w:val="17"/>
          <w:b w:val="1"/>
          <w:bCs w:val="1"/>
          <w:i w:val="1"/>
          <w:iCs w:val="1"/>
          <w:color w:val="auto"/>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6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17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279"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19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7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We currently have no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6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successful defense would require significant financial and management resources.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31"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FDA, EMA or other regulatory authority investigation of the safety and effectiveness of our products, our manufacturing processes and facilities or our marketing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29" w:lineRule="exact"/>
        <w:rPr>
          <w:sz w:val="20"/>
          <w:szCs w:val="20"/>
          <w:color w:val="auto"/>
        </w:rPr>
      </w:pPr>
    </w:p>
    <w:p>
      <w:pPr>
        <w:jc w:val="both"/>
        <w:ind w:left="560" w:right="24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6"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 We cannot provide any assurance that any product candidate we may develop will progress through required clinical testing and obtain the regulatory approvals necessary for us to begin selling them.</w:t>
      </w:r>
    </w:p>
    <w:p>
      <w:pPr>
        <w:spacing w:after="0" w:line="176"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We have not initiated, conducted, managed or completed any clinical trials nor managed the regulatory approval process with the FDA or any other regulatory authority. Applications for our product candidates could fail to receive regulatory approval for many reasons, including the following:</w:t>
      </w:r>
    </w:p>
    <w:p>
      <w:pPr>
        <w:spacing w:after="0" w:line="29" w:lineRule="exact"/>
        <w:rPr>
          <w:sz w:val="20"/>
          <w:szCs w:val="20"/>
          <w:color w:val="auto"/>
        </w:rPr>
      </w:pPr>
    </w:p>
    <w:p>
      <w:pPr>
        <w:ind w:left="1080" w:right="14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the design, implementation or results of our clinical trials;</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our interpretation of data from preclinical studies or clinical trials;</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other comparable foreign regulatory authorities that our product candidate’s risk-benefit ratio for its proposed indication is acceptable;</w:t>
      </w:r>
    </w:p>
    <w:p>
      <w:pPr>
        <w:spacing w:after="0" w:line="75" w:lineRule="exact"/>
        <w:rPr>
          <w:rFonts w:ascii="Arial" w:cs="Arial" w:eastAsia="Arial" w:hAnsi="Arial"/>
          <w:sz w:val="18"/>
          <w:szCs w:val="18"/>
          <w:color w:val="auto"/>
        </w:rPr>
      </w:pPr>
    </w:p>
    <w:p>
      <w:pPr>
        <w:ind w:left="1080" w:right="240" w:hanging="532"/>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29" w:lineRule="exact"/>
        <w:rPr>
          <w:rFonts w:ascii="Arial" w:cs="Arial" w:eastAsia="Arial" w:hAnsi="Arial"/>
          <w:sz w:val="16"/>
          <w:szCs w:val="16"/>
          <w:color w:val="auto"/>
        </w:rPr>
      </w:pPr>
    </w:p>
    <w:p>
      <w:pPr>
        <w:ind w:left="1080" w:right="3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described above as well as risks attributable to the satisfaction of local regulations in foreign jurisdictions. Moreover, the time required to obtain approval may differ from that required to obtain FDA approval.</w:t>
      </w:r>
    </w:p>
    <w:p>
      <w:pPr>
        <w:spacing w:after="0" w:line="265"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planning on undertaking clinical trials in the United States and additional clinical trials internationally. The acceptance of study data by the FDA, EMA or other comparable foreign regulatory authority from clinical trials conducted outside of their respective jurisdictions may be subject to certain conditions. In cases where data from U.S. clinical trials are intended to serve as the basis for marketing approval in the foreign countries outside the United States, the standards for clinical trials and approval may be different. There can be no assurance that any U.S.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74"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6"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92" w:lineRule="exact"/>
        <w:rPr>
          <w:sz w:val="20"/>
          <w:szCs w:val="20"/>
          <w:color w:val="auto"/>
        </w:rPr>
      </w:pPr>
    </w:p>
    <w:p>
      <w:pPr>
        <w:ind w:left="560" w:right="180"/>
        <w:spacing w:after="0" w:line="342" w:lineRule="auto"/>
        <w:rPr>
          <w:sz w:val="20"/>
          <w:szCs w:val="20"/>
          <w:color w:val="auto"/>
        </w:rPr>
      </w:pPr>
      <w:r>
        <w:rPr>
          <w:rFonts w:ascii="Arial" w:cs="Arial" w:eastAsia="Arial" w:hAnsi="Arial"/>
          <w:sz w:val="16"/>
          <w:szCs w:val="16"/>
          <w:b w:val="1"/>
          <w:bCs w:val="1"/>
          <w:i w:val="1"/>
          <w:iCs w:val="1"/>
          <w:color w:val="auto"/>
        </w:rPr>
        <w:t>Even if we successfully complete the necessary preclinical studies and clinical trials, we cannot predict when, or if, we will obtain regulatory approval to commercialize a product candidate and the approval may be for a narrower indication than we seek.</w:t>
      </w:r>
    </w:p>
    <w:p>
      <w:pPr>
        <w:spacing w:after="0" w:line="1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We have not received approval from regulatory authorities in any jurisdiction to market any of our product candidates. Even if our product candidates meet their safety and efficacy endpoints in clinical trials, the regulatory authorities may not complete their review processes in a timely manner, issue a complete response letter, or ultimately, we may not be able to obtain regulatory approval. In addition, we may experience delays or rejections if an FDA Advisory Committee recommends disapproval or restrictions on use. In addition, we may experience delays or rejections based upon additional government regulation from future legislation or administrative actions, or changes in regulatory authority policy during the period of product development, clinical trials and the review process. Regulatory authorities have substantial discretion in the approval process and may refuse to accept any application or may decide that our data are insufficient for approval and require additional preclinical, clinical or other studies. In addition, varying interpretations of data obtained from preclinical and clinical testing could delay, limit or prevent the receipt of marketing approval for a product candidate.</w:t>
      </w:r>
    </w:p>
    <w:p>
      <w:pPr>
        <w:spacing w:after="0" w:line="19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or other labeling changes. These regulatory authorities may require precautions or contra-indications with respect to conditions of use or they may grant approval subject to the performance of costly post-marketing clinical trials. Regulatory authorities may impose restrictions and conditions on product distribution, prescribing, or dispensing in the form of a REMS or equivalent requirement.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285"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will be subject to significant post-marketing regulatory requirements and oversight.</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54"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25"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257"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However, there can be no assurances that we will be able to obtain orphan designations for our product candidates.</w:t>
      </w:r>
    </w:p>
    <w:p>
      <w:pPr>
        <w:spacing w:after="0" w:line="17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17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FDA has granted orphan drug designation for TN-201, the most advanced product candidate from our MYBPC3 program, and we may seek orphan drug designation for other product candidates in the United States,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difficulties from changes to current FDA and healthcare regulations and future legislation.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18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Congressional challenges to certain aspects of the ACA. For example, various portions of the ACA have been the subject of legal and constitutional challenges in the U.S. Supreme Court. In June 2021, the U.S. Supreme Court held that Texas and other challengers had no legal standing to challenge the ACA, dismissing the case without specifically ruling on the constitutionality of the ACA.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w:t>
      </w:r>
    </w:p>
    <w:p>
      <w:pPr>
        <w:spacing w:after="0" w:line="181"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up to 2% per fiscal year, effective April 1, 2013, which will remain in effect through 2030, with the exception of a temporary suspension implemented under various COVID-19 relief legislation from May 1, 2020 through the end of 2021,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166"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w:t>
      </w:r>
    </w:p>
    <w:p>
      <w:pPr>
        <w:spacing w:after="0" w:line="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2019.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Biden administration.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The impact of these lawsuits as well as legislative, executive, and administrative actions of the Biden administration on us and the pharmaceutical industry as a whole is unclear.</w:t>
      </w:r>
    </w:p>
    <w:p>
      <w:pPr>
        <w:spacing w:after="0" w:line="172"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are unable to predict the future course of federal or state healthcare legislation in the United States directed at broadening the availability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12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176"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84" w:lineRule="exact"/>
        <w:rPr>
          <w:sz w:val="20"/>
          <w:szCs w:val="20"/>
          <w:color w:val="auto"/>
        </w:rPr>
      </w:pPr>
    </w:p>
    <w:p>
      <w:pPr>
        <w:ind w:left="560" w:right="500"/>
        <w:spacing w:after="0" w:line="279" w:lineRule="auto"/>
        <w:rPr>
          <w:sz w:val="20"/>
          <w:szCs w:val="20"/>
          <w:color w:val="auto"/>
        </w:rPr>
      </w:pPr>
      <w:r>
        <w:rPr>
          <w:rFonts w:ascii="Arial" w:cs="Arial" w:eastAsia="Arial" w:hAnsi="Arial"/>
          <w:sz w:val="17"/>
          <w:szCs w:val="17"/>
          <w:b w:val="1"/>
          <w:bCs w:val="1"/>
          <w:i w:val="1"/>
          <w:iCs w:val="1"/>
          <w:color w:val="auto"/>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63"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Outside of the United States, legal requirements relating to the collection, storage, processing and transfer of personal data continue to evolve. For example, the collection and use of health data and other personal data is governed in the European Union by the General Data Protection Regulation (GDPR), which extends the geographical scope of EU data protection law to entities and operations outside of the European Union under certain conditions and imposes substantial obligations upon companies and new rights for individuals, and by certain EU member state-level legislation. For example, the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regulations and standards in the European Union, including those of EU member states, relating to privacy and data protection. This may be onerous and if our efforts to comply with GDPR or other applicable EU laws, rules, regulations and standards are not successful, or are perceived to be unsuccessful, it could adversely affect our business. Further, in July 2020, the European Court of Justice (ECJ) invalidated the EU-U.S. Privacy Shield, which had enabled the transfer of personal data from the European Union to the United States for companies that had self-certified to the Privacy Shield. The ECJ decision also raised questions about the continued validity of one of the primary</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alternatives to the EU-U.S. Privacy Shield, namely the European Commission’s Standard Contractual Clauses, and EU regulators have issued additional guidance regarding considerations and requirements that we and other companies must consider and undertake when using the Standard Contractual Clauses. Although the European Union has presented a new draft set of contractual clauses, at present, there are few, if any, viable alternatives to the EU-U.S. Privacy Shield and the Standard Contractual Clauses and it remains to be seen whether additional means for lawful data transfers will become available. To the extent that we were to rely on the EU-U.S. or Swiss-U.S. Privacy Shield programs, we will not be able to do so in the future, and the ECJ’s decision and other regulatory guidance or developments otherwise may impose additional obligations with respect to the transfer of personal data from the European Union and Switzerland to the United States, each of which could restrict our activities in those jurisdictions, limit our ability to provide our products and services in those jurisdictions, or increase our costs and obligations and impose limitations upon our ability to efficiently transfer personal data from the European Union and Switzerland to the United States.</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Further, the exit of the United Kingdom from the European Union, often referred to as Brexit, has created uncertainty with regard to data protection regulation in the United Kingdom. Specifically, the United Kingdom exited the European Union on January 1, 2020, subject to a transition period that ended December 31, 2020. The United Kingdom has implemented legislation similar to the GDPR, referred to as the UK GDPR, which provides for significant fines of up to the greater of £17.5 million or 4% of global turnover and exposes us to two parallel regimes with potentially divergent enforcement actions for certain violations. With respect to transfers of personal data,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The relationship between the United Kingdom and European Union in relation to aspects of data protection law in the medium and longer term remains unclear, including with respect to cross-border data transfers and the role of the UK Information Commissioner’s Office with respect to the European Union, which exposes us to further compliance risk. We may incur liabilities, expenses, costs, and other operational losses relating to the GDPR, the UK GDPR, and other laws and regulations in the European Union and United Kingdom relating to privacy and data protection, including those of applicable EU member states in connection with any measures we take to comply with them.</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Finally, federal, state and foreign laws, rules, regulations and standards may apply generally to the privacy and security of information we maintain, and may differ from each other in significant ways, thus complicating compliance efforts and potentially requiring us to undertake additional measures to comply with them. In the United States, there are a broad variety of data privacy, protection and security laws, rules, regulations and standards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w:t>
      </w:r>
    </w:p>
    <w:p>
      <w:pPr>
        <w:spacing w:after="0" w:line="18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With the GDPR, CCPA, CRPA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 Additionally, the CPRA and the CCPA may lead other states to pass comparable legislation, with potentially greater penalties and more rigorous compliance requirements relevant to our business. Additionally, if third parties we work with, such as vendors or service providers, violate applicable laws, rules or regulations or our policies, such violations may also put our or our customers’ data, including personal data, at risk, which could in turn have an adverse effect on our business.</w:t>
      </w:r>
    </w:p>
    <w:p>
      <w:pPr>
        <w:spacing w:after="0" w:line="16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286" w:lineRule="exact"/>
        <w:rPr>
          <w:sz w:val="20"/>
          <w:szCs w:val="20"/>
          <w:color w:val="auto"/>
        </w:rPr>
      </w:pPr>
    </w:p>
    <w:p>
      <w:pPr>
        <w:ind w:left="560" w:right="300"/>
        <w:spacing w:after="0" w:line="259" w:lineRule="auto"/>
        <w:rPr>
          <w:sz w:val="20"/>
          <w:szCs w:val="20"/>
          <w:color w:val="auto"/>
        </w:rPr>
      </w:pPr>
      <w:r>
        <w:rPr>
          <w:rFonts w:ascii="Arial" w:cs="Arial" w:eastAsia="Arial" w:hAnsi="Arial"/>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6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82" w:lineRule="exact"/>
        <w:rPr>
          <w:sz w:val="20"/>
          <w:szCs w:val="20"/>
          <w:color w:val="auto"/>
        </w:rPr>
      </w:pPr>
    </w:p>
    <w:p>
      <w:pPr>
        <w:ind w:left="1080" w:right="14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1080" w:right="40" w:hanging="532"/>
        <w:spacing w:after="0" w:line="275"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81" w:lineRule="exact"/>
        <w:rPr>
          <w:rFonts w:ascii="Arial" w:cs="Arial" w:eastAsia="Arial" w:hAnsi="Arial"/>
          <w:sz w:val="17"/>
          <w:szCs w:val="17"/>
          <w:color w:val="auto"/>
        </w:rPr>
      </w:pPr>
    </w:p>
    <w:p>
      <w:pPr>
        <w:ind w:left="1080" w:right="160" w:hanging="532"/>
        <w:spacing w:after="0" w:line="301"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62" w:lineRule="exact"/>
        <w:rPr>
          <w:rFonts w:ascii="Arial" w:cs="Arial" w:eastAsia="Arial" w:hAnsi="Arial"/>
          <w:sz w:val="16"/>
          <w:szCs w:val="16"/>
          <w:color w:val="auto"/>
        </w:rPr>
      </w:pPr>
    </w:p>
    <w:p>
      <w:pPr>
        <w:ind w:left="1080" w:right="4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and teaching hospitals as well as information regarding ownership and investment interests held by physicians and their immediate family members. Beginning with data reporting in 2022, reporting obligations with respect to covered recipients will be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780"/>
        <w:spacing w:after="0" w:line="342" w:lineRule="auto"/>
        <w:rPr>
          <w:sz w:val="20"/>
          <w:szCs w:val="20"/>
          <w:color w:val="auto"/>
        </w:rPr>
      </w:pPr>
      <w:r>
        <w:rPr>
          <w:rFonts w:ascii="Arial" w:cs="Arial" w:eastAsia="Arial" w:hAnsi="Arial"/>
          <w:sz w:val="16"/>
          <w:szCs w:val="16"/>
          <w:color w:val="auto"/>
        </w:rPr>
        <w:t>expanded to include physician assistants, nurse practitioners, clinical nurse specialists, certified registered nurse anesthetists and anesthesiologist assistants, and certified nurse midwives for payments and transfers of value made during the previous year; and</w:t>
      </w:r>
    </w:p>
    <w:p>
      <w:pPr>
        <w:spacing w:after="0" w:line="29" w:lineRule="exact"/>
        <w:rPr>
          <w:sz w:val="20"/>
          <w:szCs w:val="20"/>
          <w:color w:val="auto"/>
        </w:rPr>
      </w:pPr>
    </w:p>
    <w:p>
      <w:pPr>
        <w:ind w:left="1080" w:right="20" w:hanging="532"/>
        <w:spacing w:after="0" w:line="271"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2" w:lineRule="exact"/>
        <w:rPr>
          <w:sz w:val="20"/>
          <w:szCs w:val="20"/>
          <w:color w:val="auto"/>
        </w:rPr>
      </w:pPr>
    </w:p>
    <w:p>
      <w:pPr>
        <w:jc w:val="both"/>
        <w:ind w:left="560" w:right="58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6"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6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92" w:lineRule="exact"/>
        <w:rPr>
          <w:sz w:val="20"/>
          <w:szCs w:val="20"/>
          <w:color w:val="auto"/>
        </w:rPr>
      </w:pPr>
    </w:p>
    <w:p>
      <w:pPr>
        <w:ind w:left="560" w:right="280"/>
        <w:spacing w:after="0" w:line="340" w:lineRule="auto"/>
        <w:rPr>
          <w:sz w:val="20"/>
          <w:szCs w:val="20"/>
          <w:color w:val="auto"/>
        </w:rPr>
      </w:pPr>
      <w:r>
        <w:rPr>
          <w:rFonts w:ascii="Arial" w:cs="Arial" w:eastAsia="Arial" w:hAnsi="Arial"/>
          <w:sz w:val="15"/>
          <w:szCs w:val="15"/>
          <w:b w:val="1"/>
          <w:bCs w:val="1"/>
          <w:i w:val="1"/>
          <w:iCs w:val="1"/>
          <w:color w:val="auto"/>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2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directly or indirectly, offering, promising, giving or authorizing others to give anything of value, either directly or indirectly, to recipients in the public or private sector in order to influence official action or otherwise obtain or retain business.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(DOJ) have increased their FCPA enforcement activities with respect to biotechnology and pharmaceutical companies.</w:t>
      </w:r>
    </w:p>
    <w:p>
      <w:pPr>
        <w:spacing w:after="0" w:line="165"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sometimes leverage third parties to assist with the conduct of our business abroad.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or third-party intermediaries even if we do not explicitly authorize such activities. We cannot assure you that all of our employees, agents, representatives, business partners and third-party intermediaries will not take actions in violation of applicable law for which we may be ultimately held responsible. As we increase our international sales and business, our risks under these laws may increase.</w:t>
      </w:r>
    </w:p>
    <w:p>
      <w:pPr>
        <w:spacing w:after="0" w:line="18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There is no certainty that all of our employees, agents, representatives, business partners and third-party intermediaries, or those of our affiliates, will comply with applicable laws and regulations, for which we may be ultimately held responsible.</w:t>
      </w:r>
    </w:p>
    <w:p>
      <w:pPr>
        <w:spacing w:after="0" w:line="17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17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276"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Comprehensive U.S. tax reform legislation could increase the tax burden on our orphan drug programs and adversely affect our business and financial condition.</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2017, the U.S. government enacted the Tax Act, which as modified by the CARES Act, includes significant changes to the taxation of business entities. These changes include, among others, (i) a permanent reduction to the corporate income tax rate, (ii) a partial limitation on the deductibility of business interest expense and NOL carryforwards and (iii) a shift of the U.S. taxation of multinational corporations from a tax on worldwide income to a territorial system (along with certain rules designed to prevent erosion of the U.S. income tax base). Further, the comprehensive tax legislation reduces the orphan drug tax credit from 50% to 25% of qualifying expenditures. When and if we become profitable, this reduction in tax credits may result in an increased federal income tax burden on our orphan drug programs as it may cause us to pay federal income taxes earlier under the revised tax law than under the prior law and, despite being partially off-set by a reduction in the corporate tax rate from a top marginal rate of 35% to a flat rate of 21%, may increase our total federal tax liability attributable to such programs. Additionally, President Biden has proposed an increase of the corporate tax rate from 21% to 28%, which, if enacted would further increase our total federal tax liability when and if we become profitable.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Notwithstanding the changes in the corporate income tax rate, the overall impact of this comprehensive tax legislation resulted in an overall reduction in our deferred tax assets, and our business and financial condition could still be adversely affected as additional guidance and regulations are issued with respect to the original tax law change. In addition, it is uncertain if and to what extent various states will conform to this comprehensive tax legislation, and states may enact suspensions or limitations on the use of NOLs and tax credits (including, without limitation, California legislation enacted in 2020 that suspends the use of California NOLs and limits the use of certain California tax credits for certain periods). The impact of this comprehensive tax legislation on holders of our common stock is also uncertain and could be adverse. Investors should consult with their legal and tax advisors with respect to this comprehensive tax legislation and the potential tax consequences of investing in or holding our common stock.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particularly Faraz Ali, M.B.A., our Chief Executive Officer. Additionally, the COVID-19 pandemic may interfere with our ability to hire or retain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176"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274" w:lineRule="exact"/>
        <w:rPr>
          <w:sz w:val="20"/>
          <w:szCs w:val="20"/>
          <w:color w:val="auto"/>
        </w:rPr>
      </w:pPr>
    </w:p>
    <w:p>
      <w:pPr>
        <w:ind w:left="560" w:right="70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As of June 30, 2021, we had more than 85 full-time employees. Of these employees, approximately 47 are engaged in research and development activities and approximately 25 are engaged in manufacturing activities. In order to successfully implement our development and commercialization plans and strategies, and as we transition into operating as a public company, we expect to need additional managerial, operational, sales,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marketing, financial and other personnel. Future growth would impose significant added responsibilities on members of management, including:</w:t>
      </w:r>
    </w:p>
    <w:p>
      <w:pPr>
        <w:spacing w:after="0" w:line="142"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80" w:right="500" w:hanging="532"/>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65"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292" w:lineRule="exact"/>
        <w:rPr>
          <w:sz w:val="20"/>
          <w:szCs w:val="20"/>
          <w:color w:val="auto"/>
        </w:rPr>
      </w:pPr>
    </w:p>
    <w:p>
      <w:pPr>
        <w:ind w:left="560" w:right="82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279"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b w:val="1"/>
          <w:bCs w:val="1"/>
          <w:i w:val="1"/>
          <w:iCs w:val="1"/>
          <w:color w:val="auto"/>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63"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from inadvertent or intentional actions by our employees, contractors, consultants, business partners, and other third parties, cyber-attacks by malicious third parties (including supply chain cyber-attacks or attacks by nation-state or nation-state supported actors, or the deployment of harmful malware, ransomware, denial-of-service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or other assets, which could result in financial, legal, business and reputational harm to us.</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in the past and may in the future experience phishing attempts, and companies have, in general, experienced an increase in phishing and social engineering attacks from third parties in connection with the COVID-19 pandemic, and the increase in 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17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If any data breach or other security incident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leads to loss, damage, or unauthorized access to, or use, alteration, disclosure or dissemination of, personal data, including personal data regarding our clinical trial subjects or employees, could harm our reputation directly,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 Additionally, we do not currently maintain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Notifications and follow-up actions related to a data breach or other security incident could impact our reputation and cause us to incur significant costs, including significant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of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287"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facilities are located in the San Francisco Bay Area. We have not undertaken a systematic analysis of the potential consequences to our business and financial results from a major flood, blizzard, wildfire,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 variety of risks associated with marketing our product candidates internationally could materially adversely affect our business.</w:t>
      </w:r>
    </w:p>
    <w:p>
      <w:pPr>
        <w:spacing w:after="0" w:line="1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76"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30" w:lineRule="exact"/>
        <w:rPr>
          <w:rFonts w:ascii="Arial" w:cs="Arial" w:eastAsia="Arial" w:hAnsi="Arial"/>
          <w:sz w:val="18"/>
          <w:szCs w:val="18"/>
          <w:color w:val="auto"/>
        </w:rPr>
      </w:pPr>
    </w:p>
    <w:p>
      <w:pPr>
        <w:ind w:left="5540" w:right="2260" w:hanging="4992"/>
        <w:spacing w:after="0" w:line="449" w:lineRule="auto"/>
        <w:tabs>
          <w:tab w:leader="none" w:pos="10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 60</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30"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challenges obtaining, maintaining, protecting, defending and enforcing our contractual and intellectual property rights, especially in those foreign countries that do not respect and protect intellectual property rights to the same extent as the United States;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560" w:right="180"/>
        <w:spacing w:after="0" w:line="327" w:lineRule="auto"/>
        <w:rPr>
          <w:sz w:val="20"/>
          <w:szCs w:val="20"/>
          <w:color w:val="auto"/>
        </w:rPr>
      </w:pPr>
      <w:r>
        <w:rPr>
          <w:rFonts w:ascii="Arial" w:cs="Arial" w:eastAsia="Arial" w:hAnsi="Arial"/>
          <w:sz w:val="15"/>
          <w:szCs w:val="15"/>
          <w:b w:val="1"/>
          <w:bCs w:val="1"/>
          <w:i w:val="1"/>
          <w:iCs w:val="1"/>
          <w:color w:val="auto"/>
        </w:rPr>
        <w:t>We have in-licensed one issued U.S. patent, own one issued U.S. patent, and own one allowed U.S. patent application relating to our technology and product candidates.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3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commercial success depends in large part on our ability to obtain, maintain, protect, defend and enforce patents, trade secrets and other intellectual property for our product candidates and proprietary technologies and their uses, as well as our ability to operate without infringing, misappropriating or otherwise violating the intellectual property and proprietary rights of others. We rely on patent, copyright, trade secret and trademark laws in the United States and certain other countries to protect our proprietary technology, and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but the efforts we and our licensors take to protect our intellectual property may provide only limited protection. In particular, the development of our product candidates and technology is at an early stage and consequently, our patent portfolio is also at an early stage. Presently, we own one issued U.S. patent, one allowed U.S. patent application and one other pending non-provisional U.S. patent application, seven non-expired Patent Cooperation Treaty (PCT) applications, nine pending foreign patent applications and at least five pending provisional U.S. patent applications. There can be no assurance that we or our licensors will obtain any additional issued patents or that any issued patents we or our licensors obtain will provide us with any competitive advantage. Any failure to obtain adequate patent protection for our product candidates and technology would have a material adverse effect on our business, financial condition, results of operations and prospects.</w:t>
      </w:r>
    </w:p>
    <w:p>
      <w:pPr>
        <w:spacing w:after="0" w:line="17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320" w:top="459" w:right="5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claims cover the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infringed, designed around, or invalidated by third parties.</w:t>
      </w:r>
    </w:p>
    <w:p>
      <w:pPr>
        <w:spacing w:after="0" w:line="16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Even issued patents may later be found invalid or unenforceable or may be modified, narrowed in scope, or revoked in proceedings instituted by third parties before various patent offices or in courts in the United States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w:t>
      </w:r>
    </w:p>
    <w:p>
      <w:pPr>
        <w:spacing w:after="0" w:line="17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cannot be certain that the claims in our U.S. pending patent applications, corresponding international patent applications and patent applications in certain foreign jurisdictions, or those of our licensors, will be considered patentable by the United States Patent and Trademark Office (USPTO), courts in the United States or by the patent offices and courts in foreign countries, nor can we be certain that any issued claims will not be found invalid or unenforceable if challenged. Additionally, our provisional applications may never result in issued patents. A U.S. provisional patent application expires twelve months from its filing date, and its subject matter can only be claimed in an issued patent if, among other things, we file a non-provisional patent application making a valid priority claim to that provisional patent application before it expires. If we do not timely file a non-provisional patent application, we may lose the benefit of the priority dates of our provisional patent application, and intervening prior art may jeopardize patent protection on the inventions disclosed in such a provisional patent application. While we intend to timely file non-provisional patent applications claiming the benefit of the priority dates of our provisional patent applications, and otherwise diligently prosecute our patent rights, we cannot predict whether any of our future patent applications for our technology and product candidates will result in the issuance of patents that effectively protect our technology and product candidates. Additionally, our owned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If we or our licensors do not successfully obtain patent protection, or if the scope of the patent protection we or our licensors obtain is not sufficiently broad, valid, and enforceable, we may be unable to prevent others from using our technology, developing or commercializing similar or identical technology and products, or marketing competing products and technologies. Any failure to obtain or maintain patent protection with respect to our technology and product candidates would have a material adverse effect on our business, financial condition, results of operations and prospects.</w:t>
      </w:r>
    </w:p>
    <w:p>
      <w:pPr>
        <w:spacing w:after="0" w:line="19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licensors or collaborators will be successful in protecting our product candidates by obtaining and defending adequate patent coverage. These risks and uncertainties include the following:</w:t>
      </w:r>
    </w:p>
    <w:p>
      <w:pPr>
        <w:spacing w:after="0" w:line="89" w:lineRule="exact"/>
        <w:rPr>
          <w:sz w:val="20"/>
          <w:szCs w:val="20"/>
          <w:color w:val="auto"/>
        </w:rPr>
      </w:pPr>
    </w:p>
    <w:p>
      <w:pPr>
        <w:ind w:left="1080" w:right="60" w:hanging="532"/>
        <w:spacing w:after="0" w:line="286"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narrowed in scope or otherwise may not provide any competitive advantage;</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patents that will limit, interfere with or eliminate our ability to make, use and sell our potential product candidates;</w:t>
      </w:r>
    </w:p>
    <w:p>
      <w:pPr>
        <w:spacing w:after="0" w:line="131" w:lineRule="exact"/>
        <w:rPr>
          <w:sz w:val="20"/>
          <w:szCs w:val="20"/>
          <w:color w:val="auto"/>
        </w:rPr>
      </w:pPr>
    </w:p>
    <w:p>
      <w:pPr>
        <w:jc w:val="both"/>
        <w:ind w:left="1080" w:right="32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disclosures in the public domain.</w:t>
      </w:r>
    </w:p>
    <w:p>
      <w:pPr>
        <w:spacing w:after="0" w:line="188"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Consequently, we may not be able to prevent any third parties, including our competitors, from using any of our technology that is in the public domain to compete with our technology and product candidates.</w:t>
      </w:r>
    </w:p>
    <w:p>
      <w:pPr>
        <w:spacing w:after="0" w:line="161"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92" w:lineRule="exact"/>
        <w:rPr>
          <w:sz w:val="20"/>
          <w:szCs w:val="20"/>
          <w:color w:val="auto"/>
        </w:rPr>
      </w:pPr>
    </w:p>
    <w:p>
      <w:pPr>
        <w:ind w:left="560" w:right="30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38"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or otherwise provide any commercial advantage.</w:t>
      </w:r>
    </w:p>
    <w:p>
      <w:pPr>
        <w:spacing w:after="0" w:line="15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protectable or remain protected by valid and enforceable patents. Our competitors or other third parties may be able to circumvent our potential future patents or the patents of our licensors by developing similar or alternative technologies or products in a non-infringing manner which could materially adversely affect our business, financial condition, results of operations and prospects.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While we believe our intellectual property allows us to pursue our current development programs, several companies and academic institutions are pursuing alternate approaches to gene therapy and have built intellectual property around these approaches and methods. In addition, 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Furthermore, applications filed before November 29, 2000 and certain applications filed after that date that will not be filed outside the United States may remain confidential until a patent issues.</w:t>
      </w:r>
    </w:p>
    <w:p>
      <w:pPr>
        <w:spacing w:after="0" w:line="19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the inventorship, scope, validity or enforceability of our potential future patents or the patents of our licensors may be challenged in the courts or patent offices in the United States and abroad. For example, we may be subject to a third-party pre-issuance submission of prior art to the USPTO, or become involved in opposition, derivation, revocation, reexamination, post-grant review (PGR) and inter partes review (IPR), or other similar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Moreover, our potential future patents or the patents of our licensors may become subject to post-grant challenge proceedings, such as oppositions in a foreign patent office, that challenge our priority of invention or other features of patentability with respect to our potential future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The degree of current and future protection afforded by our intellectual property rights is uncertain because intellectual property rights have limitations and may not adequately protect our business or permit us to maintain our competitive advantage. For example:</w:t>
      </w:r>
    </w:p>
    <w:p>
      <w:pPr>
        <w:spacing w:after="0" w:line="52" w:lineRule="exact"/>
        <w:rPr>
          <w:sz w:val="20"/>
          <w:szCs w:val="20"/>
          <w:color w:val="auto"/>
        </w:rPr>
      </w:pPr>
    </w:p>
    <w:p>
      <w:pPr>
        <w:ind w:left="1080" w:right="5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 applications that we own or license;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patent applications that we own or license now or may own or license in the future;</w:t>
      </w:r>
    </w:p>
    <w:p>
      <w:pPr>
        <w:spacing w:after="0" w:line="75"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inventions;</w:t>
      </w:r>
    </w:p>
    <w:p>
      <w:pPr>
        <w:spacing w:after="0" w:line="75"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may hold rights to may be held invalid or unenforceable, including as a result of legal challenges by our competitors or other third parties;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have access to the same intellectual property rights licensed to us in the future on a nonexclusive basis;</w:t>
      </w:r>
    </w:p>
    <w:p>
      <w:pPr>
        <w:spacing w:after="0" w:line="130" w:lineRule="exact"/>
        <w:rPr>
          <w:rFonts w:ascii="Arial" w:cs="Arial" w:eastAsia="Arial" w:hAnsi="Arial"/>
          <w:sz w:val="18"/>
          <w:szCs w:val="18"/>
          <w:color w:val="auto"/>
        </w:rPr>
      </w:pPr>
    </w:p>
    <w:p>
      <w:pPr>
        <w:ind w:left="1080" w:right="540" w:hanging="532"/>
        <w:spacing w:after="0" w:line="308"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333" w:lineRule="exact"/>
        <w:rPr>
          <w:sz w:val="20"/>
          <w:szCs w:val="20"/>
          <w:color w:val="auto"/>
        </w:rPr>
      </w:pPr>
    </w:p>
    <w:p>
      <w:pPr>
        <w:ind w:left="560" w:right="40"/>
        <w:spacing w:after="0" w:line="301" w:lineRule="auto"/>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4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commercial success depends in part on avoiding infringement, misappropriation or other violation of the patents, intellectual property and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oppositions, reexaminations, IPR proceedings and PGR proceedings before the USPTO and corresponding foreign patent offices. Numerous third-party U.S. and foreign issued patents and pending patent applications exist in the fields in which we are developing product candidates. There are and in the future may be third-party patents or patent applications with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18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example, we are aware of third-party patent rights that could be construed to cover the use of our TN-201 product candidate. We believe that if these third-party patent rights were to be asserted against us, we would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have valid defenses against such assertions, including that such patent rights are invalid and not infringed. However, if such third-party patent rights were asserted against us and found to be valid, enforceable and infringed, we could be liable for damages and be required to obtain a license to such patent rights prior to commercializing TN-201 in the United States,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to such assertions,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165"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As the biotechnology industry expands and more patents are issued, the risk increases that our product candidates may be subject to claims of infringement, misappropriation or other violation of the patent or other intellectual property rights of third parties. If any third-party claims that we infringe any of the above-referenced patent rights or any other patent rights, such claims would be time consuming and could:</w:t>
      </w:r>
    </w:p>
    <w:p>
      <w:pPr>
        <w:spacing w:after="0" w:line="71"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us to significant liability and damages to third parties, including treble damages if we are found to willfully infringe third-party intellectual property; or</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Although no third party has asserted a claim of patent infringement against us as of the date of this prospectus, there can be no assurance that we will not be subject to claims of patent or other intellectual property infringement in the future that could prevent our product candidates from being marketed. Furthermore,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Third parties may assert claims of patent infringement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and we could encounter delays in our product introductions while we attempt to develop alternative technology and product candidates to avoid infringing third-party intellectual property rights.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Because of the inevitable uncertainty in intellectual property litigation, we could lose a patent infringement or other action asserted against us regardless of our perception of the merits of the case. 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18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our product candidates through acquisitions and in-licenses.</w:t>
      </w:r>
    </w:p>
    <w:p>
      <w:pPr>
        <w:spacing w:after="0" w:line="14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future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for future products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79" w:lineRule="exact"/>
        <w:rPr>
          <w:sz w:val="20"/>
          <w:szCs w:val="20"/>
          <w:color w:val="auto"/>
        </w:rPr>
      </w:pPr>
    </w:p>
    <w:p>
      <w:pPr>
        <w:ind w:left="560" w:right="42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potential future patents or our licensors’ patents, which could be expensive, time consuming and unsuccessful. Further, our potential future patents or our licensors’ patents could be found invalid or unenforceable if challenged in court.</w:t>
      </w:r>
    </w:p>
    <w:p>
      <w:pPr>
        <w:spacing w:after="0" w:line="76"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Competitors and other third parties may infringe, misappropriate or otherwise violate our intellectual property rights. To prevent infringement, misappropriation, unauthorized use or other violation, we may be required to file infringement claims, which can be expensive and time-consuming. In addition, our potential future patents also may become involved in inventorship, priority or validity disputes. In a patent infringement proceeding, a court may decide that a patent we may own or in-license is not valid, is unenforceable or is not infringed, or may refuse to stop the other party from using the technology at issue on the grounds that our potential future patents do not cover such technology. If we or any of our potential future collaborators were to initiate legal proceedings against a third party to enforce a patent directed at one of our product candidates, the defendant could counterclaim that our potential future patent or the patent of our licensor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or cancellation of or amendment to our potential future patents in such a way that they no longer cover our technology or product candidates or prevent third parties from competing with our technology or product candidates. The outcome following legal assertions of invalidity and unenforceability is unpredictable. With respect to the validity question, for example, we cannot be certain that there is no invalidating prior art, of which we, our licensor, and the patent examiners are unaware during prosecution. There is also no assurance that there is not prior art of which we are aware, but which we do not believe affects the validity or enforceability of a claim in our potential future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proprietary drug discovery platform, or any product candidates that we may develop. Such a loss of patent protection would have a material adverse impact on our business, financial condition, results of operations and prospects.</w:t>
      </w:r>
    </w:p>
    <w:p>
      <w:pPr>
        <w:spacing w:after="0" w:line="172"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In addition, if the breadth or strength of protection provided by our patent applications or the patents and patent applications of our licensors is threatened, it could dissuade companies from collaborating with us to license, develop or commercialize current or future product candidates.</w:t>
      </w:r>
    </w:p>
    <w:p>
      <w:pPr>
        <w:spacing w:after="0" w:line="12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5"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In addition, the issuance of a patent does not give us the right to practice the patented invention. Third parties may have blocking patents that could prevent us from marketing our own potential future patented product and practicing our own potential future patented technology.</w:t>
      </w:r>
    </w:p>
    <w:p>
      <w:pPr>
        <w:spacing w:after="0" w:line="232"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96"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 applications or the patents or patent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applications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300"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patents. Obtaining and enforcing patents in the biotechnology and pharmaceutical industries involve a high degree of technological and legal complexity. Therefore, obtaining and enforcing biotechnology and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Congress or other foreign legislative bodies may pass patent reform legislation that is unfavorable to us.</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 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 Smith Act, and many of the substantive changes to patent law associated with the Leahy-Smith Act, and in particular, the first-to-file provisions, became effective in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In addition, patent reform legislation may pass in the future that could lead to additional uncertainties and increased costs surrounding the prosecution, enforcement and defense of our patent applications.</w:t>
      </w:r>
    </w:p>
    <w:p>
      <w:pPr>
        <w:spacing w:after="0" w:line="174"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Furthermore, the U.S. Supreme Court and the U.S. Court of Appeals for the Federal Circuit have made, and will likely continue to make, changes in how patent laws in the United States are interpreted.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owned patent applications or in-licensed patent rights and other intellectual property.</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current or future products.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current or future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spacing w:after="0" w:line="17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or those of our licensors may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14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may not be granted any extensions for which we apply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Any of the foregoing could have a material adverse effect on our business, financial condition, results of operations and prospects.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 where we do pursue patent protection. Consequently, we may not be able to prevent third parties from practicing our or our licensors’ inventions in all countries outside the United States, even in jurisdictions where we or our licensors due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potential future patents, the patents of our licensors, or other intellectual property rights may not be effective or sufficient to prevent them from competing.</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foreign countries, particularly certain developing countries, do not favor the enforcement of patents, trade secrets and other intellectual property protection, which could make it difficult for us to stop the infringement of our potential future patents or our licensor’s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potential future patents or the patents of our licensors at risk of being invalidated or interpreted narrowly and our patent applications or the patent applications of our licensors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patent applications will be due to the USPTO and various foreign patent offices outside of the United States at various points over the lifetime of our potential future patents and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293"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but we do not yet own a U.S. registered trademark for our corporate name, “Tenaya”. Our future trademark applications in the United States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172"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to seeking patent protection to protect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and any of these parties may breach such agreements and disclose our proprietary information, including our trade secrets, and we may not be able to obtain adequate remedies for such breaches.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6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Moreover, third parties may still obtain this information or may come upon this or similar information independently, and we would have no right to prevent them from using that technology or information to compete with us.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 We also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0" w:lineRule="exact"/>
        <w:rPr>
          <w:sz w:val="20"/>
          <w:szCs w:val="20"/>
          <w:color w:val="auto"/>
        </w:rPr>
      </w:pPr>
    </w:p>
    <w:p>
      <w:pPr>
        <w:ind w:left="560" w:right="7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consultants, advisors or contractors have wrongfully used or disclosed alleged confidential information or trade secrets.</w:t>
      </w:r>
    </w:p>
    <w:p>
      <w:pPr>
        <w:spacing w:after="0" w:line="6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84" w:lineRule="exact"/>
        <w:rPr>
          <w:sz w:val="20"/>
          <w:szCs w:val="20"/>
          <w:color w:val="auto"/>
        </w:rPr>
      </w:pPr>
    </w:p>
    <w:p>
      <w:pPr>
        <w:ind w:left="560" w:right="30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we have wrongfully hired an employee from our competitors or that we or our employees have wrongfully used or disclosed alleged confidential information or trade secrets of their former employers.</w:t>
      </w:r>
    </w:p>
    <w:p>
      <w:pPr>
        <w:spacing w:after="0" w:line="3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86" w:lineRule="exact"/>
        <w:rPr>
          <w:sz w:val="20"/>
          <w:szCs w:val="20"/>
          <w:color w:val="auto"/>
        </w:rPr>
      </w:pPr>
    </w:p>
    <w:p>
      <w:pPr>
        <w:ind w:left="560" w:right="62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2" w:lineRule="exact"/>
        <w:rPr>
          <w:sz w:val="20"/>
          <w:szCs w:val="20"/>
          <w:color w:val="auto"/>
        </w:rPr>
      </w:pPr>
    </w:p>
    <w:p>
      <w:pPr>
        <w:ind w:left="120" w:right="360" w:firstLine="440"/>
        <w:spacing w:after="0" w:line="255" w:lineRule="auto"/>
        <w:rPr>
          <w:sz w:val="20"/>
          <w:szCs w:val="20"/>
          <w:color w:val="auto"/>
        </w:rPr>
      </w:pPr>
      <w:r>
        <w:rPr>
          <w:rFonts w:ascii="Arial" w:cs="Arial" w:eastAsia="Arial" w:hAnsi="Arial"/>
          <w:sz w:val="18"/>
          <w:szCs w:val="18"/>
          <w:color w:val="auto"/>
        </w:rPr>
        <w:t>We have entered into a license agreement with UTSW pursuant to which we have acquired the exclusive right to certain patents and patent applications relating to therapeutics overexpressing the peptide named Dwarf Open Reading Frame, and have entered into various other license agreements with other third parties. We may enter into additional license agreements in the future with other third parties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Additionally, our licenses may be subject to certain rights of third parties, and, as a result, our current and future licenses may not provide us with exclusive rights to use the licensed intellectual property and technology.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For example, the intellectual property we license from UTSW is subject to certain non-commercial rights reserved by UTSW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w:t>
      </w:r>
    </w:p>
    <w:p>
      <w:pPr>
        <w:spacing w:after="0" w:line="18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300" w:lineRule="exact"/>
        <w:rPr>
          <w:sz w:val="20"/>
          <w:szCs w:val="20"/>
          <w:color w:val="auto"/>
        </w:rPr>
      </w:pPr>
    </w:p>
    <w:p>
      <w:pPr>
        <w:ind w:left="560" w:right="12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131"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rights without their authorization;</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involvement or lack of involvement in the prosecution, defense, and enforcement of licensed patents and our licensors’ overall patent enforcement strategy;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17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 potential licensors or collaboration partners. If any of our licensor, potential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have in-licensed certain patents and patent applications that were generated through the use of U.S. government funding or grants,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ind w:left="560" w:right="2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76"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utilize and depend upon independent investigators and collaborators, such as medical institutions, CROs and strategic partners to conduct and support our preclinical studies and plan to continue to do so for our future clinical trials. These third parties have had and will continue to have a significant role in the conduct of our preclinical studies and planned clinical trials and the subsequent collection and analysis of data.</w:t>
      </w:r>
    </w:p>
    <w:p>
      <w:pPr>
        <w:spacing w:after="0" w:line="149"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These third parties are not our employees, and except for remedies available to us under our agreements with such third parties, we have limited ability to control the amount or timing of resources that any such third party will devote to our preclinical studies or our planned clinical trials. Furthermore, the competition for third parties has increased as a result of COVID-19. The third parties we rely on for these services may also have relationships with other entities, some of which may be our competitors, for whom they may also be conducting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16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Our heavy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applicable protocol, legal and regulatory requirements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current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9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57" w:lineRule="exact"/>
        <w:rPr>
          <w:sz w:val="20"/>
          <w:szCs w:val="20"/>
          <w:color w:val="auto"/>
        </w:rPr>
      </w:pPr>
    </w:p>
    <w:p>
      <w:pPr>
        <w:ind w:left="560" w:right="80"/>
        <w:spacing w:after="0" w:line="279" w:lineRule="auto"/>
        <w:rPr>
          <w:sz w:val="20"/>
          <w:szCs w:val="20"/>
          <w:color w:val="auto"/>
        </w:rPr>
      </w:pPr>
      <w:r>
        <w:rPr>
          <w:rFonts w:ascii="Arial" w:cs="Arial" w:eastAsia="Arial" w:hAnsi="Arial"/>
          <w:sz w:val="17"/>
          <w:szCs w:val="17"/>
          <w:b w:val="1"/>
          <w:bCs w:val="1"/>
          <w:i w:val="1"/>
          <w:iCs w:val="1"/>
          <w:color w:val="auto"/>
        </w:rPr>
        <w:t>We contract with third parties for the production of our product candidates for preclinical studies and expect to continue to do so for additional preclinical studies, clinical trials and ultimately for commercialization for certain of our product candidates.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6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plan to fully integrate and internalize AAV manufacturing capabilities to support our Gene Therapy and Cellular Regeneration platforms, and have initiated construction of a cGMP manufacturing facility. Until our manufacturing facility is complete and operational, we will continue to rely on third-party manufacturers for our Gene Therapy and Cellular Regeneration platforms. Moreover, to optimize our use of resources and utilize extensive third-party experience in small molecule manufacturing, we intend to continue to rely on third-party manufacturers for our small molecule programs.</w:t>
      </w:r>
    </w:p>
    <w:p>
      <w:pPr>
        <w:spacing w:after="0" w:line="19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Competition for third-party manufacturers and supplies has increased as a result of COVID-19. Changing third-party manufacturers could result in delays in our manufacturing supply chain which could delay or otherwise impact development of our programs and result in increased costs.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w:t>
      </w:r>
    </w:p>
    <w:p>
      <w:pPr>
        <w:spacing w:after="0" w:line="188"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52" w:lineRule="exact"/>
        <w:rPr>
          <w:sz w:val="20"/>
          <w:szCs w:val="20"/>
          <w:color w:val="auto"/>
        </w:rPr>
      </w:pPr>
    </w:p>
    <w:p>
      <w:pPr>
        <w:ind w:left="1080" w:right="140" w:hanging="532"/>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 including cGMPs;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infringement, misappropriation or other violation of our intellectual property or proprietary information, including our trade secrets and know-how.</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generally provide us with necessary quantities of API, drug substance and drug product on a project-by-project basis based on our development needs. As we advance our product candidates through development, we will consider our lack of redundant supply for the API, drug substance and drug product for each of our product candidates to protect against any potential supply disruptions. However, we may be unsuccessful in putting in place such framework agreements or protecting against potential supply disruptions.</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of the United States. If our CDMOs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CDMOs to maintain adequate QC, QA, facilities, equipment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We rely on third-party suppliers for the raw materials required for the production of our product candidates for all of our programs. Our reliance on third-party supplies will continue even after we operationalize our cGMP manufacturing facility to support our Gene Therapy and Cellular Regeneration platforms.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168"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232"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Our reliance on third parties may require us to share our trade secrets, which increases the possibility that our competitors will discover them or that our trade secrets will be misappropriated or disclosed.</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Because we currently rely on third parties in the course of our business, we may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invention assignment or other similar agreements with our collaborators, advisors, employees, consultants and other third parties prior to beginning research or disclosing trade secrets or proprietary information. These agreements typically limit the rights of the third parties to use or disclose our trade secrets and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290"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products, intellectual property rights, technologies or businesses. Any potential acquisition or strategic partnership may entail numerous risks, including:</w:t>
      </w:r>
    </w:p>
    <w:p>
      <w:pPr>
        <w:spacing w:after="0" w:line="1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programs and initiatives in pursuing such a strategic merger or acquisition;</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54"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62"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We strategically evaluate collaborations and partnerships with biopharmaceutical companies that may have more robust and complementary capabilities and resources to accelerate the development and maximize the availability and potential of our product candidates, particularly for more prevalent indications. The relationships may require us to incur non-recurring and other charges, increase our near- and long-term expenditures, issue securities that dilute our existing stockholders, or disrupt our management and business.</w:t>
      </w:r>
    </w:p>
    <w:p>
      <w:pPr>
        <w:spacing w:after="0" w:line="1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6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72"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3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92" w:lineRule="exact"/>
        <w:rPr>
          <w:sz w:val="20"/>
          <w:szCs w:val="20"/>
          <w:color w:val="auto"/>
        </w:rPr>
      </w:pPr>
    </w:p>
    <w:p>
      <w:pPr>
        <w:ind w:left="1080" w:right="40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92" w:lineRule="exact"/>
        <w:rPr>
          <w:rFonts w:ascii="Arial" w:cs="Arial" w:eastAsia="Arial" w:hAnsi="Arial"/>
          <w:sz w:val="18"/>
          <w:szCs w:val="18"/>
          <w:color w:val="auto"/>
        </w:rPr>
      </w:pPr>
    </w:p>
    <w:p>
      <w:pPr>
        <w:ind w:left="1080" w:right="280" w:hanging="532"/>
        <w:spacing w:after="0" w:line="308"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right="280" w:hanging="532"/>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grant exclusive rights to our collaborators that would prevent us from collaborating with others;</w:t>
      </w:r>
    </w:p>
    <w:p>
      <w:pPr>
        <w:spacing w:after="0" w:line="130"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92" w:lineRule="exact"/>
        <w:rPr>
          <w:rFonts w:ascii="Arial" w:cs="Arial" w:eastAsia="Arial" w:hAnsi="Arial"/>
          <w:sz w:val="18"/>
          <w:szCs w:val="18"/>
          <w:color w:val="auto"/>
        </w:rPr>
      </w:pPr>
    </w:p>
    <w:p>
      <w:pPr>
        <w:ind w:left="1080" w:right="720" w:hanging="532"/>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9"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53" w:lineRule="exact"/>
        <w:rPr>
          <w:rFonts w:ascii="Arial" w:cs="Arial" w:eastAsia="Arial" w:hAnsi="Arial"/>
          <w:sz w:val="16"/>
          <w:szCs w:val="16"/>
          <w:color w:val="auto"/>
        </w:rPr>
      </w:pPr>
    </w:p>
    <w:p>
      <w:pPr>
        <w:ind w:left="1080" w:right="640" w:hanging="532"/>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89"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289" w:lineRule="exact"/>
        <w:rPr>
          <w:sz w:val="20"/>
          <w:szCs w:val="20"/>
          <w:color w:val="auto"/>
        </w:rPr>
      </w:pPr>
    </w:p>
    <w:p>
      <w:pPr>
        <w:ind w:left="560" w:right="100"/>
        <w:spacing w:after="0" w:line="375" w:lineRule="auto"/>
        <w:rPr>
          <w:sz w:val="20"/>
          <w:szCs w:val="20"/>
          <w:color w:val="auto"/>
        </w:rPr>
      </w:pPr>
      <w:r>
        <w:rPr>
          <w:rFonts w:ascii="Arial" w:cs="Arial" w:eastAsia="Arial" w:hAnsi="Arial"/>
          <w:sz w:val="15"/>
          <w:szCs w:val="15"/>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product candidates if and when they are approved.</w:t>
      </w:r>
    </w:p>
    <w:p>
      <w:pPr>
        <w:spacing w:after="0" w:line="15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31" w:lineRule="exact"/>
        <w:rPr>
          <w:sz w:val="20"/>
          <w:szCs w:val="20"/>
          <w:color w:val="auto"/>
        </w:rPr>
      </w:pPr>
    </w:p>
    <w:p>
      <w:pPr>
        <w:ind w:left="1080" w:right="1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compliance, customer service, medical affairs and other support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recruit and build a commercial infrastructure due to the impacts of COVID-19;</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approved products;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6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2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left="560" w:right="520"/>
        <w:spacing w:after="0" w:line="308"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38"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Prior to this offering, no market for shares of our common stock existed and an active trading market for our shares may never develop or be sustained following this offering. We determined the initial public offering price for our common stock through negotiations with the representatives of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trading price of our common stock following this offering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4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prospectus, these factors include:</w:t>
      </w:r>
    </w:p>
    <w:p>
      <w:pPr>
        <w:spacing w:after="0" w:line="76" w:lineRule="exact"/>
        <w:rPr>
          <w:sz w:val="20"/>
          <w:szCs w:val="20"/>
          <w:color w:val="auto"/>
        </w:rPr>
      </w:pPr>
    </w:p>
    <w:p>
      <w:pPr>
        <w:ind w:left="1080" w:right="30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product candidates, those conducted by third parties or those of our competitors;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availability of fiscal and monetary stimulus measures to counteract the impact of natural disasters or public health emergencies, such as the COVID-19 pandemic;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78"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76" w:lineRule="exact"/>
        <w:rPr>
          <w:sz w:val="20"/>
          <w:szCs w:val="20"/>
          <w:color w:val="auto"/>
        </w:rPr>
      </w:pPr>
    </w:p>
    <w:p>
      <w:pPr>
        <w:ind w:left="108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programs, product candidates and any future programs and product candidates, which will change from time to time;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establishing and operating a manufacturing facility and manufacturing our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and outcomes of clinical trials for our product candidates, or competing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our programs and product candidates, and changes in the competitive landscape of our industry, including consolidation among our competitors or partners;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level of demand for our product candidates, if approved, which may fluctuate significantly and be difficult to predict;</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any of our product candidates;</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commercialize any of our product candidates, if approved, inside and outside of the United States, either independently or working with third parties;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 and</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increased impact from COVID-19 on the costs and timing associated with the conduct of our clinical trial and other related business activities.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of June 30, 2021, our executive officers, directors, holders of 5% or more of our capital stock and their respective affiliates beneficially owned approximately 66.3% of our common stock and, upon the closing of this offering, that same group will beneficially own approximately 46.5% of our outstanding common stock (based on the number of shares of common stock outstanding as of June 30, 2021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immediately prior to the closing of this offering. These stockholders, acting together, may be able to control matters requiring stockholder approval. For example, they may be able to control elections of directors, amendments of our 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Participation in this offering by our existing stockholders and/or their affiliated entities may reduce the public float for our common stock.</w:t>
      </w:r>
    </w:p>
    <w:p>
      <w:pPr>
        <w:spacing w:after="0" w:line="14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To the extent certain of our existing stockholders who are our affiliates or their affiliated entities participate in this offering, such purchases would reduce the non-affiliate public float of our common stock after this offering, which is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You will incur immediate and substantial dilution as a result of this offering.</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you purchase common stock in this offering, you will incur immediate and substantial dilution of approximately $7.10 per share, representing the difference between the initial public offering price of $15.00 per share, after deducting the underwriting discounts and commissions and estimated offering expenses payable by us, and our pro forma net tangible book value per share as of March 31, 2021 after giving effect to this offering and the automatic conversion of all outstanding shares of our convertible preferred stock immediately prior to the closing of this offering. As of March 31, 2021, there were 1,727,968 shares subject to outstanding options with a weighted-average exercise price of $3.06 per share. To the extent that these outstanding options or other options that we have issued or may issue in the future are ultimately exercised or the underwriters exercise their option to purchase additional shares, you will incur further dilution. See the section of this prospectus titled “Dilution” for a further description of the dilution you will experience immediately after this offering.</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39,324,727 outstanding shares of common stock, based on the number of shares outstanding as of March 31, 2021, assuming: (1) no exercise of the underwriters’ option to purchase additional shares and (2) the conversion of all outstanding shares of our convertible preferred stock into shares of common stock immediately prior to the closing of this offering. This includes the shares that we sell in this offering, which may be resold in the public market immediately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without restriction, unless purchased by our affiliates. Of the remaining shares, 27,324,727 shares of our common stock are currently restricted as a result of securities laws or market stand-off or lock-up agreements but will be able to be sold after this offering as described in the “Shares Eligible for Future Sale” section of this prospectus. Moreover, after this offering, holders of an aggregate of 26,102,278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“Underwriters” section of this prospectus.</w:t>
      </w:r>
    </w:p>
    <w:p>
      <w:pPr>
        <w:spacing w:after="0" w:line="1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executive officers, directors and the holders of substantially all of our capital stock and securities convertible into or exchangeable for our capital stock have entered into market stand-off agreements with us and lock-up agreements with the underwriters under which they have agreed, subject to specific exceptions described in the section titled “Underwriters,” not to sell, directly or indirectly, any shares of common stock without the permission of the underwriters for a period of 180 days following the date of this prospectus. We refer to such period as the lock-up period or restricted period. When the lock-up period expires, we and our securityholders subject to a lock-up agreement or market stand-off agreement will be able to sell our shares in the public market. In addition, the underwriters may, in their sole discretion, release all or some portion of the shares subject to lock-up agreements at any time and for any reason. See the description of the market stand-off agreement with us and the lock-up agreement with the underwriters in the section of this prospectus titled “Shares Eligible for Future Sale” for more information.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276" w:lineRule="exact"/>
        <w:rPr>
          <w:sz w:val="20"/>
          <w:szCs w:val="20"/>
          <w:color w:val="auto"/>
        </w:rPr>
      </w:pPr>
    </w:p>
    <w:p>
      <w:pPr>
        <w:ind w:left="560" w:right="20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89" w:lineRule="exact"/>
        <w:rPr>
          <w:sz w:val="20"/>
          <w:szCs w:val="20"/>
          <w:color w:val="auto"/>
        </w:rPr>
      </w:pPr>
    </w:p>
    <w:p>
      <w:pPr>
        <w:ind w:left="1080" w:right="380" w:hanging="532"/>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(Sarbanes-Oxley Act);</w:t>
      </w:r>
    </w:p>
    <w:p>
      <w:pPr>
        <w:spacing w:after="0" w:line="75" w:lineRule="exact"/>
        <w:rPr>
          <w:rFonts w:ascii="Arial" w:cs="Arial" w:eastAsia="Arial" w:hAnsi="Arial"/>
          <w:sz w:val="18"/>
          <w:szCs w:val="18"/>
          <w:color w:val="auto"/>
        </w:rPr>
      </w:pPr>
    </w:p>
    <w:p>
      <w:pPr>
        <w:ind w:left="1080" w:right="260" w:hanging="532"/>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this prospectus and our periodic reports and proxy statements; and</w:t>
      </w:r>
    </w:p>
    <w:p>
      <w:pPr>
        <w:spacing w:after="0" w:line="153"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70"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financial statements may not be comparable to companies that comply with the new or revised accounting pronouncements as of public company effective dates.</w:t>
      </w:r>
    </w:p>
    <w:p>
      <w:pPr>
        <w:spacing w:after="0" w:line="170"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8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as defined in the Securities Exchange Act of 1934, as amended (Exchange Act),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p>
    <w:p>
      <w:pPr>
        <w:spacing w:after="0" w:line="15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32"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5" w:lineRule="exact"/>
        <w:rPr>
          <w:sz w:val="20"/>
          <w:szCs w:val="20"/>
          <w:color w:val="auto"/>
        </w:rPr>
      </w:pPr>
    </w:p>
    <w:p>
      <w:pPr>
        <w:ind w:left="560" w:right="420"/>
        <w:spacing w:after="0" w:line="263"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Stock Market LLC (Nasdaq). Our management and other personnel will need to devote a substantial amount of time to these compliance initiatives. Moreover, we expect these rules, regulations and standards to substantially increase our legal and financial compliance costs and to make some activities more time-consuming and costly, which will increase our operating expenses. For example, we expect these rules, regulations and standards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6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“Use of Proceeds,” and you will be relying on the judgment of our management regarding the application of these proceeds, who could spend the proceeds in ways that do not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improve our results of operations or enhance the value of our common stock. You will not have the opportunity, as part of your investment decision, to assess whether we are using the proceeds appropriately. Our management might not apply the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265"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in the foreseeable future, so any returns will be limited to the value of our common stock.</w:t>
      </w:r>
    </w:p>
    <w:p>
      <w:pPr>
        <w:spacing w:after="0" w:line="62"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292"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as they will be in effect upon closing of this offering, and Delaware law might discourage, delay or prevent a change in control of our company or changes in our management and, therefore, depress the market price of our common stock.</w:t>
      </w:r>
    </w:p>
    <w:p>
      <w:pPr>
        <w:spacing w:after="0" w:line="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upon closing of this offering, will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98"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or repeal specified provisions of our amended and restated certificate of incorporation and amended and restated bylaws, as they will be in effect upon closing of this offering.</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92"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amended and restated bylaws that will become effective upon the closing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98"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provision would not apply to suits brought to enforce a duty or liability created by the Exchange Act or any other claim for which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courts have exclusive jurisdiction.</w:t>
      </w:r>
    </w:p>
    <w:p>
      <w:pPr>
        <w:spacing w:after="0" w:line="21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170"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14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83" w:lineRule="exact"/>
        <w:rPr>
          <w:sz w:val="20"/>
          <w:szCs w:val="20"/>
          <w:color w:val="auto"/>
        </w:rPr>
      </w:pPr>
    </w:p>
    <w:p>
      <w:pPr>
        <w:ind w:left="1080" w:right="42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ability of our preclinical studies and planned clinical trials to demonstrate safety and efficacy of our product candidates, and other positive results;</w:t>
      </w:r>
    </w:p>
    <w:p>
      <w:pPr>
        <w:spacing w:after="0" w:line="75" w:lineRule="exact"/>
        <w:rPr>
          <w:rFonts w:ascii="Arial" w:cs="Arial" w:eastAsia="Arial" w:hAnsi="Arial"/>
          <w:sz w:val="18"/>
          <w:szCs w:val="18"/>
          <w:color w:val="auto"/>
        </w:rPr>
      </w:pPr>
    </w:p>
    <w:p>
      <w:pPr>
        <w:ind w:left="1080" w:right="520" w:hanging="532"/>
        <w:spacing w:after="0" w:line="286"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timing, progress and results of preclinical studies and planned clinical trials for our current product candidates and other product candidates we may develop, including statements regarding the timing of initiation and completion of studies or trials and related preparatory work, and the period during which the results of the studies or trials will become available;</w:t>
      </w:r>
    </w:p>
    <w:p>
      <w:pPr>
        <w:spacing w:after="0" w:line="70" w:lineRule="exact"/>
        <w:rPr>
          <w:rFonts w:ascii="Arial" w:cs="Arial" w:eastAsia="Arial" w:hAnsi="Arial"/>
          <w:sz w:val="17"/>
          <w:szCs w:val="17"/>
          <w:color w:val="auto"/>
        </w:rPr>
      </w:pPr>
    </w:p>
    <w:p>
      <w:pPr>
        <w:ind w:left="1080" w:right="8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INDs, CTAs, FDA approvals, and final regulatory approval of our current product candidates and any other future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manufacturing, commercialization, and marketing capabilities and strategy and the timing of our facilities becoming operational;</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beneficial characteristics, and the potential safety, efficacy and therapeutic effects of our product candidates and our approach;</w:t>
      </w:r>
    </w:p>
    <w:p>
      <w:pPr>
        <w:spacing w:after="0" w:line="142" w:lineRule="exact"/>
        <w:rPr>
          <w:rFonts w:ascii="Arial" w:cs="Arial" w:eastAsia="Arial" w:hAnsi="Arial"/>
          <w:sz w:val="17"/>
          <w:szCs w:val="17"/>
          <w:color w:val="auto"/>
        </w:rPr>
      </w:pPr>
    </w:p>
    <w:p>
      <w:pPr>
        <w:ind w:left="1080" w:right="12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plans relating to the further development of our product candidates, including the biomarkers and endpoints that we may evaluate and additional indications and targets we may pursue;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impact of existing laws and regulations and regulatory developments in the United States, Europe and other jurisdictions;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on our business, including our preclinical studies and clinical trials;</w:t>
      </w:r>
    </w:p>
    <w:p>
      <w:pPr>
        <w:spacing w:after="0" w:line="142" w:lineRule="exact"/>
        <w:rPr>
          <w:rFonts w:ascii="Arial" w:cs="Arial" w:eastAsia="Arial" w:hAnsi="Arial"/>
          <w:sz w:val="17"/>
          <w:szCs w:val="17"/>
          <w:color w:val="auto"/>
        </w:rPr>
      </w:pPr>
    </w:p>
    <w:p>
      <w:pPr>
        <w:ind w:left="1080" w:right="4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preclinical studies and planned clinical trials of our product candidates, and for the development and manufacture of our product candidates for preclinical studies and clinical trials;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4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partnership, licensing or other arrangements that may be necessary or desirable to develop, manufacture or commercialize our product candidates;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product candidates and other product candidates we may develop;</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remain an emerging growth company under the JOBS 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net proceeds from this offering.</w:t>
      </w:r>
    </w:p>
    <w:p>
      <w:pPr>
        <w:spacing w:after="0" w:line="225" w:lineRule="exact"/>
        <w:rPr>
          <w:sz w:val="20"/>
          <w:szCs w:val="20"/>
          <w:color w:val="auto"/>
        </w:rPr>
      </w:pPr>
    </w:p>
    <w:p>
      <w:pPr>
        <w:jc w:val="both"/>
        <w:ind w:left="120" w:right="40" w:firstLine="440"/>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66"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60"/>
          </w:cols>
          <w:pgMar w:left="320" w:top="459"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Investors are cautioned not to give undue weight to any such information, projections and estimates.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estimate that the net proceeds to us from the sale of the shares of our common stock in this offering will be approximately $163.7 million, or approximately $188.8 million if the underwriters exercise their option to purchase additional shares in full, based upon the initial public offering price of $15.00 per share, and after deducting the underwriting discounts and commissions and estimated offering expenses payable by us.</w:t>
      </w:r>
    </w:p>
    <w:p>
      <w:pPr>
        <w:spacing w:after="0" w:line="14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common stock and facilitate our future access to the public capital markets. We currently intend to use the net proceeds from this offering, together with our existing cash and cash equivalents, as follows:</w:t>
      </w:r>
    </w:p>
    <w:p>
      <w:pPr>
        <w:spacing w:after="0" w:line="89" w:lineRule="exact"/>
        <w:rPr>
          <w:sz w:val="20"/>
          <w:szCs w:val="20"/>
          <w:color w:val="auto"/>
        </w:rPr>
      </w:pPr>
    </w:p>
    <w:p>
      <w:pPr>
        <w:ind w:left="1080" w:right="16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approximately $35 million to $40 million to fund our ongoing and planned preclinical and clinical development of our product candidate TN-201 in our MYBPC3 program, including initiation of the planned Phase 1/2 clinical trial;</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approximately $10 million to $15 million to fund our ongoing and planned preclinical and clinical development of our product candidate TYA-11631 in our HDAC6i program through initiation of the planned Phase 1 clinical trial;</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approximately $25 million to $35 million to fund the continued development of our other programs, including our PKP2, DWORF and Reprogramming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approximately $40 million to $50 million to fund the expansion of our manufacturing capabilities and facilities;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remaining amounts, if any, for working capital and other general corporate purposes.</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Our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and we may require additional funds in order to fully accomplish the specified uses listed above. We believe opportunities may exist from time to time to expand our current business through licenses with or acquisitions of, or investments in, complementary businesses, products, intellectual property or technologies. While we have no current agreements, commitments or understandings for any specific licenses, acquisitions or investments at this time, we may use a portion of the net proceeds for these purposes. As a result, our management will have broad discretion over the use of the net proceeds from this offering.</w:t>
      </w:r>
    </w:p>
    <w:p>
      <w:pPr>
        <w:spacing w:after="0" w:line="17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Based on our current operating plan, we believe that the net proceeds from this offering, together with our existing cash and cash equivalents, will be sufficient to fund our operating expenses and capital expenditures through at least the next 24 months from the date of our unaudited interim condensed financial statements included elsewhere in this prospectus. The net proceeds from this offering, together with our existing cash and cash equivalents, will not be sufficient to fund any of our product candidates through regulatory approval, and we anticipate needing to raise additional capital to complete the development of and commercialize our product candidates. It is difficult to predict the cost and timing required to complete development and obtain regulatory approval of, and commercialize, our product candidates due to, among other factors, our lack of experience as a company with initiating, conducting and completing clinical trials, and uncertainty regarding the scope and design of clinical trials required to obtain regulatory approval for our product candidates, the rate of subject enrollment in our planned clinical trials, filing requirements with various regulatory agencies, clinical trial results, and the actual costs of manufacturing, supplying and commercializing our product candidates. The amounts and timing of our expenditures will depend upon numerous factors including the cost and results of our research and development efforts, the timing, cost and success of preclinical studies and any clinical trials we may commence in the future, the timing of regulatory submissions, our ability to obtain additional financing, the amount of cash obtained through our existing collaborations and future collaborations, if any, and any unforeseen cash needs. We also may elect to raise additional capital opportunistically.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Pending their use, we intend to invest the net proceeds of this offering in short- and intermediate-term interest-bearing obligations, including U.S. government money market funds, U.S. Treasury obligations, U.S. agency and government-sponsored entity obligations, corporate debt obligations, and taxable and tax-exempt municipal obligations.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40"/>
          </w:cols>
          <w:pgMar w:left="320" w:top="459"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2021:</w:t>
      </w:r>
    </w:p>
    <w:p>
      <w:pPr>
        <w:spacing w:after="0" w:line="131"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a pro forma basis to give effect to: (i) the automatic conversion of all outstanding shares of our convertible preferred stock into an aggregate of 26,102,278 shares of our common stock immediately prior to the completion of this offering, as if such conversion had occurred on March 31, 2021; (ii) the related reclassification of our convertible preferred stock aggregate carrying value to permanent equity; and (iii) the filing and effectiveness of our amended and restated certificate of incorporation immediately prior to the closing of this offering; and</w:t>
      </w:r>
    </w:p>
    <w:p>
      <w:pPr>
        <w:spacing w:after="0" w:line="93" w:lineRule="exact"/>
        <w:rPr>
          <w:rFonts w:ascii="Arial" w:cs="Arial" w:eastAsia="Arial" w:hAnsi="Arial"/>
          <w:sz w:val="18"/>
          <w:szCs w:val="18"/>
          <w:color w:val="auto"/>
        </w:rPr>
      </w:pPr>
    </w:p>
    <w:p>
      <w:pPr>
        <w:ind w:left="1080" w:right="300" w:hanging="532"/>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the sale by us of 12,000,000 shares of our common stock in this offering, at the initial public offering price of $15.00 per share, and after deducting underwriting discounts and commissions and estimated offering expenses payable by us.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You should read this information in conjunction with our financial statements and the related notes appearing elsewhere in this prospectus, the section titled “Management’s Discussion and Analysis of Financial Condition and Results of Operations”, and other financial information contained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As of March 31, 2021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share data)</w:t>
            </w:r>
          </w:p>
        </w:tc>
        <w:tc>
          <w:tcPr>
            <w:tcW w:w="20" w:type="dxa"/>
            <w:vAlign w:val="bottom"/>
          </w:tcPr>
          <w:p>
            <w:pPr>
              <w:spacing w:after="0"/>
              <w:rPr>
                <w:sz w:val="16"/>
                <w:szCs w:val="16"/>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11"/>
        </w:trPr>
        <w:tc>
          <w:tcPr>
            <w:tcW w:w="7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388"/>
              <w:spacing w:after="0"/>
              <w:rPr>
                <w:sz w:val="20"/>
                <w:szCs w:val="20"/>
                <w:color w:val="auto"/>
              </w:rPr>
            </w:pPr>
            <w:r>
              <w:rPr>
                <w:rFonts w:ascii="Arial" w:cs="Arial" w:eastAsia="Arial" w:hAnsi="Arial"/>
                <w:sz w:val="14"/>
                <w:szCs w:val="14"/>
                <w:b w:val="1"/>
                <w:bCs w:val="1"/>
                <w:color w:val="auto"/>
              </w:rPr>
              <w:t>Actual</w:t>
            </w: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Pro Forma</w:t>
            </w:r>
          </w:p>
        </w:tc>
        <w:tc>
          <w:tcPr>
            <w:tcW w:w="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Forma as</w:t>
            </w: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209"/>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128,439</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128,439</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292,139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color w:val="auto"/>
                <w:w w:val="97"/>
              </w:rPr>
              <w:t>Convertible preferred stock, par value $0.0001; 26,102,301 shares authorized, 26,102,278 issued and</w:t>
            </w: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w w:val="94"/>
              </w:rPr>
              <w:t>outstanding, actual; no shares authorized, issued and outstanding, pro forma and pro forma as adjusted</w:t>
            </w:r>
          </w:p>
        </w:tc>
        <w:tc>
          <w:tcPr>
            <w:tcW w:w="1240" w:type="dxa"/>
            <w:vAlign w:val="bottom"/>
            <w:gridSpan w:val="3"/>
          </w:tcPr>
          <w:p>
            <w:pPr>
              <w:jc w:val="right"/>
              <w:ind w:right="248"/>
              <w:spacing w:after="0"/>
              <w:rPr>
                <w:sz w:val="20"/>
                <w:szCs w:val="20"/>
                <w:color w:val="auto"/>
              </w:rPr>
            </w:pPr>
            <w:r>
              <w:rPr>
                <w:rFonts w:ascii="Arial" w:cs="Arial" w:eastAsia="Arial" w:hAnsi="Arial"/>
                <w:sz w:val="18"/>
                <w:szCs w:val="18"/>
                <w:color w:val="auto"/>
              </w:rPr>
              <w:t>240,735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60" w:type="dxa"/>
            <w:vAlign w:val="bottom"/>
          </w:tcPr>
          <w:p>
            <w:pPr>
              <w:ind w:left="360"/>
              <w:spacing w:after="0" w:line="201" w:lineRule="exact"/>
              <w:rPr>
                <w:sz w:val="20"/>
                <w:szCs w:val="20"/>
                <w:color w:val="auto"/>
              </w:rPr>
            </w:pPr>
            <w:r>
              <w:rPr>
                <w:rFonts w:ascii="Arial" w:cs="Arial" w:eastAsia="Arial" w:hAnsi="Arial"/>
                <w:sz w:val="18"/>
                <w:szCs w:val="18"/>
                <w:color w:val="auto"/>
                <w:w w:val="92"/>
              </w:rPr>
              <w:t>Preferred stock, par value $0.0001; no shares authorized, issued and outstanding, actual; 200,000,000</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540"/>
              <w:spacing w:after="0"/>
              <w:rPr>
                <w:sz w:val="20"/>
                <w:szCs w:val="20"/>
                <w:color w:val="auto"/>
              </w:rPr>
            </w:pPr>
            <w:r>
              <w:rPr>
                <w:rFonts w:ascii="Arial" w:cs="Arial" w:eastAsia="Arial" w:hAnsi="Arial"/>
                <w:sz w:val="18"/>
                <w:szCs w:val="18"/>
                <w:color w:val="auto"/>
              </w:rPr>
              <w:t>shares authorized, no shares issued and outstanding, pro forma and pro forma as adjusted</w:t>
            </w:r>
          </w:p>
        </w:tc>
        <w:tc>
          <w:tcPr>
            <w:tcW w:w="240" w:type="dxa"/>
            <w:vAlign w:val="bottom"/>
          </w:tcPr>
          <w:p>
            <w:pPr>
              <w:spacing w:after="0"/>
              <w:rPr>
                <w:sz w:val="20"/>
                <w:szCs w:val="20"/>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Common stock, par value $0.0001; 30,330,000 shares authorized, 1,222,449 shares issued and</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outstanding, actual; 1,000,000,000 shares authorized, 27,324,727 shares issued and outstanding, pro</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forma; 1,000,000,000 shares authorized, 39,324,727 shares issued and outstanding, pro forma as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9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240" w:type="dxa"/>
            <w:vAlign w:val="bottom"/>
            <w:gridSpan w:val="3"/>
          </w:tcPr>
          <w:p>
            <w:pPr>
              <w:jc w:val="right"/>
              <w:ind w:right="248"/>
              <w:spacing w:after="0"/>
              <w:rPr>
                <w:sz w:val="20"/>
                <w:szCs w:val="20"/>
                <w:color w:val="auto"/>
              </w:rPr>
            </w:pPr>
            <w:r>
              <w:rPr>
                <w:rFonts w:ascii="Arial" w:cs="Arial" w:eastAsia="Arial" w:hAnsi="Arial"/>
                <w:sz w:val="18"/>
                <w:szCs w:val="18"/>
                <w:color w:val="auto"/>
              </w:rPr>
              <w:t>2,054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242,786</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406,485</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 from stockholders</w:t>
            </w:r>
          </w:p>
        </w:tc>
        <w:tc>
          <w:tcPr>
            <w:tcW w:w="124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(87)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9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000" w:type="dxa"/>
            <w:vAlign w:val="bottom"/>
            <w:gridSpan w:val="2"/>
          </w:tcPr>
          <w:p>
            <w:pPr>
              <w:jc w:val="right"/>
              <w:ind w:right="188"/>
              <w:spacing w:after="0"/>
              <w:rPr>
                <w:sz w:val="20"/>
                <w:szCs w:val="20"/>
                <w:color w:val="auto"/>
              </w:rPr>
            </w:pPr>
            <w:r>
              <w:rPr>
                <w:rFonts w:ascii="Arial" w:cs="Arial" w:eastAsia="Arial" w:hAnsi="Arial"/>
                <w:sz w:val="18"/>
                <w:szCs w:val="18"/>
                <w:color w:val="auto"/>
              </w:rPr>
              <w:t>(95,910)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(95,910)</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(95,910)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 equity</w:t>
            </w:r>
          </w:p>
        </w:tc>
        <w:tc>
          <w:tcPr>
            <w:tcW w:w="124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 (93,943)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146,792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310,492</w:t>
            </w:r>
          </w:p>
        </w:tc>
        <w:tc>
          <w:tcPr>
            <w:tcW w:w="0" w:type="dxa"/>
            <w:vAlign w:val="bottom"/>
          </w:tcPr>
          <w:p>
            <w:pPr>
              <w:spacing w:after="0"/>
              <w:rPr>
                <w:sz w:val="1"/>
                <w:szCs w:val="1"/>
                <w:color w:val="auto"/>
              </w:rPr>
            </w:pPr>
          </w:p>
        </w:tc>
      </w:tr>
      <w:tr>
        <w:trPr>
          <w:trHeight w:val="223"/>
        </w:trPr>
        <w:tc>
          <w:tcPr>
            <w:tcW w:w="796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146,792</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146,792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310,492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536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are based on 27,324,727 shares of our common stock outstanding as of March 31, 2021 (including conversion of all of our outstanding shares of convertible preferred stock into 26,102,278 shares of our common stock), and excludes:</w:t>
      </w:r>
    </w:p>
    <w:p>
      <w:pPr>
        <w:spacing w:after="0" w:line="89" w:lineRule="exact"/>
        <w:rPr>
          <w:sz w:val="20"/>
          <w:szCs w:val="20"/>
          <w:color w:val="auto"/>
        </w:rPr>
      </w:pPr>
    </w:p>
    <w:p>
      <w:pPr>
        <w:ind w:left="1080" w:right="22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1,727,968 shares of our common stock issuable upon the exercise of options outstanding as of March 31, 2021, with a weighted-average exercise price of $3.06 per share;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835,473 shares of our common stock issuable upon the exercise of options granted subsequent to March 31, 2021, with a weighted-average exercise price of $10.00 per share;</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379,271 shares of our common stock reserved for future grant or issuance under our Amended and Restated 2016 Equity Incentive Plan as of March 31, 2021;</w:t>
      </w:r>
    </w:p>
    <w:p>
      <w:pPr>
        <w:spacing w:after="0" w:line="75" w:lineRule="exact"/>
        <w:rPr>
          <w:rFonts w:ascii="Arial" w:cs="Arial" w:eastAsia="Arial" w:hAnsi="Arial"/>
          <w:sz w:val="18"/>
          <w:szCs w:val="18"/>
          <w:color w:val="auto"/>
        </w:rPr>
      </w:pPr>
    </w:p>
    <w:p>
      <w:pPr>
        <w:ind w:left="1080" w:right="160" w:hanging="532"/>
        <w:spacing w:after="0" w:line="311"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4,000,000 shares of our common stock reserved for future issuance under our 2021 Equity Incentive Plan, which became effective on the business day immediately prior to the date of effectiveness of the registration statement of which this prospectus forms a part, as well as any automatic increases in the number of shares of our common stock reserved for future issuance pursuant to this plan; and</w:t>
      </w:r>
    </w:p>
    <w:p>
      <w:pPr>
        <w:spacing w:after="0" w:line="54" w:lineRule="exact"/>
        <w:rPr>
          <w:rFonts w:ascii="Arial" w:cs="Arial" w:eastAsia="Arial" w:hAnsi="Arial"/>
          <w:sz w:val="16"/>
          <w:szCs w:val="16"/>
          <w:color w:val="auto"/>
        </w:rPr>
      </w:pPr>
    </w:p>
    <w:p>
      <w:pPr>
        <w:ind w:left="1080" w:right="140" w:hanging="532"/>
        <w:spacing w:after="0" w:line="286"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800,000 shares of common stock reserved for future issuance under our 2021 ESPP, which became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If you invest in our common stock in this offering, your ownership will be immediately diluted to the extent of the difference between the initial public offering price per share and the pro forma as adjusted net tangible book value per share of our common stock after this offering.</w:t>
      </w:r>
    </w:p>
    <w:p>
      <w:pPr>
        <w:spacing w:after="0" w:line="146" w:lineRule="exact"/>
        <w:rPr>
          <w:sz w:val="20"/>
          <w:szCs w:val="20"/>
          <w:color w:val="auto"/>
        </w:rPr>
      </w:pPr>
    </w:p>
    <w:p>
      <w:pPr>
        <w:ind w:left="120" w:right="500" w:firstLine="440"/>
        <w:spacing w:after="0" w:line="311" w:lineRule="auto"/>
        <w:rPr>
          <w:sz w:val="20"/>
          <w:szCs w:val="20"/>
          <w:color w:val="auto"/>
        </w:rPr>
      </w:pPr>
      <w:r>
        <w:rPr>
          <w:rFonts w:ascii="Arial" w:cs="Arial" w:eastAsia="Arial" w:hAnsi="Arial"/>
          <w:sz w:val="16"/>
          <w:szCs w:val="16"/>
          <w:color w:val="auto"/>
        </w:rPr>
        <w:t>As of March 31, 2021, we had a historical net tangible book value (deficit) of $(94.0) million, or $(76.91) per share of common stock. Our historical net tangible book value (deficit) represents our total tangible assets, less our total liabilities and convertible preferred stock, which is not included within stockholders’ equity (deficit), divided by the total number of shares of our common stock outstanding as of March 31, 2021.</w:t>
      </w:r>
    </w:p>
    <w:p>
      <w:pPr>
        <w:spacing w:after="0" w:line="14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Our pro forma net tangible book value as of March 31, 2021, was $146.7 million, or $5.37 per share. Pro forma net tangible book value per share represents our total tangible assets, less our total liabilities, divided by the total number of shares of common stock outstanding as of March 31, 2021, after giving effect to the conversion of our convertible preferred stock into an aggregate of 26,102,278 shares of our common stock.</w:t>
      </w:r>
    </w:p>
    <w:p>
      <w:pPr>
        <w:spacing w:after="0" w:line="14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After giving further effect to the sale and issuance by us of the 12,000,000 shares of our common stock in this offering, at the initial public offering price of $15.00 per share, and after deducting underwriting discounts and commissions and estimated offering expenses payable by us, our pro forma as adjusted net tangible book value as of March 31, 2021 would be $310.5 million, or $7.90 per share. This represents an immediate increase in pro forma net tangible book value to our existing stockholders of $2.53 per share and an immediate dilution to new investors of $7.10 per share. Dilution per share to new investors represents the difference between the price per share to be paid by new investors for the shares of common stock sold in this offering and the pro forma as adjusted net tangible book value per share immediately after this offering. The following table illustrates this per share dilution:</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15.00</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March 31, 2021</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$(76.91)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increase in historical net tangible book value (deficit) per share as of March 31, 2021</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2021</w:t>
            </w:r>
          </w:p>
        </w:tc>
        <w:tc>
          <w:tcPr>
            <w:tcW w:w="5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Increase in pro forma net tangible book value per share attributable to new investors participating in this offering</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5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 participating in this offering</w:t>
            </w:r>
          </w:p>
        </w:tc>
        <w:tc>
          <w:tcPr>
            <w:tcW w:w="1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w:t>
            </w:r>
          </w:p>
        </w:tc>
      </w:tr>
      <w:tr>
        <w:trPr>
          <w:trHeight w:val="20"/>
        </w:trPr>
        <w:tc>
          <w:tcPr>
            <w:tcW w:w="9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If the underwriters’ over-allotment option is exercised in full, the pro forma as adjusted net tangible book value per share of our common stock would be $8.16 per share, and the dilution in pro forma net tangible book value per share to new investors in this offering would be $6.84 per share, in each case at the initial public offering price of $15.00 per share.</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following table summarizes, as of March 31, 2021, on a pro forma as adjusted basis, the number of shares of common stock purchased from us, the total consideration paid, or to be paid, and the average price per share paid, or to be paid, by existing stockholders and by the new investors, at the initial public offering price of $15.00 per share, before deducting underwriting discounts and commissions and estimated offering expenses payable by 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2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2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89"/>
              </w:rPr>
              <w:t>Purchased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Number</w:t>
            </w:r>
          </w:p>
        </w:tc>
        <w:tc>
          <w:tcPr>
            <w:tcW w:w="2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7"/>
              </w:rPr>
              <w:t>Share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27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27,324,727</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$248,159,975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New investors</w:t>
            </w:r>
          </w:p>
        </w:tc>
        <w:tc>
          <w:tcPr>
            <w:tcW w:w="27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12,000,000</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180,000,000</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39,324,727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428,159,975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740" w:type="dxa"/>
            <w:vAlign w:val="bottom"/>
            <w:vMerge w:val="restart"/>
          </w:tcPr>
          <w:p>
            <w:pPr>
              <w:jc w:val="right"/>
              <w:ind w:right="470"/>
              <w:spacing w:after="0"/>
              <w:rPr>
                <w:sz w:val="20"/>
                <w:szCs w:val="20"/>
                <w:color w:val="auto"/>
              </w:rPr>
            </w:pPr>
            <w:r>
              <w:rPr>
                <w:rFonts w:ascii="Arial" w:cs="Arial" w:eastAsia="Arial" w:hAnsi="Arial"/>
                <w:sz w:val="18"/>
                <w:szCs w:val="18"/>
                <w:color w:val="auto"/>
              </w:rPr>
              <w:t>102</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above table assumes no exercise of the underwriters’ over-allotment option. If the underwriters’ over-allotment option were exercised in full, our existing stockholders would own 66.4% and our new investors would own 33.6% of the total number of shares of our common stock outstanding upon completion of this offering.</w:t>
      </w:r>
    </w:p>
    <w:p>
      <w:pPr>
        <w:spacing w:after="0" w:line="184"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number of shares of our common stock issued and outstanding, in the tables above are based on 27,324,727 shares of our common stock outstanding as of March 31, 2021 (including conversion of all of our outstanding shares of convertible preferred stock into 26,102,278 shares of our common stock), and excludes:</w:t>
      </w:r>
    </w:p>
    <w:p>
      <w:pPr>
        <w:spacing w:after="0" w:line="89" w:lineRule="exact"/>
        <w:rPr>
          <w:sz w:val="20"/>
          <w:szCs w:val="20"/>
          <w:color w:val="auto"/>
        </w:rPr>
      </w:pPr>
    </w:p>
    <w:p>
      <w:pPr>
        <w:ind w:left="1080" w:right="20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1,727,968 shares of our common stock issuable upon the exercise of options outstanding as of March 31, 2021, with a weighted-average exercise price of $3.06 per share;</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835,473 shares of our common stock issuable upon the exercise of options granted subsequent to March 31, 2021, with a weighted-average exercise price of $10.00 per share;</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379,271 shares of our common stock reserved for future grant or issuance under our Amended and Restated 2016 Equity Incentive Plan as of March 31, 2021;</w:t>
      </w:r>
    </w:p>
    <w:p>
      <w:pPr>
        <w:spacing w:after="0" w:line="75" w:lineRule="exact"/>
        <w:rPr>
          <w:rFonts w:ascii="Arial" w:cs="Arial" w:eastAsia="Arial" w:hAnsi="Arial"/>
          <w:sz w:val="18"/>
          <w:szCs w:val="18"/>
          <w:color w:val="auto"/>
        </w:rPr>
      </w:pPr>
    </w:p>
    <w:p>
      <w:pPr>
        <w:ind w:left="1080" w:right="140" w:hanging="532"/>
        <w:spacing w:after="0" w:line="311"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4,000,000 shares of our common stock reserved for future issuance under our 2021 Equity Incentive Plan, which became effective on the business day immediately prior to the date of effectiveness of the registration statement of which this prospectus forms a part, as well as any automatic increases in the number of shares of our common stock reserved for future issuance pursuant to this plan; and</w:t>
      </w:r>
    </w:p>
    <w:p>
      <w:pPr>
        <w:spacing w:after="0" w:line="54" w:lineRule="exact"/>
        <w:rPr>
          <w:rFonts w:ascii="Arial" w:cs="Arial" w:eastAsia="Arial" w:hAnsi="Arial"/>
          <w:sz w:val="16"/>
          <w:szCs w:val="16"/>
          <w:color w:val="auto"/>
        </w:rPr>
      </w:pPr>
    </w:p>
    <w:p>
      <w:pPr>
        <w:ind w:left="1080" w:right="120" w:hanging="532"/>
        <w:spacing w:after="0" w:line="286"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800,000 shares of common stock reserved for future issuance under our 2021 ESPP, which became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following tables set forth our selected financial data for the periods and as of the dates indicated. We have derived the selected statements of operations data for the years ended December 31, 2019 and 2020, and the selected balance sheet data as of December 31, 2019 and 2020, from our audited financial statements appearing elsewhere in this prospectus. The selected statements of operations data for the three months ended March 31, 2020 and 2021 and the selected balance sheet data as of March 31, 2021 are derived from our unaudited interim condensed financial statements included elsewhere in this prospectus. We have prepared the unaudited interim condensed financial statements on the same basis as the audited financial statements. We have included, in our opinion, all adjustments, consisting only of normal recurring adjustments that we consider necessary for a fair presentation of the financial information set forth in those unaudited interim condensed financial statements.</w:t>
      </w:r>
    </w:p>
    <w:p>
      <w:pPr>
        <w:spacing w:after="0" w:line="166"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You should read the following selected financial data together with the section titled “Management’s Discussion and Analysis of Financial Condition and Results of Operations” and our financial statements and the related notes appearing elsewhere in this prospectus. The selected financial data in this section are not intended to replace our financial statements and are qualified in their entirety by our financial statements and related notes appearing elsewhere in this prospectus. Our historical results are not necessarily indicative of our future results, and our results for the three months ended March 31, 2021 are not necessarily indicative of results to be expected for the full year.</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Year Ended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share 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23,148</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7,297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18"/>
                <w:szCs w:val="18"/>
                <w:color w:val="auto"/>
              </w:rPr>
              <w:t>4,564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7,813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5"/>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27,712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9,266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13,105</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(27,712)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(38,912)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(9,266)</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18"/>
                <w:szCs w:val="18"/>
                <w:color w:val="auto"/>
              </w:rPr>
              <w:t>453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5"/>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1,481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loss before income tax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(26,231)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(38,395)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(9,051)</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(26,231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(38,395</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520" w:type="dxa"/>
            <w:vAlign w:val="bottom"/>
          </w:tcPr>
          <w:p>
            <w:pPr>
              <w:jc w:val="right"/>
              <w:ind w:right="385"/>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(34.71)</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Weighted-average shares used in computing 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755,779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972,091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891,990</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1,097,805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Weighted-average shares used in computing pro forma net loss per share, basic</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27,074,369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27,200,083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300" w:hanging="424"/>
        <w:spacing w:after="0" w:line="259"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unaudited pro forma net loss per share for the year ended December 31, 2020 and the three months ended March 31, 2021 was computed using the weighted-average number of shares of common stock outstanding, including the pro forma effect of the conversion of all outstanding shares of our convertible preferred stock into shares of common stock, as if such conversion had occurred at the beginning of the most recently completed fiscal year.</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3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3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40" w:type="dxa"/>
            <w:vAlign w:val="bottom"/>
            <w:gridSpan w:val="2"/>
          </w:tcPr>
          <w:p>
            <w:pPr>
              <w:jc w:val="right"/>
              <w:ind w:right="228"/>
              <w:spacing w:after="0"/>
              <w:rPr>
                <w:sz w:val="20"/>
                <w:szCs w:val="20"/>
                <w:color w:val="auto"/>
              </w:rPr>
            </w:pPr>
            <w:r>
              <w:rPr>
                <w:rFonts w:ascii="Arial" w:cs="Arial" w:eastAsia="Arial" w:hAnsi="Arial"/>
                <w:sz w:val="18"/>
                <w:szCs w:val="18"/>
                <w:color w:val="auto"/>
              </w:rPr>
              <w:t>$ 23,872</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$128,535</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128,439</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3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23,622</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124,923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123,840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Total assets</w:t>
            </w:r>
          </w:p>
        </w:tc>
        <w:tc>
          <w:tcPr>
            <w:tcW w:w="2340" w:type="dxa"/>
            <w:vAlign w:val="bottom"/>
            <w:gridSpan w:val="2"/>
          </w:tcPr>
          <w:p>
            <w:pPr>
              <w:jc w:val="right"/>
              <w:ind w:right="228"/>
              <w:spacing w:after="0"/>
              <w:rPr>
                <w:sz w:val="20"/>
                <w:szCs w:val="20"/>
                <w:color w:val="auto"/>
              </w:rPr>
            </w:pPr>
            <w:r>
              <w:rPr>
                <w:rFonts w:ascii="Arial" w:cs="Arial" w:eastAsia="Arial" w:hAnsi="Arial"/>
                <w:sz w:val="18"/>
                <w:szCs w:val="18"/>
                <w:color w:val="auto"/>
              </w:rPr>
              <w:t>38,001</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148,161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159,757</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3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73,042</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240,735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340" w:type="dxa"/>
            <w:vAlign w:val="bottom"/>
            <w:gridSpan w:val="2"/>
          </w:tcPr>
          <w:p>
            <w:pPr>
              <w:jc w:val="right"/>
              <w:ind w:right="228"/>
              <w:spacing w:after="0"/>
              <w:rPr>
                <w:sz w:val="20"/>
                <w:szCs w:val="20"/>
                <w:color w:val="auto"/>
              </w:rPr>
            </w:pPr>
            <w:r>
              <w:rPr>
                <w:rFonts w:ascii="Arial" w:cs="Arial" w:eastAsia="Arial" w:hAnsi="Arial"/>
                <w:sz w:val="18"/>
                <w:szCs w:val="18"/>
                <w:color w:val="auto"/>
              </w:rPr>
              <w:t>764</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1,584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2,054</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(44,417)</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(82,812)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(95,910)</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340" w:type="dxa"/>
            <w:vAlign w:val="bottom"/>
            <w:gridSpan w:val="2"/>
          </w:tcPr>
          <w:p>
            <w:pPr>
              <w:jc w:val="right"/>
              <w:ind w:right="168"/>
              <w:spacing w:after="0"/>
              <w:rPr>
                <w:sz w:val="20"/>
                <w:szCs w:val="20"/>
                <w:color w:val="auto"/>
              </w:rPr>
            </w:pPr>
            <w:r>
              <w:rPr>
                <w:rFonts w:ascii="Arial" w:cs="Arial" w:eastAsia="Arial" w:hAnsi="Arial"/>
                <w:sz w:val="18"/>
                <w:szCs w:val="18"/>
                <w:color w:val="auto"/>
              </w:rPr>
              <w:t>(43,739)</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(81,315)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(93,943)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line="277"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financial statements included elsewhere in this prospectus for further details regarding our current assets and current liabilities.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880"/>
          </w:cols>
          <w:pgMar w:left="320" w:top="459" w:right="6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together with the section titled “Selected Financial Data,” and our financial statements and related notes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 titled “Risk Factors.” Our historical results are not necessarily indicative of the results that may be expected for any period in the future. See also the section of this prospectus titled “Special Note Regarding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We are a biotechnology company headquartered in South San Francisco, California focused on discovering, developing and delivering curative therapies that address the underlying drivers of heart disease. We are advancing a pipeline of disease-modifying therapies developed using our product platforms and core internal capabilities to target defined sub-populations of patients with both rare and highly prevalent forms of heart disease.</w:t>
      </w:r>
    </w:p>
    <w:p>
      <w:pPr>
        <w:spacing w:after="0" w:line="14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were incorporated in August 2016 and commenced operations thereafter. Our operations to date have included developing our Gene Therapy, Cellular Regeneration and Precision Medicine platforms, identifying and developing product candidates, conducting preclinical studies, acquiring technology, organizing and recruiting management and technical staff, conducting business planning, establishing our intellectual property portfolio, raising capital, and providing general and administrative support for these operations. All of our programs are currently in the preclinical stage and we do not have any products approved for sale. We have not generated any revenue.</w:t>
      </w:r>
    </w:p>
    <w:p>
      <w:pPr>
        <w:spacing w:after="0" w:line="176"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Since our inception, we have incurred net losses each year and we expect to continue to incur significant and increasing losses for the foreseeable future as we continue to advance our platforms, programs and product candidates, and as we transition to operating as a public company. Our net losses may fluctuate significantly from period to period, depending on the timing of expenditures on our research and development activities. Our net losses were $26.2 million and $38.4 million for the years ended December 31, 2019 and 2020, respectively, and $9.1 million and $13.1 million for the three months ended March 31, 2020 and 2021, respectively. As of March 31, 2021, we had an accumulated deficit of $95.9 million. Our net losses resulted primarily from our research and development programs and, to a lesser extent, general and administrative costs associated with our operations.</w:t>
      </w:r>
    </w:p>
    <w:p>
      <w:pPr>
        <w:spacing w:after="0" w:line="164" w:lineRule="exact"/>
        <w:rPr>
          <w:sz w:val="20"/>
          <w:szCs w:val="20"/>
          <w:color w:val="auto"/>
        </w:rPr>
      </w:pPr>
    </w:p>
    <w:p>
      <w:pPr>
        <w:jc w:val="both"/>
        <w:ind w:left="120" w:right="380" w:firstLine="440"/>
        <w:spacing w:after="0" w:line="259" w:lineRule="auto"/>
        <w:rPr>
          <w:sz w:val="20"/>
          <w:szCs w:val="20"/>
          <w:color w:val="auto"/>
        </w:rPr>
      </w:pPr>
      <w:r>
        <w:rPr>
          <w:rFonts w:ascii="Arial" w:cs="Arial" w:eastAsia="Arial" w:hAnsi="Arial"/>
          <w:sz w:val="18"/>
          <w:szCs w:val="18"/>
          <w:color w:val="auto"/>
        </w:rPr>
        <w:t>We have not generated any revenue from product sales or other sources since inception. Our ability to generate product revenue sufficient to achieve profitability, if ever, will depend heavily on the successful completion and eventual commercialization of our product candidates which we expect, if it ever occurs, will take a number of years. In addition, we have leased additional space in the San Francisco Bay Area intended for future manufacturing and office space as we invest in our manufacturing capabilities.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To date, we have funded our operations primarily from the sale and issuance of our convertible preferred stock. From our inception through March 31, 2021, we raised an aggregate of $247.9 million in gross proceeds from sales of our convertible preferred stock. As of March 31, 2021, we had cash and cash equivalents of $128.4 million.</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will need substantial additional funding in the future to finance our operations, including the commercialization of any product candidates that may be approved by the FDA or comparable foreign regulatory authorities. Until such time, if ever, as we can generate significant product revenue, we expect to finance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operations with our existing cash and cash equivalents, the net proceeds from this offering, any future equity or debt financings, and upfront and milestone and royalty payments, if any, received under future licenses or collaborations or other arrangements with other companies, or other sources of financing. We may not be able to raise additional capital on terms acceptable to us or at all. If we are unable to raise additional capital on acceptable terms when needed, our business, results of operations, and financial condition would be adversely affected, and we may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University of Texas Southwestern Medical Center (UTSW) License Agreement</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January 2020, we entered into a license agreement with UTSW (UTSW License), pursuant to which UTSW granted us an exclusive, royalty-bearing, sublicensable patent license and a non-exclusive, non-sublicensable license for mutually agreed upon development activities. Under the UTSW License, we are obligated to pay UTSW (i) a non-refundable upfront license fee of $0.1 million, (ii) milestone payments up to a total of $14.8 million in aggregate, which are contingent upon achieving specific development and commercialization milestone events, and (iii) low-single digits royalties on future net sales of each royalty-bearing product.</w:t>
      </w:r>
    </w:p>
    <w:p>
      <w:pPr>
        <w:spacing w:after="0" w:line="188"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During the year ended December 31, 2020, we recorded research and development expenses of $0.1 million related to the upfront license fee payable pursuant to the UTSW License. As of March 31, 2021, we have not recognized any milestone or royalty payments under the UTSW License.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a result of the COVID-19 pandemic, we could experience disruptions that could severely impact our business. Potential impacts to our business include disruptions or restrictions on our employees’ ability to effectively conduct their work. In addition, some of our suppliers of certain lab materials, or service providers used in the performance of our research activities, are located in areas impacted by COVID-19, which could limit our ability to achieve planned progress. COVID-19 could adversely affect the economy and financial markets, resulting in an economic downturn that could affect our financing prospects. Any of the foregoing could harm our business and we cannot anticipate all of the ways in which health epidemics such as COVID-19 could adversely impact our business. To date, we have experienced modest delays in the progress of our research and development activities, primarily due to extended lead times at certain suppliers and temporary and partial shutdowns at certain academic institutions as a result of statewide stay-at-home orders. However, these stay-at-home orders have largely terminated and operations have since resumed. We continue to monitor and assess the effects of the COVID-19 pandemic on our business, but the ultimate impact of the COVID-19 outbreak or a similar health epidemic is highly uncertain and subject to change. For additional details, see the section titled “Risk Factors.”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Research and development activities account for a significant portion of our operating expenses. Research and development expenses relate primarily to discovery and development of our platforms, programs and product candidates, and are recognized as incurred. Internal research and development costs include, among others, personnel-related costs (including salaries, benefits, travel and stock-based compensation for employees engaged in research and development functions), laboratory supplies and other non-capital equipment utilized for in-house research, allocated facilities and overhead costs. External research and development expenses include, among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others, amounts incurred to contract research organizations (CROs) that conduct research and development activities on our behalf, consulting fees and amounts owed under licensing agreements. We do not allocate our costs by platform, program or product candidate, as a significant amount of research and development expenses include internal costs, which are deployed across multiple platforms, programs, product candidates and activities.</w:t>
      </w:r>
    </w:p>
    <w:p>
      <w:pPr>
        <w:spacing w:after="0" w:line="14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Amounts recorded for external goods or services incurred for research and development activities that have not yet been invoiced often represent estimates. We do not currently have projects that require estimates for percentage of completion and we record estimates for amounts due but not yet invoiced based on input from external service providers.</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expect our research and development expenses to increase for the foreseeable future as we continue to invest in research and development activities related to developing our platforms, programs and product candidates and progressing through preclinical and clinical product development stages. The process of conducting the necessary research to advance to the clinical stage and ultimately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travel and stock-based compensation for our employees in executive, finance and other administrative functions), legal fees, professional fees incurred for accounting, audit, and tax services, recruiting costs, and facility costs not otherwise included in research and development expenses. Legal fees include those related to corporate and intellectual property related matters.</w:t>
      </w:r>
    </w:p>
    <w:p>
      <w:pPr>
        <w:spacing w:after="0" w:line="18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expect that our general and administrative expenses will increase for the foreseeable future to support our continued research and development activities, general operations, future business development opportunities and professional fees. In addition, we expect to incur additional expenses associated with operating as a public company, including legal, accounting, insurance, exchange listing, SEC compliance, and investor relations costs.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primarily consists of interest earned on our cash, cash equivalents and investment balances.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The change in fair value of our convertible preferred stock tranche liability fluctuates based on remeasurements at each reporting period. Our convertible preferred stock tranche liability stems from our obligation to issue additional shares to investors upon the second and third closings of our Series B convertible preferred stock. Until settlement, fluctuations in the fair value of a convertible preferred stock tranche liability are based on the remeasurement at each reporting period. Our convertible preferred stock tranche liability was settled on the second and third closings of our Series B convertible preferred stock financing in March and August 2020, respectively.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Other income primarily consists of sublease income for a portion of our facilities in South San Francisco during 2019 and 2020 and interest earned on cash balances.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74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7"/>
              </w:rPr>
              <w:t>Change</w:t>
            </w:r>
          </w:p>
        </w:tc>
        <w:tc>
          <w:tcPr>
            <w:tcW w:w="7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7,297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9,590</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$ 2,293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9,266</w:t>
            </w:r>
          </w:p>
        </w:tc>
        <w:tc>
          <w:tcPr>
            <w:tcW w:w="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13,105</w:t>
            </w:r>
          </w:p>
        </w:tc>
        <w:tc>
          <w:tcPr>
            <w:tcW w:w="2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3,839</w:t>
            </w:r>
          </w:p>
        </w:tc>
        <w:tc>
          <w:tcPr>
            <w:tcW w:w="42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(9,266)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(13,105)</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(3,839)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720"/>
              <w:spacing w:after="0"/>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w:t>
            </w:r>
          </w:p>
        </w:tc>
        <w:tc>
          <w:tcPr>
            <w:tcW w:w="420" w:type="dxa"/>
            <w:vAlign w:val="bottom"/>
            <w:vMerge w:val="continue"/>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(9,051)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(13,098)</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(4,047)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7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100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9"/>
              </w:rPr>
              <w:t>Change</w:t>
            </w:r>
          </w:p>
        </w:tc>
        <w:tc>
          <w:tcPr>
            <w:tcW w:w="7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7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Facility and laboratory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4,096</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$1,495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Personnel-related costs</w:t>
            </w: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2,432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3,337</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905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External costs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2,043</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114</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(193)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7"/>
        </w:trPr>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9,590</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r>
      <w:tr>
        <w:trPr>
          <w:trHeight w:val="20"/>
        </w:trPr>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Research and development expenses were $7.3 million and $9.6 million for the three months ended March 31, 2020 and 2021, respectively. The increase of $2.3 million, or 31%, was primarily due to:</w:t>
      </w:r>
    </w:p>
    <w:p>
      <w:pPr>
        <w:spacing w:after="0" w:line="76" w:lineRule="exact"/>
        <w:rPr>
          <w:sz w:val="20"/>
          <w:szCs w:val="20"/>
          <w:color w:val="auto"/>
        </w:rPr>
      </w:pPr>
    </w:p>
    <w:p>
      <w:pPr>
        <w:ind w:left="1080" w:right="38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$1.5 million in facility and laboratory costs, including laboratory supplies and materials and other allocated costs, as we ramped up our research and development operations;</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$0.9 million in personnel-related costs, including stock-based compensation, primarily due to growth in the number of our research and development employees as we expanded our research and development capabilities; and</w:t>
      </w:r>
    </w:p>
    <w:p>
      <w:pPr>
        <w:spacing w:after="0" w:line="75" w:lineRule="exact"/>
        <w:rPr>
          <w:rFonts w:ascii="Arial" w:cs="Arial" w:eastAsia="Arial" w:hAnsi="Arial"/>
          <w:sz w:val="18"/>
          <w:szCs w:val="18"/>
          <w:color w:val="auto"/>
        </w:rPr>
      </w:pPr>
    </w:p>
    <w:p>
      <w:pPr>
        <w:ind w:left="1080" w:right="380" w:hanging="532"/>
        <w:spacing w:after="0" w:line="308"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 increase of $0.1 million in external costs, including amounts paid to CROs for research and development activities, consulting fees, preclinical studies and other external research expenses as we progressed development of our programs.</w:t>
      </w:r>
    </w:p>
    <w:p>
      <w:pPr>
        <w:spacing w:after="0" w:line="146" w:lineRule="exact"/>
        <w:rPr>
          <w:sz w:val="20"/>
          <w:szCs w:val="20"/>
          <w:color w:val="auto"/>
        </w:rPr>
      </w:pPr>
    </w:p>
    <w:p>
      <w:pPr>
        <w:jc w:val="center"/>
        <w:ind w:right="200"/>
        <w:spacing w:after="0" w:line="449" w:lineRule="auto"/>
        <w:rPr>
          <w:sz w:val="20"/>
          <w:szCs w:val="20"/>
          <w:color w:val="auto"/>
        </w:rPr>
      </w:pPr>
      <w:r>
        <w:rPr>
          <w:rFonts w:ascii="Arial" w:cs="Arial" w:eastAsia="Arial" w:hAnsi="Arial"/>
          <w:sz w:val="18"/>
          <w:szCs w:val="18"/>
          <w:color w:val="auto"/>
        </w:rPr>
        <w:t>These increases were partially offset by a decrease of $0.2 million in other research and development expenses, including licensing fees. 109</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General and administrative expenses were $2.0 million and $3.5 million for the three months ended March 31, 2020 and 2021, respectively. The increase of $1.5 million, or 79%, was primarily due to a $0.8 million increase in professional service expenses and a $0.6 million increase in personnel-related expenses, including stock-based compensation, as a result of increased headcount as we grew our operations.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Interest income was $57,000 and $9,000 for the three months ended March 31, 2020 and 2021, respectively. The decrease of $48,000, or 84%, was primarily due to a change in our investment portfolio mix.</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change in fair value of our convertible preferred stock tranche liability for the three months ended March 31, 2020 was attributable to changes in the fair value of the underlying Series B convertible preferred stock. There was no similar expense for the three months ended March 31, 2021 as our convertible preferred stock tranche liability was settled in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Other income (expense), net of $0.2 million for the three months ended March 31, 2020 was primarily due to sublease income. We did not have any sublease agreements in place during the three months ended March 31,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4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10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6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23,148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31,099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  7,951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7,813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3,249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60" w:type="dxa"/>
            <w:vAlign w:val="bottom"/>
            <w:gridSpan w:val="2"/>
            <w:vMerge w:val="restart"/>
          </w:tcPr>
          <w:p>
            <w:pPr>
              <w:ind w:left="500"/>
              <w:spacing w:after="0"/>
              <w:rPr>
                <w:sz w:val="20"/>
                <w:szCs w:val="20"/>
                <w:color w:val="auto"/>
              </w:rPr>
            </w:pPr>
            <w:r>
              <w:rPr>
                <w:rFonts w:ascii="Arial" w:cs="Arial" w:eastAsia="Arial" w:hAnsi="Arial"/>
                <w:sz w:val="18"/>
                <w:szCs w:val="18"/>
                <w:color w:val="auto"/>
              </w:rPr>
              <w:t>Total operating expenses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506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27,712</w:t>
            </w: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38,912</w:t>
            </w:r>
          </w:p>
        </w:tc>
        <w:tc>
          <w:tcPr>
            <w:tcW w:w="4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11,200</w:t>
            </w:r>
          </w:p>
        </w:tc>
        <w:tc>
          <w:tcPr>
            <w:tcW w:w="42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(27,712)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(38,912)</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60" w:type="dxa"/>
            <w:vAlign w:val="bottom"/>
            <w:gridSpan w:val="2"/>
          </w:tcPr>
          <w:p>
            <w:pPr>
              <w:ind w:left="140"/>
              <w:spacing w:after="0"/>
              <w:rPr>
                <w:sz w:val="20"/>
                <w:szCs w:val="20"/>
                <w:color w:val="auto"/>
              </w:rPr>
            </w:pPr>
            <w:r>
              <w:rPr>
                <w:rFonts w:ascii="Arial" w:cs="Arial" w:eastAsia="Arial" w:hAnsi="Arial"/>
                <w:sz w:val="18"/>
                <w:szCs w:val="18"/>
                <w:color w:val="auto"/>
                <w:w w:val="94"/>
              </w:rPr>
              <w:t>Change in fair value of convertible preferred stock tranche liability</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64</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355</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60" w:type="dxa"/>
            <w:vAlign w:val="bottom"/>
            <w:gridSpan w:val="2"/>
            <w:vMerge w:val="restart"/>
          </w:tcPr>
          <w:p>
            <w:pPr>
              <w:ind w:left="500"/>
              <w:spacing w:after="0"/>
              <w:rPr>
                <w:sz w:val="20"/>
                <w:szCs w:val="20"/>
                <w:color w:val="auto"/>
              </w:rPr>
            </w:pPr>
            <w:r>
              <w:rPr>
                <w:rFonts w:ascii="Arial" w:cs="Arial" w:eastAsia="Arial" w:hAnsi="Arial"/>
                <w:sz w:val="18"/>
                <w:szCs w:val="18"/>
                <w:color w:val="auto"/>
              </w:rPr>
              <w:t>Total other income (expense), net</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506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1,481</w:t>
            </w: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517</w:t>
            </w:r>
          </w:p>
        </w:tc>
        <w:tc>
          <w:tcPr>
            <w:tcW w:w="4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(964)</w:t>
            </w:r>
          </w:p>
        </w:tc>
        <w:tc>
          <w:tcPr>
            <w:tcW w:w="420" w:type="dxa"/>
            <w:vAlign w:val="bottom"/>
            <w:vMerge w:val="continue"/>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(26,231)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(38,395)</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(12,164)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nmf—not meaningful</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60" w:type="dxa"/>
            <w:vAlign w:val="bottom"/>
          </w:tcPr>
          <w:p>
            <w:pPr>
              <w:jc w:val="right"/>
              <w:ind w:right="12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6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42"/>
        </w:trPr>
        <w:tc>
          <w:tcPr>
            <w:tcW w:w="7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Personnel-related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10,525</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$3,395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Facility and laboratory costs</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8,786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11,798</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3,012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External costs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8,190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586</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349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r>
      <w:tr>
        <w:trPr>
          <w:trHeight w:val="27"/>
        </w:trPr>
        <w:tc>
          <w:tcPr>
            <w:tcW w:w="7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31,099</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Research and development expenses were $23.1 million and $31.1 million for the years ended December 31, 2019 and 2020, respectively. The increase of $8.0 million, or 34%, was primarily due to:</w:t>
      </w:r>
    </w:p>
    <w:p>
      <w:pPr>
        <w:spacing w:after="0" w:line="76" w:lineRule="exact"/>
        <w:rPr>
          <w:sz w:val="20"/>
          <w:szCs w:val="20"/>
          <w:color w:val="auto"/>
        </w:rPr>
      </w:pPr>
    </w:p>
    <w:p>
      <w:pPr>
        <w:ind w:left="1080" w:right="20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of $3.4 million in personnel-related costs, including stock-based compensation, primarily due to growth in the number of our research and development employees as we expanded our research and development capabilities;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of $3.0 million in facility and laboratory costs, including laboratory supplies and materials and other allocated costs, as we ramped up our research and development operations;</w:t>
      </w:r>
    </w:p>
    <w:p>
      <w:pPr>
        <w:spacing w:after="0" w:line="75" w:lineRule="exact"/>
        <w:rPr>
          <w:rFonts w:ascii="Arial" w:cs="Arial" w:eastAsia="Arial" w:hAnsi="Arial"/>
          <w:sz w:val="18"/>
          <w:szCs w:val="18"/>
          <w:color w:val="auto"/>
        </w:rPr>
      </w:pPr>
    </w:p>
    <w:p>
      <w:pPr>
        <w:ind w:left="1080" w:right="380" w:hanging="532"/>
        <w:spacing w:after="0" w:line="308"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increase of $1.2 million in external costs, including amounts paid to CROs for research and development activities, consulting fees, preclinical studies and other external research expenses as we progressed development of our programs; and</w:t>
      </w:r>
    </w:p>
    <w:p>
      <w:pPr>
        <w:spacing w:after="0" w:line="51"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of $0.3 million in other research and development expenses, including licensing fees, due to entering into additional license agreements in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General and administrative expenses were $4.6 million and $7.8 million for the years ended December 31, 2019 and 2020, respectively. The increase of $3.2 million, or 71%, was primarily due to a $1.4 million increase in personnel-related expenses, including stock-based compensation, as a result of higher headcount as we grew our operations, a $1.2 million increase in professional service expenses and a $0.3 million increase in facility related expenses to support the growth of our operations.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Interest income was $0.5 million and $0.1 million for the years ended December 31, 2019 and 2020, respectively. The decrease of $0.4 million, or 81%, was primarily due to lower average interest rates in 2020 as compared to 2019 and a change in our investment portfolio mix.</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$0.1 million change in fair value of our convertible preferred stock tranche liability for the year ended December 31, 2020 was attributable to changes in the fair value of the underlying Series B convertible preferred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Other income (expense), net was $1.0 million and $0.4 million for the years ended December 31, 2019 and 2020, respectively. The decrease in other income of $0.7 million, or 65%, was primarily due to a $0.6 million reduction in sublease income as a result of the expiration of one of our sublease agreements in the third quarter of 2019.</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Since our inception, we have not generated any revenue and we have incurred significant net losses and negative cash flows from operations. To date, we have funded our operations primarily from the sale and issuance of our convertible preferred stock. From our inception through March 31, 2021, we raised an aggregate of $247.9 million in gross proceeds from sales of our convertible preferred stock. As of March 31, 2021, we had cash and cash equivalents of $128.4 million and an accumulated deficit of $95.9 million.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expect our expenses and operating losses will increase substantially over the foreseeable future. The expected increase in expenses will be driven in large part by our ongoing activities, if and as we:</w:t>
      </w:r>
    </w:p>
    <w:p>
      <w:pPr>
        <w:spacing w:after="0" w:line="76"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to advance our Gene Therapy, Cellular Regeneration and Precision Medicine platforms;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preclinical development of our product candidates and initiate additional preclinical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commence clinical trials of our product candidates;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build out our manufacturing facilities and establish our manufacturing capabilities, including developing our contract development and manufacturing relationships;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acquire and license technologies aligned with our Gene Therapy, Cellular Regeneration and Precision Medicine platforms;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that successfully complete clinical trials;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future commercialization efforts;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to develop, grow, perfect, enforce and defend our intellectual property portfolio;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the additional costs associated with operating as a public company.</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Based on our current operating plan and without giving effect to the anticipated net proceeds from this offering, we believe that our existing cash and cash equivalents will be sufficient to meet our working capital and capital expenditure needs for at least the next twelve months.</w:t>
      </w:r>
    </w:p>
    <w:p>
      <w:pPr>
        <w:spacing w:after="0" w:line="14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also believe that the anticipated net proceeds from this offering, together with our existing cash and cash equivalents, will be sufficient to fund our planned operating expenses and capital expenditure requirements through at least the next 24 months from the date of our unaudited interim condensed financial statements included elsewhere in this prospectus. 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16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96"/>
              </w:rPr>
              <w:t>Year Ended December 31,</w:t>
            </w:r>
          </w:p>
        </w:tc>
        <w:tc>
          <w:tcPr>
            <w:tcW w:w="120" w:type="dxa"/>
            <w:vAlign w:val="bottom"/>
          </w:tcPr>
          <w:p>
            <w:pPr>
              <w:spacing w:after="0"/>
              <w:rPr>
                <w:sz w:val="14"/>
                <w:szCs w:val="14"/>
                <w:color w:val="auto"/>
              </w:rPr>
            </w:pPr>
          </w:p>
        </w:tc>
        <w:tc>
          <w:tcPr>
            <w:tcW w:w="17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(24,096)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(35,447)</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 (8,238)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(15,789)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147,268</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30,670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20,015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104,811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420" w:firstLine="440"/>
        <w:spacing w:after="0" w:line="291" w:lineRule="auto"/>
        <w:rPr>
          <w:sz w:val="20"/>
          <w:szCs w:val="20"/>
          <w:color w:val="auto"/>
        </w:rPr>
      </w:pPr>
      <w:r>
        <w:rPr>
          <w:rFonts w:ascii="Arial" w:cs="Arial" w:eastAsia="Arial" w:hAnsi="Arial"/>
          <w:sz w:val="16"/>
          <w:szCs w:val="16"/>
          <w:color w:val="auto"/>
        </w:rPr>
        <w:t>Net cash used in operating activities for the three months ended March 31, 2021 was $15.8 million, which consisted primarily of a net loss of $13.1 million and a net change in net operating assets and liabilities of $4.0 million, partially offset by $1.3 million in non-cash charges.</w:t>
      </w:r>
    </w:p>
    <w:p>
      <w:pPr>
        <w:jc w:val="both"/>
        <w:ind w:left="120" w:right="100"/>
        <w:spacing w:after="0" w:line="281" w:lineRule="auto"/>
        <w:rPr>
          <w:sz w:val="20"/>
          <w:szCs w:val="20"/>
          <w:color w:val="auto"/>
        </w:rPr>
      </w:pPr>
      <w:r>
        <w:rPr>
          <w:rFonts w:ascii="Arial" w:cs="Arial" w:eastAsia="Arial" w:hAnsi="Arial"/>
          <w:sz w:val="16"/>
          <w:szCs w:val="16"/>
          <w:color w:val="auto"/>
        </w:rPr>
        <w:t>The non-cash charges primarily consisted of depreciation and amortization of $0.7 million, stock-based compensation of $0.4 million and the non-cash operating lease expense of $0.2 million. The change in net operating assets and liabilities was primarily due to an increase in other non-current assets of $3.3 million related to a security deposit for a lease entered into in February 2021, a decrease in accrued expenses and other current liabilities of</w:t>
      </w:r>
    </w:p>
    <w:p>
      <w:pPr>
        <w:spacing w:after="0" w:line="2"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$1.0 million and a decrease in operating lease liabilities of $0.4 million, partially offset by an increase in accounts payable of $0.6 million and a decrease in prepaid expenses and other current assets of $0.1 million.</w:t>
      </w:r>
    </w:p>
    <w:p>
      <w:pPr>
        <w:spacing w:after="0" w:line="185"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Net cash used in operating activities for the three months ended March 31, 2020 was $8.2 million, which consisted primarily of a net loss of $9.1 million and a net change in net operating assets and liabilities of $21,000, partially offset by $0.8 million in non-cash charges.</w:t>
      </w:r>
    </w:p>
    <w:p>
      <w:pPr>
        <w:ind w:left="120" w:right="40"/>
        <w:spacing w:after="0" w:line="295" w:lineRule="auto"/>
        <w:rPr>
          <w:sz w:val="20"/>
          <w:szCs w:val="20"/>
          <w:color w:val="auto"/>
        </w:rPr>
      </w:pPr>
      <w:r>
        <w:rPr>
          <w:rFonts w:ascii="Arial" w:cs="Arial" w:eastAsia="Arial" w:hAnsi="Arial"/>
          <w:sz w:val="16"/>
          <w:szCs w:val="16"/>
          <w:color w:val="auto"/>
        </w:rPr>
        <w:t>The non-cash charges primarily consisted of depreciation and amortization of $0.6 million and stock-based compensation of $0.2 million. The change in net operating assets and liabilities was primarily due to an increase in accounts payable of $0.7 million and a decrease in prepaid expenses and other current assets of $0.2 million, partially offset by a decrease in accrued expenses and other current liabilities of $0.5 million, a decrease in deferred rent and other lease liabilities of $0.2 million and an increase in other non-current assets of $0.2 million as we expanded our operations.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Net cash used in operating activities for the year ended December 31, 2020 was $35.4 million, which consisted primarily of a net loss of $38.4 million and a net change in net operating assets and liabilities of $0.2 million, partially offset by $3.2 million in non-cash charges. The non-cash charges primarily consisted of depreciation and amortization of $2.5 million and stock-based compensation of $0.7 million. The change in net operating assets and liabilities was primarily due to a decrease in deferred rent of $0.8 million, an increase in prepaid expenses and other current assets of $0.3 million and an increase in other non-current assets of $0.2 million, partially offset by an increase in accrued expenses and other current liabilities of $0.9 million and an increase in accounts payable of $0.1 million as we expanded our operations.</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Net cash used in operating activities for the year ended December 31, 2019 was $24.1 million, which consisted primarily of a net loss of $26.2 million and a net change in net operating assets and liabilities of $0.3 million, partially offset by $2.4 million in non-cash charges. The non-cash charges primarily consisted of depreciation and amortization of $2.0 million and stock-based compensation of $0.4 million. The change in net operating assets and liabilities was primarily due to a decrease in deferred rent of $0.7 million and increase in prepaid expenses and other current assets of $0.4 million, partially offset by an increase in accounts payable of $0.4 million and an increase in accrued expenses and other current liabilities of $0.5 million as we expanded our operations.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2021 was $4.3 million, which consisted of purchases of property and equipment that primarily related to our manufacturing and office space in the San Francisco Bay Area.</w:t>
      </w:r>
    </w:p>
    <w:p>
      <w:pPr>
        <w:spacing w:after="0" w:line="170"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Net cash provided by investing activities for the three months ended March 31, 2020 was $2.3 million, which consisted of proceeds from maturities of marketable securities of $2.8 million, partially offset by purchases of property and equipment of $0.4 million.</w:t>
      </w:r>
    </w:p>
    <w:p>
      <w:pPr>
        <w:spacing w:after="0" w:line="14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Net cash used in investing activities for the year ended December 31, 2020 was $7.0 million, which consisted of purchases of property and equipment of $9.8 million that primarily related to our manufacturing and office space in the San Francisco Bay Area, partially offset by proceeds from maturities of marketable securities of $2.8 million.</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Net cash used in investing activities for the year ended December 31, 2019 was $5.6 million, which consisted of purchases of property and equipment of $2.9 million and net purchases of and proceeds from maturities of marketable securities of $2.7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2021 was $20.0 million, which primarily consisted of net proceeds received from the issuance of our Series C convertible preferred stock.</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2020 was $30.7 million, which primarily consisted of net proceeds received from the sale and issuance of our Series B convertible preferred stock.</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2020 was $147.3 million, which consisted of net proceeds received from the sale and issuance of our Series B convertible preferred stock of $61.3 million and net proceeds received from the initial closing of our Series C convertible preferred stock of $86.0 million.</w:t>
      </w:r>
    </w:p>
    <w:p>
      <w:pPr>
        <w:spacing w:after="0" w:line="184"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Net cash provided by financing activities for the year ended December 31, 2019 was $30.5 million, which consisted of net proceeds received from the sale and issuance of our Series B convertible preferred stock of $30.4 million and proceeds from the exercise of stock options of $0.1 million.</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enter into contracts in the normal course of business with contract research organizations for preclinical studies and other services, which are generally cancellable with limited notice.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and other commitments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center"/>
              <w:ind w:left="64"/>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Less</w:t>
            </w:r>
          </w:p>
        </w:tc>
        <w:tc>
          <w:tcPr>
            <w:tcW w:w="340" w:type="dxa"/>
            <w:vAlign w:val="bottom"/>
          </w:tcPr>
          <w:p>
            <w:pPr>
              <w:spacing w:after="0"/>
              <w:rPr>
                <w:sz w:val="10"/>
                <w:szCs w:val="10"/>
                <w:color w:val="auto"/>
              </w:rPr>
            </w:pPr>
          </w:p>
        </w:tc>
        <w:tc>
          <w:tcPr>
            <w:tcW w:w="5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1 to 3</w:t>
            </w:r>
          </w:p>
        </w:tc>
        <w:tc>
          <w:tcPr>
            <w:tcW w:w="340" w:type="dxa"/>
            <w:vAlign w:val="bottom"/>
          </w:tcPr>
          <w:p>
            <w:pPr>
              <w:spacing w:after="0"/>
              <w:rPr>
                <w:sz w:val="10"/>
                <w:szCs w:val="10"/>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3 to 5</w:t>
            </w:r>
          </w:p>
        </w:tc>
        <w:tc>
          <w:tcPr>
            <w:tcW w:w="160" w:type="dxa"/>
            <w:vAlign w:val="bottom"/>
          </w:tcPr>
          <w:p>
            <w:pPr>
              <w:spacing w:after="0"/>
              <w:rPr>
                <w:sz w:val="10"/>
                <w:szCs w:val="10"/>
                <w:color w:val="auto"/>
              </w:rPr>
            </w:pPr>
          </w:p>
        </w:tc>
        <w:tc>
          <w:tcPr>
            <w:tcW w:w="7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More</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than 5</w:t>
            </w: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4"/>
              </w:rPr>
              <w:t>than 1 year</w:t>
            </w:r>
          </w:p>
        </w:tc>
        <w:tc>
          <w:tcPr>
            <w:tcW w:w="34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3,752</w:t>
            </w:r>
          </w:p>
        </w:tc>
        <w:tc>
          <w:tcPr>
            <w:tcW w:w="88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4,489</w:t>
            </w:r>
          </w:p>
        </w:tc>
        <w:tc>
          <w:tcPr>
            <w:tcW w:w="1060" w:type="dxa"/>
            <w:vAlign w:val="bottom"/>
            <w:gridSpan w:val="3"/>
            <w:shd w:val="clear" w:color="auto" w:fill="CCEEFF"/>
          </w:tcPr>
          <w:p>
            <w:pPr>
              <w:jc w:val="center"/>
              <w:ind w:left="3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3,362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11,603</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4,489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obligations noted above represent our operating lease obligations related to our leased facility currently occupied in South San Francisco, California, with a lease term that expires in May 2025. The table does not include the operating lease we entered into in the San Francisco Bay Area in February 2021 for our manufacturing facility, which commenced in May 2021 and has a ten-year term. Payments associated with this operating lease agreement will result in additional operating lease obligations not included in the above table of approximately $13.9 million plus operating expenses.</w:t>
      </w:r>
    </w:p>
    <w:p>
      <w:pPr>
        <w:spacing w:after="0" w:line="15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also enter into contracts in the normal course of business with various third parties for preclinical studies, manufacturing services with CDMOs and other services. These contracts generally provide for termination upon limited notice, and therefore we believe that our noncancelable obligations under these agreements are not material. These payments are not included in the table above. This table also does not include any milestone or royalty payments to third parties as the amounts, timing and likelihood of such payments are not known at this time. See Note 5 to our audited financial statements and Note 5 to our unaudited interim condensed financial statements included elsewhere in this prospectus.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inception, we have not engaged in any off-balance sheet arrangements as defined in the rules and regulations of the SEC.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management’s discussion and analysis of the financial condition and results of operations is based on our financial statements, which have been prepared in accordance with the U.S. generally accepted accounting principles, or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While our significant accounting policies are described in the notes to our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record research and development costs in the periods in which they are incurred. Goods or services incurred for research and development activities that have not yet been invoiced are recorded as liabilities within accrued expenses and other current liabilities on the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We make judgments and estimates in determining the accrued and other current liabilities balance. If the actual timing of the performance of services or the level of effort varies from the estimate, we adjust accrued expenses or prepaid expenses accordingly, which impact research and development expenses. We have not experienced any material differences between accrued costs and actual costs incurred. Changes in these estimates that result in material changes to our accrued costs could materially affect our results of operations.</w:t>
      </w:r>
    </w:p>
    <w:p>
      <w:pPr>
        <w:spacing w:after="0" w:line="16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have and may continue to acquire the rights to licensed technology that represents in-process research and development to use and develop in the commercialization of product candidates, if approved. The upfront payments made to acquire licenses, products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measure and record expense related to all equity awards granted to employees and non-employees in the statements of operations based on their grant date estimated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fair value of restricted stock awards is determined on the date of grant based on the estimated fair value of our common stock on that date.</w:t>
      </w:r>
    </w:p>
    <w:p>
      <w:pPr>
        <w:spacing w:after="0" w:line="24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purposes of determining the estimated fair value of options granted to employees and non-employees, we use the Black-Scholes option pricing model, which requires the use of highly subjective assumptions. These assumptions include:</w:t>
      </w:r>
    </w:p>
    <w:p>
      <w:pPr>
        <w:spacing w:after="0" w:line="76"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—See the subsection titled “—Common Stock Valuations” below.</w:t>
      </w:r>
    </w:p>
    <w:p>
      <w:pPr>
        <w:spacing w:after="0" w:line="130"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—We determine the expected term, which represents the period that stock-based awards are expected to be outstanding,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simplified method, which is presumed to be the mid-point between the contractual term and the vesting term.</w:t>
      </w:r>
    </w:p>
    <w:p>
      <w:pPr>
        <w:spacing w:after="0" w:line="29"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there is no trading history for our common stock, we have determined our computation of expected volatility on</w:t>
      </w:r>
      <w:r>
        <w:rPr>
          <w:rFonts w:ascii="Arial" w:cs="Arial" w:eastAsia="Arial" w:hAnsi="Arial"/>
          <w:sz w:val="18"/>
          <w:szCs w:val="18"/>
          <w:i w:val="1"/>
          <w:iCs w:val="1"/>
          <w:color w:val="auto"/>
        </w:rPr>
        <w:t xml:space="preserve"> </w:t>
      </w:r>
      <w:r>
        <w:rPr>
          <w:rFonts w:ascii="Arial" w:cs="Arial" w:eastAsia="Arial" w:hAnsi="Arial"/>
          <w:sz w:val="18"/>
          <w:szCs w:val="18"/>
          <w:color w:val="auto"/>
        </w:rPr>
        <w:t>the historical volatility of a representative group of public companies with similar characteristics to us, including stage of product development and life science industry focus. The historical volatility is calculated based on a period of time commensurate with the expected term assumption.</w:t>
      </w:r>
    </w:p>
    <w:p>
      <w:pPr>
        <w:spacing w:after="0" w:line="92"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assumption.</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yield is assumed to be zero as we have never paid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See Note 9 to our audited financial statements and Note 9 to our unaudited interim condensed financial statements included elsewhere in this prospectus for more information concerning certain of the specific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assumptions we used in applying the Black-Scholes valuation model to determine the estimated fair value of our stock options.</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For the years ended December 31, 2019 and 2020, we incurred stock-based compensation of $0.4 million and $0.7 million, respectively. For the three months ended March 31, 2020 and 2021, we incurred stock-based compensation of $0.2 million and $0.4 million, respectively. As of March 31, 2021, there was $6.4 million of total unrecognized stock-based compensation, which is expected to be recognized over a weighted-average period of approximately 3.5 years.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intrinsic value of all outstanding options as of March 31, 2021 was $20.6 million, based on the initial public offering price of $15.00 per share, of which $7.1 million is related to vested options and $13.5 million is related to unvested options.</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June 2021, our board of directors granted options to purchase 388,475 shares of our common stock at an exercise price of $9.36 per share. We subsequently determined the grant-date fair value of these awards using an assumed underlying common stock fair value of $11.77 per share for financial reporting purposes. In July 2021, we granted options to purchase 446,998 shares of our common stock at an exercise price of $10.56 per share. We subsequently determined the grant-date fair value of these awards using an assumed underlying common stock fair value of $12.30 per share for financial reporting purposes. We expect to recognize stock-based compensation of between approximately $8.1 million to $8.6 million for these June 2021 and July 2021 awards over the vesting period, which is generally four years.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Historically, for all periods prior to this offering, fair values of the shares of common stock underlying our stock-based awards were approved on each grant date by our board of directors. Our board of directors considered, among other things, valuations of our common stock which were prepared by an independent third-party valuation firm in accordance with the guidance provided by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The significant objective and subjective factors included, but are not limited to:</w:t>
      </w:r>
    </w:p>
    <w:p>
      <w:pPr>
        <w:spacing w:after="0" w:line="93"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most recently available estimated valuations of our common stock performed by an independent third-party valuation firm;</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prices of shares of our convertible preferred stock sold to investors in arm’s length transactions, and the rights, preferences and privileges of our convertible preferred stock relative to our common stock;</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(IPO) or a sale of our company, given prevailing market conditions;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the independent third-party valuations performed in October 2018 and October 2019, we used a probability-weighted expected return method (PWERM) whereby our total equity value was estimated under various exit scenarios and allocated to our different classes of equity. The PWERM included various scenarios in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which we complete an IPO, the sale of our company or dissolution of our company that considered our estimate of the timing of each scenario and were weighted based on our estimate of the probability of each event occurring. The equity value under the IPO scenarios was based on the market approach and considered recent IPO values of comparable companies. The equity value under the scenarios in which we complete the sale of our company was based on the market approach and considered recent licensing deals for programs utilizing similar technologies as us. The equity value under the dissolution scenarios was based on the market approach and considered the return on investment from failed venture capital investments. The equity value under each scenario was adjusted for anticipated future financings and the equity value allocated to our common stock was reduced by a discount for lack of marketability.</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For the independent third-party valuations performed in November 2020 and April 2021, we used a hybrid method of the PWERM and the option pricing model (OPM) backsolve method to allocate our estimated equity value to our different classes of equity. The PWERM included scenarios in which we complete an IPO and a scenario in which we complete an alternative exit (OPM Scenario) that considered our estimate of the timing of each scenario and were weighted based on our estimate of the probability of each event occurring. The equity value under the IPO scenarios was based on the market approach and considered recent IPO values of comparable companies. The equity value under the OPM Scenario in the November 2020 valuation utilized the OPM backsolve method based on our Series C convertible preferred stock financing. The April 2021 valuation considered market-based adjustments to the equity value determined under this approach in the November 2020 valuation. In an OPM framework, the backsolve method for inferring the equity value implied by a recent financing transaction involves making assumptions for the expected time to liquidity, volatility, dividend yield, and risk-free rate and then solving for the value of equity such that the value for the most recent financing equals the amount paid. The equity value allocated to our common stock was reduced by a discount for lack of marketability.</w:t>
      </w:r>
    </w:p>
    <w:p>
      <w:pPr>
        <w:spacing w:after="0" w:line="18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For valuations after the completion of this offering, the fair value of each share of underlying common stock will be based on the closing price of our common stock as reported on the date of grant on the primary stock exchange on which our common stock is traded.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obligation to issue additional shares of our Series B convertible preferred stock on the second and third closings of our Series B convertible preferred stock was determined to be a freestanding financial instrument that should be accounted for as a liability. At issuance, we recorded the convertible preferred stock tranche liability on the balance sheet at its estimated fair value, using the estimated fair value of the underlying Series B stock and common stock (which was determined using the standard pricing model). The other inputs used to arrive at the fair value of the convertible preferred stock tranche liability was a discount rate and the expected term, which was based on the expected contractual closing date or the actual closing date.</w:t>
      </w:r>
    </w:p>
    <w:p>
      <w:pPr>
        <w:spacing w:after="0" w:line="192"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A tranche liability is subject to remeasurement at each balance sheet date, with changes in fair value recognized as a gain or loss on remeasurement as a component of other income (expense), net in the statements of operations until settlement or extinguishment. Our convertible preferred stock tranche liability was settled upon the closing of our second and third closings of our Series B convertible preferred stock financing in March and August 2020,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See Note 2 to our audited financial statements and Note 2 to our unaudited interim condensed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the last day of the fiscal year ending after the</w:t>
      </w:r>
    </w:p>
    <w:p>
      <w:pPr>
        <w:spacing w:after="0" w:line="1"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 related information that would be required if we were not an emerging growth company.</w:t>
      </w:r>
    </w:p>
    <w:p>
      <w:pPr>
        <w:spacing w:after="0" w:line="19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and other matters.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held cash and cash equivalents of $128.5 million and $128.4 million as of December 31, 2020 and March 31, 2021, respectively, which consisted of bank deposits and money market funds. Historical fluctuations in interest rates have not had a significant impact on our financial condition or results of operations. We believe that we do not have any material exposure to changes in the fair value of these assets as a result of changes in interest rates due to the short-term nature of our cash and cash equivalents.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Heart disease is the leading cause of death in the world, accounting for more deaths than from all cancers combined. In the United States, more than 30 million adults are diagnosed with heart disease and approximately 35,000 children are born each year with congenital heart disease (CHD). There are over 250 known genetically defined disorders where the primary source of morbidity and mortality involves the heart, but there are few approved products that target the underlying cause of such diseases. Recent analysis has shown that mortality rates due to heart failure (HF) are rising. While there is a clear need for improved treatments, the rate of cardiovascular drug product approvals has declined in recent years.</w:t>
      </w:r>
    </w:p>
    <w:p>
      <w:pPr>
        <w:spacing w:after="0" w:line="161"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We are a biotechnology company committed to a bold mission: to discover, develop and deliver curative therapies that address the underlying drivers of heart disease. Our vision is to change the treatment paradigm for heart disease, and in doing so improve and extend the lives of millions of individuals and families. We are advancing a pipeline of disease-modifying therapies developed using our product platforms and core internal capabilities to target defined sub-populations of patients with both rare and highly prevalent forms of heart disease.</w:t>
      </w:r>
    </w:p>
    <w:p>
      <w:pPr>
        <w:spacing w:after="0" w:line="171"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Founded by leading cardiovascular scientists from Gladstone Institutes and University of Texas Southwestern Medical Center (UTSW), we are developing therapies through scientific advancements in three distinct but interrelated product platforms: Gene Therapy, Cellular Regeneration and Precision Medicine. While our Gene Therapy and Cellular Regeneration platforms focus on the use of viral vectors for drug delivery, our Precision Medicine platform enables us to identify promising targets and product candidates in a modality-agnostic manner, including gene therapies, small molecules, and biologics.</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advancing a deep and diverse pipeline that includes both gene therapies and small molecules. In 2022, we intend to submit an investigational new drug application (IND) or a clinical trial application (CTA) to the U.S. Food and Drug Administration (FDA) or European Medicines Agency (EMA), respectively, for the most advanced product candidate from our Gene Therapy platform, TN-201, an adeno-associated virus (AAV)-based gene therapy to address genetic hypertrophic cardiomyopathy (gHCM) caused by Myosin Binding Protein C3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TN-201, currently in IND-enabling studies, is designed to deliver a fully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driven by our proprietary heart-specific promoter to restore normal levels of MYBPC3 protein. We also intend to submit an IND to the FDA for the most advanced product candidate from our Precision Medicine platform, TYA-11631, a highly specific small molecule inhibitor of histone deacetylase 6 (HDAC6i). TYA-11631, currently in IND-enabling studies, has potentially broad utility in both HF with preserved ejection fraction (HFpEF) as well as genetic dilated cardiomyopathy (gDCM). Our PKP2 program involves using an AAV-based gene therapy to address genetic arrhythmogenic right ventricular cardiomyopathy (gARVC) caused by plakophilin 2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mutations, and is currently at the candidate selection stage. Our DWORF program, an AAV-based gene therapy designed to express the Dwarf Open Reading Frame (</w:t>
      </w:r>
      <w:r>
        <w:rPr>
          <w:rFonts w:ascii="Arial" w:cs="Arial" w:eastAsia="Arial" w:hAnsi="Arial"/>
          <w:sz w:val="16"/>
          <w:szCs w:val="16"/>
          <w:i w:val="1"/>
          <w:iCs w:val="1"/>
          <w:color w:val="auto"/>
        </w:rPr>
        <w:t>DWORF</w:t>
      </w:r>
      <w:r>
        <w:rPr>
          <w:rFonts w:ascii="Arial" w:cs="Arial" w:eastAsia="Arial" w:hAnsi="Arial"/>
          <w:sz w:val="16"/>
          <w:szCs w:val="16"/>
          <w:color w:val="auto"/>
        </w:rPr>
        <w:t>) gene in the heart, has potentially broad utility in dilated cardiomyopathy (DCM) and HF with reduced ejection fraction (HFrEF), and is currently at the candidate selection stage. Our Reprogramming program for cardiac regeneration can potentially replace heart cells lost in patients experiencing HF due to prior myocardial infarction (MI), and is currently at the candidate selection stage. In addition, we have numerous earlier-stage programs emerging from our product platforms to address other forms of HF.</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Product Platforms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have established three distinct but interrelated product platforms to discover novel therapies for various forms of heart disease. These platforms bring together differentiated science, capabilities, and intellectual property to enable multi-modality drug discovery. As displayed below, each of our product platforms is designed to address different problems that have historically plagued the development of therapies for heart disease. We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believe these three product platforms together yield better insight into disease processes, create more opportunities for successful drug development, mitigate scientific risks, and differentiate our efforts relative to competitors.</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Product Platforms Powering Multi-Modality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171450</wp:posOffset>
            </wp:positionV>
            <wp:extent cx="5083175" cy="26142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8317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80" w:hanging="343"/>
        <w:spacing w:after="0" w:line="291"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i w:val="1"/>
          <w:iCs w:val="1"/>
          <w:color w:val="auto"/>
        </w:rPr>
        <w:t>Gene Therapy</w:t>
      </w:r>
      <w:r>
        <w:rPr>
          <w:rFonts w:ascii="Arial" w:cs="Arial" w:eastAsia="Arial" w:hAnsi="Arial"/>
          <w:sz w:val="16"/>
          <w:szCs w:val="16"/>
          <w:color w:val="auto"/>
        </w:rPr>
        <w:t xml:space="preserve"> platform uses AAVs to deliver genes to specific cells in the heart to correct or compensate for functional defects. We have the ability to use both known AAV capsids as well as novel capsids identified through our internal capsid engineering capabilities. Depending on the nature of the disease, we may target cardiomyocytes (CMs), cardiac fibroblasts (CFs), or other cells important to the proper functioning of the heart. The genes delivered can be a healthy copy of genes that are known to be mutated in human disease, or some other protein or construct that can exert a therapeutic effect. The product candidates arising from this platform are intended to overcome the shortcomings of traditional therapies that are not able to address the underlying problems that contribute to heart disease. We believe this platform has potentially broad utility for both genetic and non-genetic forms of heart disease.</w:t>
      </w:r>
    </w:p>
    <w:p>
      <w:pPr>
        <w:spacing w:after="0" w:line="71" w:lineRule="exact"/>
        <w:rPr>
          <w:rFonts w:ascii="Arial" w:cs="Arial" w:eastAsia="Arial" w:hAnsi="Arial"/>
          <w:sz w:val="16"/>
          <w:szCs w:val="16"/>
          <w:color w:val="auto"/>
        </w:rPr>
      </w:pPr>
    </w:p>
    <w:p>
      <w:pPr>
        <w:ind w:left="1080" w:right="60" w:hanging="343"/>
        <w:spacing w:after="0" w:line="290"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i w:val="1"/>
          <w:iCs w:val="1"/>
          <w:color w:val="auto"/>
        </w:rPr>
        <w:t>Cellular Regeneration</w:t>
      </w:r>
      <w:r>
        <w:rPr>
          <w:rFonts w:ascii="Arial" w:cs="Arial" w:eastAsia="Arial" w:hAnsi="Arial"/>
          <w:sz w:val="16"/>
          <w:szCs w:val="16"/>
          <w:color w:val="auto"/>
        </w:rPr>
        <w:t xml:space="preserve"> platform uses viral vectors to deliver specific combinations of genes to existing cells in the heart to regenerate CMs </w:t>
      </w:r>
      <w:r>
        <w:rPr>
          <w:rFonts w:ascii="Arial" w:cs="Arial" w:eastAsia="Arial" w:hAnsi="Arial"/>
          <w:sz w:val="16"/>
          <w:szCs w:val="16"/>
          <w:i w:val="1"/>
          <w:iCs w:val="1"/>
          <w:color w:val="auto"/>
        </w:rPr>
        <w:t>in vivo</w:t>
      </w:r>
      <w:r>
        <w:rPr>
          <w:rFonts w:ascii="Arial" w:cs="Arial" w:eastAsia="Arial" w:hAnsi="Arial"/>
          <w:sz w:val="16"/>
          <w:szCs w:val="16"/>
          <w:color w:val="auto"/>
        </w:rPr>
        <w:t>. We own certain intellectual property that covers two distinct approaches to achieve regeneration of new heart tissue. One approach uses AAV vectors to deliver proprietary combinations of genes that induce the resident CFs to convert to CMs. We have developed, through internal capsid engineering capabilities, novel AAV capsids with enhanced CF transduction. Another approach uses non-integrating lentiviruses to deliver proprietary combinations of genes that induce the resident CMs to undergo transient cell division. The product candidates arising from this platform are intended to overcome the shortcomings of traditional therapies that address symptoms but are not able to address the irreversible loss of CMs. We believe this platform has potentially broad utility across a range of heart conditions that result in the loss of CMs, including MI, chemotherapy-related toxicity, and viral infection.</w:t>
      </w:r>
    </w:p>
    <w:p>
      <w:pPr>
        <w:spacing w:after="0" w:line="70" w:lineRule="exact"/>
        <w:rPr>
          <w:rFonts w:ascii="Arial" w:cs="Arial" w:eastAsia="Arial" w:hAnsi="Arial"/>
          <w:sz w:val="16"/>
          <w:szCs w:val="16"/>
          <w:color w:val="auto"/>
        </w:rPr>
      </w:pPr>
    </w:p>
    <w:p>
      <w:pPr>
        <w:ind w:left="1080" w:right="200" w:hanging="343"/>
        <w:spacing w:after="0" w:line="311"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i w:val="1"/>
          <w:iCs w:val="1"/>
          <w:color w:val="auto"/>
        </w:rPr>
        <w:t>Precision Medicine</w:t>
      </w:r>
      <w:r>
        <w:rPr>
          <w:rFonts w:ascii="Arial" w:cs="Arial" w:eastAsia="Arial" w:hAnsi="Arial"/>
          <w:sz w:val="16"/>
          <w:szCs w:val="16"/>
          <w:color w:val="auto"/>
        </w:rPr>
        <w:t xml:space="preserve"> platform uses human induced pluripotent stem cell-derived CMs (hiPSC-CMs) as proprietary disease models combined with analysis of human genetics and the use of machine learning algorithms for the identification of new targets, validation of known targets, and high-throughput screening for drug discovery. This platform is intended to overcome the shortcomings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57" w:lineRule="auto"/>
        <w:rPr>
          <w:sz w:val="20"/>
          <w:szCs w:val="20"/>
          <w:color w:val="auto"/>
        </w:rPr>
      </w:pPr>
      <w:r>
        <w:rPr>
          <w:rFonts w:ascii="Arial" w:cs="Arial" w:eastAsia="Arial" w:hAnsi="Arial"/>
          <w:sz w:val="18"/>
          <w:szCs w:val="18"/>
          <w:color w:val="auto"/>
        </w:rPr>
        <w:t>of traditional drug development efforts that rely more heavily on insights from animal models to identify targets and to develop therapies intended for human heart disease. We believe this platform may also help identify promising drug targets directed to sub-populations of patients who are more likely to respond to such targeted product candidates. We believe this platform has potentially broad utility for the identification of targets and therapies in a modality-agnostic manner—including gene therapy, small molecules, and biologics—for both genetic and non-genetic forms of heart disease.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Approach and Capabilities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have internalized and integrated core capabilities, as displayed below, to support our product platforms and our pipeline programs. We believe these capabilities provide us with several advantages and differentiate our efforts relative to competitors, particularly for our AAV-based drug development efforts. We believe these capabilities can collectively support rapid product development, precise product delivery, and efficient production, which ultimately improves the probability of technical and regulatory success of our product candidates.</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Core Capabilities Supporting Our Differentiated Product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171450</wp:posOffset>
            </wp:positionV>
            <wp:extent cx="5092065" cy="22199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9206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five core capabilities include:</w:t>
      </w:r>
    </w:p>
    <w:p>
      <w:pPr>
        <w:spacing w:after="0" w:line="131" w:lineRule="exact"/>
        <w:rPr>
          <w:sz w:val="20"/>
          <w:szCs w:val="20"/>
          <w:color w:val="auto"/>
        </w:rPr>
      </w:pPr>
    </w:p>
    <w:p>
      <w:pPr>
        <w:ind w:left="1080" w:right="80" w:hanging="343"/>
        <w:spacing w:after="0" w:line="291"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Disease Models</w:t>
      </w:r>
      <w:r>
        <w:rPr>
          <w:rFonts w:ascii="Arial" w:cs="Arial" w:eastAsia="Arial" w:hAnsi="Arial"/>
          <w:sz w:val="16"/>
          <w:szCs w:val="16"/>
          <w:color w:val="auto"/>
        </w:rPr>
        <w:t>. Having better models of human heart disease is an important capability for drug discovery. Existing models may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adequate to assess the efficacy or safety of novel therapies. In order to achieve this, we have internalized the ability to create and integrate proprietary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within our research organization. For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hiPSC-CM disease models, we use multiple methods to induce phenotypes within cell lines that simulate human diseases and then use these models for high throughput target identification and drug discovery. For our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disease models, we have a dedicated onsite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pharmacology group and vivarium, where we have established approximately 15 rodent heart disease models, both genetic and non-genetic, and can dose animals, perform heart surgeries, and use non-invasive imaging to assess the impact of our therapies under development.</w:t>
      </w:r>
    </w:p>
    <w:p>
      <w:pPr>
        <w:spacing w:after="0" w:line="71" w:lineRule="exact"/>
        <w:rPr>
          <w:rFonts w:ascii="Arial" w:cs="Arial" w:eastAsia="Arial" w:hAnsi="Arial"/>
          <w:sz w:val="16"/>
          <w:szCs w:val="16"/>
          <w:color w:val="auto"/>
        </w:rPr>
      </w:pPr>
    </w:p>
    <w:p>
      <w:pPr>
        <w:ind w:left="1080" w:hanging="343"/>
        <w:spacing w:after="0" w:line="279"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Capsid Engineering</w:t>
      </w:r>
      <w:r>
        <w:rPr>
          <w:rFonts w:ascii="Arial" w:cs="Arial" w:eastAsia="Arial" w:hAnsi="Arial"/>
          <w:sz w:val="17"/>
          <w:szCs w:val="17"/>
          <w:color w:val="auto"/>
        </w:rPr>
        <w:t>. We have established in-house AAV capsid engineering capabilities and have successfully screened over one billion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variants from more than 30 diverse, proprietary AAV libraries in multiple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models to discover novel AAV capsids that can target the different types of cells in the heart. We have generated preclinical data to support the superiority of these capsids over parental variants in multiple species—including NHPs—against multiple attributes.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311" w:lineRule="auto"/>
        <w:rPr>
          <w:sz w:val="20"/>
          <w:szCs w:val="20"/>
          <w:color w:val="auto"/>
        </w:rPr>
      </w:pPr>
      <w:r>
        <w:rPr>
          <w:rFonts w:ascii="Arial" w:cs="Arial" w:eastAsia="Arial" w:hAnsi="Arial"/>
          <w:sz w:val="16"/>
          <w:szCs w:val="16"/>
          <w:color w:val="auto"/>
        </w:rPr>
        <w:t>These capsids are designed to have desirable properties including the ability to more selectively target the heart versus other organs as well as lower susceptibility to neutralizing antibodies. We believe our capsid engineering efforts will be critical in supporting the successful clinical development of our product candidates and enabling those product candidates, if approved, to reach more patients.</w:t>
      </w:r>
    </w:p>
    <w:p>
      <w:pPr>
        <w:spacing w:after="0" w:line="54" w:lineRule="exact"/>
        <w:rPr>
          <w:sz w:val="20"/>
          <w:szCs w:val="20"/>
          <w:color w:val="auto"/>
        </w:rPr>
      </w:pPr>
    </w:p>
    <w:p>
      <w:pPr>
        <w:ind w:left="1080" w:right="20" w:hanging="343"/>
        <w:spacing w:after="0" w:line="275"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Promoters and Regulatory Elements</w:t>
      </w:r>
      <w:r>
        <w:rPr>
          <w:rFonts w:ascii="Arial" w:cs="Arial" w:eastAsia="Arial" w:hAnsi="Arial"/>
          <w:sz w:val="17"/>
          <w:szCs w:val="17"/>
          <w:color w:val="auto"/>
        </w:rPr>
        <w:t>. We have created novel promoters and regulatory elements to support our gene therapy and cellular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regeneration programs. These promoters and regulatory elements control the expression of genes within the cells. We use these innovations to help ensure more precise and more robust expression of therapeutic payloads in the different cell types of the heart as compared to what can be achieved with currently available methods. We believe our innovations can support successful clinical development in part by improving the efficacy and safety profile of our product candidates.</w:t>
      </w:r>
    </w:p>
    <w:p>
      <w:pPr>
        <w:spacing w:after="0" w:line="81" w:lineRule="exact"/>
        <w:rPr>
          <w:rFonts w:ascii="Arial" w:cs="Arial" w:eastAsia="Arial" w:hAnsi="Arial"/>
          <w:sz w:val="17"/>
          <w:szCs w:val="17"/>
          <w:color w:val="auto"/>
        </w:rPr>
      </w:pPr>
    </w:p>
    <w:p>
      <w:pPr>
        <w:ind w:left="1080" w:hanging="343"/>
        <w:spacing w:after="0" w:line="259"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Drug Delivery</w:t>
      </w:r>
      <w:r>
        <w:rPr>
          <w:rFonts w:ascii="Arial" w:cs="Arial" w:eastAsia="Arial" w:hAnsi="Arial"/>
          <w:sz w:val="18"/>
          <w:szCs w:val="18"/>
          <w:color w:val="auto"/>
        </w:rPr>
        <w:t>. We are actively exploring different routes of administration (ROAs) as well as different infusion- and injection-based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methods for delivering our AAV-based therapies. We have designed a new catheter to support more targeted delivery and more efficient uptake of therapeutic payloads in the heart. We believe our discoveries in drug delivery can help widen the therapeutic index of our product candidates by reducing the dose required for a therapeutic benefit.</w:t>
      </w:r>
    </w:p>
    <w:p>
      <w:pPr>
        <w:spacing w:after="0" w:line="92" w:lineRule="exact"/>
        <w:rPr>
          <w:rFonts w:ascii="Arial" w:cs="Arial" w:eastAsia="Arial" w:hAnsi="Arial"/>
          <w:sz w:val="18"/>
          <w:szCs w:val="18"/>
          <w:color w:val="auto"/>
        </w:rPr>
      </w:pPr>
    </w:p>
    <w:p>
      <w:pPr>
        <w:ind w:left="1080" w:right="60" w:hanging="343"/>
        <w:spacing w:after="0" w:line="270"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Manufacturing</w:t>
      </w:r>
      <w:r>
        <w:rPr>
          <w:rFonts w:ascii="Arial" w:cs="Arial" w:eastAsia="Arial" w:hAnsi="Arial"/>
          <w:sz w:val="17"/>
          <w:szCs w:val="17"/>
          <w:color w:val="auto"/>
        </w:rPr>
        <w:t>. We have taken important steps towards internalizing both current Good Manufacturing Practice (cGMP) and non-GMP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AAV manufacturing capabilities to support our emerging portfolio of gene therapy and cellular regeneration product candidates. This includes a growing in-house team of approximately 25 personnel that can support process development (PD), analytical development (AD), and quality assurance (QA) and quality control (QC). We have in-house personnel to support both upstream and downstream PD, AD, and QC efforts. We have produced non-clinical material involving both parental and novel AAV capsids at the 50L and 200L scales to support early research and IND-enabling studies in small and large animal models. We have initiated construction of a current cGMP facility in the San Francisco Bay Area near our research labs to enable smooth scale-up of production to support first-in-human (FIH) studies, initially at the 1000L scale. We expect this facility will be operational in the first half of 2022. We have in-licensed certain manufacturing intellectual property to support our programs.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Pipeline</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are advancing a deep and diverse pipeline of therapeutic programs intended for rare diseases, such as gHCM and gARVC, as well as for more prevalent forms of heart disease, such as DCM and HFpEF. We have exclusive worldwide rights to all of our programs. Our pipeline includes programs that have emerged from our internal efforts, including various ongoing early stage discovery efforts across our platforms, as well as programs that are based on intellectual property licensed from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144780</wp:posOffset>
            </wp:positionV>
            <wp:extent cx="5092065" cy="17487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9206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436"/>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USA Prevalence refers to the number of patients in the United States with the indication based on publicly available market data</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88"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MYBPC3 Program for gHCM</w:t>
      </w:r>
      <w:r>
        <w:rPr>
          <w:rFonts w:ascii="Arial" w:cs="Arial" w:eastAsia="Arial" w:hAnsi="Arial"/>
          <w:sz w:val="16"/>
          <w:szCs w:val="16"/>
          <w:color w:val="auto"/>
        </w:rPr>
        <w:t>. We are developing an AAV-based gene therapy designed to deliver a functional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MYBPC3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in adults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children with gHCM due to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estimated to affect more than 115,000 patients in the United States. These mutations can cause the heart walls of affected individuals to become significantly thickened, leading to fibrosis, abnormal heart rhythms, cardiac dysfunction, HF, and sudden cardiac death in some adults and children. Based on publicly available information to date, we believe there are currently no approved treatments that address the underlying genetic cause of this disease. Our product candidate, TN-201, uses a differentiated approach designed to enable robust expression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in the heart. We have demonstrated significant and durable disease reversal and survival benefit in a relevant murine model after a single dose, as well as tolerability in mice and non-human primates (NHPs). The program is currently in IND-enabling studies, and we have obtained feedback from multiple regulatory agencies, including the FDA, to guide our path to clinical development. TN-201 has also been granted Orphan Drug Designation (ODD) by the FDA. We intend to submit an IND or CTA to the FDA or EMA, respectively, in 2022.</w:t>
      </w:r>
    </w:p>
    <w:p>
      <w:pPr>
        <w:spacing w:after="0" w:line="73" w:lineRule="exact"/>
        <w:rPr>
          <w:rFonts w:ascii="Arial" w:cs="Arial" w:eastAsia="Arial" w:hAnsi="Arial"/>
          <w:sz w:val="16"/>
          <w:szCs w:val="16"/>
          <w:color w:val="auto"/>
        </w:rPr>
      </w:pPr>
    </w:p>
    <w:p>
      <w:pPr>
        <w:ind w:left="1080" w:right="100" w:hanging="532"/>
        <w:spacing w:after="0" w:line="271"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HDAC6i Program for HFpEF</w:t>
      </w:r>
      <w:r>
        <w:rPr>
          <w:rFonts w:ascii="Arial" w:cs="Arial" w:eastAsia="Arial" w:hAnsi="Arial"/>
          <w:sz w:val="17"/>
          <w:szCs w:val="17"/>
          <w:color w:val="auto"/>
        </w:rPr>
        <w:t>. We are developing an HDAC6i small molecule for various forms of HF, including HFpEF. This disease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involves systemic inflammation, left ventricular hypertrophy, fibrosis, and diastolic dysfunction resulting in high morbidity and mortality in affected individuals. HFpEF is one of the greatest areas of unmet need in heart disease with more than three million patients in the United States and currently no approved disease-modifying therapies. Our product candidate, TYA-11631, is a differentiated compound with unique chemical structures and high specificity for HDAC6. We have demonstrated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 of our HDAC6i molecules in multiple animal models, including significant disease reversal in two different models of HFpEF as well as tolerability in mice and NHPs. Based on publicly available information to date, we believe TYA-11631 is the first HDAC6i being developed for heart disease. We have initiated IND-enabling activities and intend to submit an IND to the FDA in 2022.</w:t>
      </w:r>
    </w:p>
    <w:p>
      <w:pPr>
        <w:spacing w:after="0" w:line="83" w:lineRule="exact"/>
        <w:rPr>
          <w:rFonts w:ascii="Arial" w:cs="Arial" w:eastAsia="Arial" w:hAnsi="Arial"/>
          <w:sz w:val="17"/>
          <w:szCs w:val="17"/>
          <w:color w:val="auto"/>
        </w:rPr>
      </w:pPr>
    </w:p>
    <w:p>
      <w:pPr>
        <w:ind w:left="1080" w:hanging="532"/>
        <w:spacing w:after="0" w:line="270"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PKP2 Program for gARVC</w:t>
      </w:r>
      <w:r>
        <w:rPr>
          <w:rFonts w:ascii="Arial" w:cs="Arial" w:eastAsia="Arial" w:hAnsi="Arial"/>
          <w:sz w:val="17"/>
          <w:szCs w:val="17"/>
          <w:color w:val="auto"/>
        </w:rPr>
        <w:t>. We are developing an AAV-based gene therapy designed to deliver a functional</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PKP2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 in adults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gARVC due to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mutation, estimated to affect more than 70,000 patients in the United States. These mutations can cause enlargement of the right ventricle (RV) in affected individuals, replacement of heart muscle with fibrotic tissue and fatty deposits, and severely abnormal heart rhythms (arrhythmia) that can make it harder for the heart to function properly and result in sudden cardiac death in some adults and children. Based on publicly available information to date, we believe there are currently no approved treatments that address the underlying genetic cause of this disease. We have demonstrated prevention of disease progression and survival benefit in a murine model after a single dose. Based on publicly available information to date, we believe these data are the first known demonstrations of durable disease modification, survival benefit, and prevention of arrhythmia using an AAV:PKP2 gene therapy construct. This program is currently at the candidate selection stage.</w:t>
      </w:r>
    </w:p>
    <w:p>
      <w:pPr>
        <w:spacing w:after="0" w:line="86" w:lineRule="exact"/>
        <w:rPr>
          <w:rFonts w:ascii="Arial" w:cs="Arial" w:eastAsia="Arial" w:hAnsi="Arial"/>
          <w:sz w:val="17"/>
          <w:szCs w:val="17"/>
          <w:color w:val="auto"/>
        </w:rPr>
      </w:pPr>
    </w:p>
    <w:p>
      <w:pPr>
        <w:ind w:left="1080" w:hanging="532"/>
        <w:spacing w:after="0" w:line="289"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DWORF Program for DCM</w:t>
      </w:r>
      <w:r>
        <w:rPr>
          <w:rFonts w:ascii="Arial" w:cs="Arial" w:eastAsia="Arial" w:hAnsi="Arial"/>
          <w:sz w:val="16"/>
          <w:szCs w:val="16"/>
          <w:color w:val="auto"/>
        </w:rPr>
        <w:t>. We are developing an AAV-based gene therapy designed to deliver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DWORF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for patients with DCM,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estimated to affect about one million patients in the United States. DCM is a progressive and life-threatening disease that causes left ventricle (LV) enlargement, LV wall thinning, insufficient contraction, reduced blood flow, ventricular arrhythmias, and can result in premature morbidity and need for heart transplant in affected individuals. DWORF is a muscle-specific micro-peptide first discovered by our co-founder Eric Olson, Ph.D. that acts on the sarcoplasmic/endoplasmic reticulum Ca2+ ATPase 2a (SERCA2a) pathway, widely considered to be a promising target in HF. We and our academic collaborators have accumulated significant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proof-of-concept evidence for the therapeutic benefit of over-expression of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in multiple murine models, including models of gDCM and HFrEF, as well as tolerability in murine models. Based on publicly available information to date, we believe these are the first demonstrations of the potential benefit of AAV:DWORF. This program is currently at the candidate selection stage.</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69"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Reprogramming Program for HF due to prior MI</w:t>
      </w:r>
      <w:r>
        <w:rPr>
          <w:rFonts w:ascii="Arial" w:cs="Arial" w:eastAsia="Arial" w:hAnsi="Arial"/>
          <w:sz w:val="17"/>
          <w:szCs w:val="17"/>
          <w:color w:val="auto"/>
        </w:rPr>
        <w:t>. We are developing an AAV-based approach to cellular regeneration that involves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converting (or reprogramming) existing CFs within the heart to turn into new CMs and to replace cells permanently lost due to MI. There are estimated to be more than four million patients in the United States living with HF due to prior MI. The loss of CMs in affected individuals permanently impairs heart contraction, leading to HF and potentially fatal arrhythmias, and the death of approximately 5% to 10% of MI survivors within the first year. There are currently no approved treatments that address the underlying loss of heart tissue. The potential utility of our unique approach to creating new CMs was first demonstrated by our co-founder Deepak Srivastava, M.D. We have discovered a proprietary combination of three genes that can drive robust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reprogramming of CFs to CMs when delivered together in a single AAV capsid. We have demonstrated significant and durable disease reversal as well as tolerability in multiple small and large animal models. Based on publicly available information to date, we believe our results in a pig model of HF due to prior MI represent the first-ever successful demonstration of the potential benefit of this approach in a human-sized heart. This program is currently at the candidate selection stage.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Management Team and Investors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were incorporated in August 2016 by The Column Group, in partnership with leading scientific and clinical researchers in cardiovascular genetics and muscle biology at Gladstone Institutes and UTSW. Since our founding, we have attracted a talented group of industry experts and scientists as part of a highly innovative organization that, as of June 30, 2021, comprises over 85 employees.</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are led by a team of executives and directors with significant experience in the discovery, development, manufacture, and commercialization of novel therapeutics, specifically in the fields of rare diseases, gene therapies, and heart disease. Faraz Ali, M.B.A., our Chief Executive Officer since 2018, previously served as the Chief Business Officer at REGENXBIO, and prior to that, accumulated relevant experiences at industry-leading companies in gene therapy and orphan drug development including at bluebird bio and Genzyme Corporation.</w:t>
      </w:r>
    </w:p>
    <w:p>
      <w:pPr>
        <w:spacing w:after="0" w:line="17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Since inception, we have raised approximately $248 million in equity financing to date from leading venture, strategic and public investors, including The Column Group, Casdin Capital, SymBiosis II, LLC, Fidelity Management &amp; Research Company, RTW Investments, and others who share our vision to build a highly innovative, integrated biotechnology company delivering next-generation therapies that address the underlying causes of heart disease.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Heart Disease</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Heart disease is the leading cause of death in the world, accounting for more deaths than from all cancers combined. In the United States, more than 30 million adults, or approximately 12% of the adult population, are diagnosed with heart disease. In addition, an adult dies from a cardiovascular-related health condition, such as a heart attack every 36 seconds, a gruesome statistic that translates to 31% of all deaths in the United States each year. The picture is equally bleak at the other end of the age spectrum, as approximately 35,000 children are born in the United States every year with CHD, and CHD is the leading cause of birth defect-related morbidity and mortality. There are over 250 known genetically defined disorders where the primary source of morbidity and mortality involves the heart, but there are few approved products that target the underlying cause of such diseases. Recent analysis has shown that after decades of reduction in the mortality rate due to HF, these rates are once again rising, highlighting the need for improved treatments.</w:t>
      </w:r>
    </w:p>
    <w:p>
      <w:pPr>
        <w:spacing w:after="0" w:line="19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heart is a complex organ due to its biological structure as well as its tightly regulated and coordinated electrophysiological and biomechanical properties. Heart disease comes in many forms, affects individuals at many ages, and is a result of many factors. As depicted in the below table, heart disease can be generally categorized as either directly resulting from problems associated with the heart organ, for example, HF, arrhythmia and heart valve disease; or indirectly resulting from problems associated with the vasculature, for example, coronary artery disease (CAD). In each case, the underlying cause could be genetic, or due to normal aging or due to environmental factors.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illustrates four broad categories of heart disease:</w:t>
      </w:r>
    </w:p>
    <w:p>
      <w:pPr>
        <w:spacing w:after="0" w:line="246" w:lineRule="exact"/>
        <w:rPr>
          <w:sz w:val="20"/>
          <w:szCs w:val="20"/>
          <w:color w:val="auto"/>
        </w:rPr>
      </w:pPr>
    </w:p>
    <w:tbl>
      <w:tblPr>
        <w:tblLayout w:type="fixed"/>
        <w:tblInd w:w="110" w:type="dxa"/>
        <w:tblCellMar>
          <w:top w:w="0" w:type="dxa"/>
          <w:left w:w="0" w:type="dxa"/>
          <w:bottom w:w="0" w:type="dxa"/>
          <w:right w:w="0" w:type="dxa"/>
        </w:tblCellMar>
      </w:tblPr>
      <w:tr>
        <w:trPr>
          <w:trHeight w:val="256"/>
        </w:trPr>
        <w:tc>
          <w:tcPr>
            <w:tcW w:w="3700" w:type="dxa"/>
            <w:vAlign w:val="bottom"/>
            <w:tcBorders>
              <w:top w:val="single" w:sz="8" w:color="auto"/>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4"/>
                <w:szCs w:val="14"/>
                <w:b w:val="1"/>
                <w:bCs w:val="1"/>
                <w:color w:val="auto"/>
              </w:rPr>
              <w:t>CATEGORIES</w:t>
            </w:r>
          </w:p>
        </w:tc>
        <w:tc>
          <w:tcPr>
            <w:tcW w:w="7340" w:type="dxa"/>
            <w:vAlign w:val="bottom"/>
            <w:tcBorders>
              <w:top w:val="single" w:sz="8" w:color="auto"/>
              <w:bottom w:val="single" w:sz="8" w:color="auto"/>
              <w:right w:val="single" w:sz="8" w:color="auto"/>
            </w:tcBorders>
          </w:tcPr>
          <w:p>
            <w:pPr>
              <w:ind w:left="3240"/>
              <w:spacing w:after="0"/>
              <w:rPr>
                <w:sz w:val="20"/>
                <w:szCs w:val="20"/>
                <w:color w:val="auto"/>
              </w:rPr>
            </w:pPr>
            <w:r>
              <w:rPr>
                <w:rFonts w:ascii="Arial" w:cs="Arial" w:eastAsia="Arial" w:hAnsi="Arial"/>
                <w:sz w:val="14"/>
                <w:szCs w:val="14"/>
                <w:b w:val="1"/>
                <w:bCs w:val="1"/>
                <w:color w:val="auto"/>
              </w:rPr>
              <w:t>DESCRIPTION</w:t>
            </w:r>
          </w:p>
        </w:tc>
      </w:tr>
      <w:tr>
        <w:trPr>
          <w:trHeight w:val="236"/>
        </w:trPr>
        <w:tc>
          <w:tcPr>
            <w:tcW w:w="3700" w:type="dxa"/>
            <w:vAlign w:val="bottom"/>
            <w:tcBorders>
              <w:left w:val="single" w:sz="8" w:color="auto"/>
              <w:right w:val="single" w:sz="8" w:color="auto"/>
            </w:tcBorders>
          </w:tcPr>
          <w:p>
            <w:pPr>
              <w:spacing w:after="0"/>
              <w:rPr>
                <w:sz w:val="20"/>
                <w:szCs w:val="20"/>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HF is a heart condition in which the heart’s pumping capacity is not adequate to meet the</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1"/>
              </w:rPr>
              <w:t>demands for blood and oxygen required by the rest of the body. HF can be the result of a range of</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conditions that lead to weakening of the heart muscle. Conditions that can be associated with the</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6"/>
              </w:rPr>
              <w:t>development of HF include a heart attack, uncontrolled high blood pressure, congenital heart</w:t>
            </w:r>
          </w:p>
        </w:tc>
      </w:tr>
      <w:tr>
        <w:trPr>
          <w:trHeight w:val="230"/>
        </w:trPr>
        <w:tc>
          <w:tcPr>
            <w:tcW w:w="3700" w:type="dxa"/>
            <w:vAlign w:val="bottom"/>
            <w:tcBorders>
              <w:left w:val="single" w:sz="8" w:color="auto"/>
              <w:right w:val="single" w:sz="8" w:color="auto"/>
            </w:tcBorders>
          </w:tcPr>
          <w:p>
            <w:pPr>
              <w:spacing w:after="0"/>
              <w:rPr>
                <w:sz w:val="20"/>
                <w:szCs w:val="20"/>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disease (heart defects present at birth), and genetic cardiomyopathies.</w:t>
            </w:r>
          </w:p>
        </w:tc>
      </w:tr>
      <w:tr>
        <w:trPr>
          <w:trHeight w:val="561"/>
        </w:trPr>
        <w:tc>
          <w:tcPr>
            <w:tcW w:w="370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3"/>
              </w:rPr>
              <w:t>Heart Failure (HF)</w:t>
            </w:r>
          </w:p>
        </w:tc>
        <w:tc>
          <w:tcPr>
            <w:tcW w:w="7340" w:type="dxa"/>
            <w:vAlign w:val="bottom"/>
            <w:tcBorders>
              <w:bottom w:val="single" w:sz="8" w:color="auto"/>
              <w:right w:val="single" w:sz="8" w:color="auto"/>
            </w:tcBorders>
          </w:tcPr>
          <w:p>
            <w:pPr>
              <w:spacing w:after="0"/>
              <w:rPr>
                <w:sz w:val="24"/>
                <w:szCs w:val="24"/>
                <w:color w:val="auto"/>
              </w:rPr>
            </w:pPr>
          </w:p>
        </w:tc>
      </w:tr>
      <w:tr>
        <w:trPr>
          <w:trHeight w:val="404"/>
        </w:trPr>
        <w:tc>
          <w:tcPr>
            <w:tcW w:w="3700" w:type="dxa"/>
            <w:vAlign w:val="bottom"/>
            <w:tcBorders>
              <w:left w:val="single" w:sz="8" w:color="auto"/>
              <w:right w:val="single" w:sz="8" w:color="auto"/>
            </w:tcBorders>
          </w:tcPr>
          <w:p>
            <w:pPr>
              <w:spacing w:after="0"/>
              <w:rPr>
                <w:sz w:val="24"/>
                <w:szCs w:val="24"/>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Arrhythmia is one of the most common heart conditions and is described as any change in the</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heart’s normal electrical impulses. Electrical impulses from within the heart initiate each</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heartbeat and ensure its normal pumping function. Arrhythmias can cause the heart to beat too</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quickly, too slowly or irregularly, resulting in a broad range of symptoms as well as sudden death</w:t>
            </w:r>
          </w:p>
        </w:tc>
      </w:tr>
      <w:tr>
        <w:trPr>
          <w:trHeight w:val="230"/>
        </w:trPr>
        <w:tc>
          <w:tcPr>
            <w:tcW w:w="3700" w:type="dxa"/>
            <w:vAlign w:val="bottom"/>
            <w:tcBorders>
              <w:left w:val="single" w:sz="8" w:color="auto"/>
              <w:right w:val="single" w:sz="8" w:color="auto"/>
            </w:tcBorders>
          </w:tcPr>
          <w:p>
            <w:pPr>
              <w:spacing w:after="0"/>
              <w:rPr>
                <w:sz w:val="20"/>
                <w:szCs w:val="20"/>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and stroke.</w:t>
            </w:r>
          </w:p>
        </w:tc>
      </w:tr>
      <w:tr>
        <w:trPr>
          <w:trHeight w:val="561"/>
        </w:trPr>
        <w:tc>
          <w:tcPr>
            <w:tcW w:w="370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6"/>
              </w:rPr>
              <w:t>Arrhythmia</w:t>
            </w:r>
          </w:p>
        </w:tc>
        <w:tc>
          <w:tcPr>
            <w:tcW w:w="7340" w:type="dxa"/>
            <w:vAlign w:val="bottom"/>
            <w:tcBorders>
              <w:bottom w:val="single" w:sz="8" w:color="auto"/>
              <w:right w:val="single" w:sz="8" w:color="auto"/>
            </w:tcBorders>
          </w:tcPr>
          <w:p>
            <w:pPr>
              <w:spacing w:after="0"/>
              <w:rPr>
                <w:sz w:val="24"/>
                <w:szCs w:val="24"/>
                <w:color w:val="auto"/>
              </w:rPr>
            </w:pPr>
          </w:p>
        </w:tc>
      </w:tr>
      <w:tr>
        <w:trPr>
          <w:trHeight w:val="404"/>
        </w:trPr>
        <w:tc>
          <w:tcPr>
            <w:tcW w:w="3700" w:type="dxa"/>
            <w:vAlign w:val="bottom"/>
            <w:tcBorders>
              <w:left w:val="single" w:sz="8" w:color="auto"/>
              <w:right w:val="single" w:sz="8" w:color="auto"/>
            </w:tcBorders>
          </w:tcPr>
          <w:p>
            <w:pPr>
              <w:spacing w:after="0"/>
              <w:rPr>
                <w:sz w:val="24"/>
                <w:szCs w:val="24"/>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Heart value disease occurs when there is a problem with one or more of the four valves that</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5"/>
              </w:rPr>
              <w:t>normally work in unison to make sure that blood is pumped in the proper direction through the</w:t>
            </w:r>
          </w:p>
        </w:tc>
      </w:tr>
      <w:tr>
        <w:trPr>
          <w:trHeight w:val="230"/>
        </w:trPr>
        <w:tc>
          <w:tcPr>
            <w:tcW w:w="3700" w:type="dxa"/>
            <w:vAlign w:val="bottom"/>
            <w:tcBorders>
              <w:left w:val="single" w:sz="8" w:color="auto"/>
              <w:right w:val="single" w:sz="8" w:color="auto"/>
            </w:tcBorders>
          </w:tcPr>
          <w:p>
            <w:pPr>
              <w:spacing w:after="0"/>
              <w:rPr>
                <w:sz w:val="20"/>
                <w:szCs w:val="20"/>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four chambers of the heart.</w:t>
            </w:r>
          </w:p>
        </w:tc>
      </w:tr>
      <w:tr>
        <w:trPr>
          <w:trHeight w:val="993"/>
        </w:trPr>
        <w:tc>
          <w:tcPr>
            <w:tcW w:w="3700" w:type="dxa"/>
            <w:vAlign w:val="bottom"/>
            <w:tcBorders>
              <w:left w:val="single" w:sz="8" w:color="auto"/>
              <w:bottom w:val="single" w:sz="8" w:color="auto"/>
              <w:right w:val="single" w:sz="8" w:color="auto"/>
            </w:tcBorders>
          </w:tcPr>
          <w:p>
            <w:pPr>
              <w:jc w:val="center"/>
              <w:ind w:left="74"/>
              <w:spacing w:after="0"/>
              <w:rPr>
                <w:sz w:val="20"/>
                <w:szCs w:val="20"/>
                <w:color w:val="auto"/>
              </w:rPr>
            </w:pPr>
            <w:r>
              <w:rPr>
                <w:rFonts w:ascii="Arial" w:cs="Arial" w:eastAsia="Arial" w:hAnsi="Arial"/>
                <w:sz w:val="18"/>
                <w:szCs w:val="18"/>
                <w:color w:val="auto"/>
                <w:w w:val="88"/>
              </w:rPr>
              <w:t>Heart Valve Disease</w:t>
            </w:r>
          </w:p>
        </w:tc>
        <w:tc>
          <w:tcPr>
            <w:tcW w:w="7340" w:type="dxa"/>
            <w:vAlign w:val="bottom"/>
            <w:tcBorders>
              <w:bottom w:val="single" w:sz="8" w:color="auto"/>
              <w:right w:val="single" w:sz="8" w:color="auto"/>
            </w:tcBorders>
          </w:tcPr>
          <w:p>
            <w:pPr>
              <w:spacing w:after="0"/>
              <w:rPr>
                <w:sz w:val="24"/>
                <w:szCs w:val="24"/>
                <w:color w:val="auto"/>
              </w:rPr>
            </w:pPr>
          </w:p>
        </w:tc>
      </w:tr>
      <w:tr>
        <w:trPr>
          <w:trHeight w:val="404"/>
        </w:trPr>
        <w:tc>
          <w:tcPr>
            <w:tcW w:w="3700" w:type="dxa"/>
            <w:vAlign w:val="bottom"/>
            <w:tcBorders>
              <w:left w:val="single" w:sz="8" w:color="auto"/>
              <w:right w:val="single" w:sz="8" w:color="auto"/>
            </w:tcBorders>
          </w:tcPr>
          <w:p>
            <w:pPr>
              <w:spacing w:after="0"/>
              <w:rPr>
                <w:sz w:val="24"/>
                <w:szCs w:val="24"/>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0"/>
              </w:rPr>
              <w:t>CAD is among the most common type of heart disease and occurs when plaque grows in the walls</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of the coronary arteries, limiting the blood flow to the heart’s muscle. CAD can ultimately lead to</w:t>
            </w:r>
          </w:p>
        </w:tc>
      </w:tr>
      <w:tr>
        <w:trPr>
          <w:trHeight w:val="230"/>
        </w:trPr>
        <w:tc>
          <w:tcPr>
            <w:tcW w:w="3700" w:type="dxa"/>
            <w:vAlign w:val="bottom"/>
            <w:tcBorders>
              <w:left w:val="single" w:sz="8" w:color="auto"/>
              <w:right w:val="single" w:sz="8" w:color="auto"/>
            </w:tcBorders>
          </w:tcPr>
          <w:p>
            <w:pPr>
              <w:spacing w:after="0"/>
              <w:rPr>
                <w:sz w:val="20"/>
                <w:szCs w:val="20"/>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 heart attack.</w:t>
            </w:r>
          </w:p>
        </w:tc>
      </w:tr>
      <w:tr>
        <w:trPr>
          <w:trHeight w:val="992"/>
        </w:trPr>
        <w:tc>
          <w:tcPr>
            <w:tcW w:w="3700" w:type="dxa"/>
            <w:vAlign w:val="bottom"/>
            <w:tcBorders>
              <w:left w:val="single" w:sz="8" w:color="auto"/>
              <w:bottom w:val="single" w:sz="8" w:color="auto"/>
              <w:right w:val="single" w:sz="8" w:color="auto"/>
            </w:tcBorders>
          </w:tcPr>
          <w:p>
            <w:pPr>
              <w:jc w:val="center"/>
              <w:ind w:left="74"/>
              <w:spacing w:after="0"/>
              <w:rPr>
                <w:sz w:val="20"/>
                <w:szCs w:val="20"/>
                <w:color w:val="auto"/>
              </w:rPr>
            </w:pPr>
            <w:r>
              <w:rPr>
                <w:rFonts w:ascii="Arial" w:cs="Arial" w:eastAsia="Arial" w:hAnsi="Arial"/>
                <w:sz w:val="18"/>
                <w:szCs w:val="18"/>
                <w:color w:val="auto"/>
                <w:w w:val="92"/>
              </w:rPr>
              <w:t>Coronary Artery Disease (CAD)</w:t>
            </w:r>
          </w:p>
        </w:tc>
        <w:tc>
          <w:tcPr>
            <w:tcW w:w="73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-4603115</wp:posOffset>
            </wp:positionV>
            <wp:extent cx="591185" cy="8229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1185" cy="82296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-3420110</wp:posOffset>
            </wp:positionV>
            <wp:extent cx="968375" cy="8229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68375" cy="82296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-2237105</wp:posOffset>
            </wp:positionV>
            <wp:extent cx="788670" cy="8229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88670" cy="82296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-1054100</wp:posOffset>
            </wp:positionV>
            <wp:extent cx="591185" cy="8229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1185" cy="822960"/>
                    </a:xfrm>
                    <a:prstGeom prst="rect">
                      <a:avLst/>
                    </a:prstGeom>
                    <a:noFill/>
                  </pic:spPr>
                </pic:pic>
              </a:graphicData>
            </a:graphic>
          </wp:anchor>
        </w:drawing>
      </w:r>
    </w:p>
    <w:p>
      <w:pPr>
        <w:spacing w:after="0" w:line="182"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While there is significant unmet need in the field of heart disease, historically there have been challenges in developing novel therapies for the different forms of heart disease. We are currently focused on HF and arrhythmia, particularly when these diseases can be traced to some underlying genetic defect.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Challenges in the Development of Novel Therapies for Heart Disease</w:t>
      </w:r>
    </w:p>
    <w:p>
      <w:pPr>
        <w:spacing w:after="0" w:line="131" w:lineRule="exact"/>
        <w:rPr>
          <w:sz w:val="20"/>
          <w:szCs w:val="20"/>
          <w:color w:val="auto"/>
        </w:rPr>
      </w:pPr>
    </w:p>
    <w:p>
      <w:pPr>
        <w:ind w:left="1080" w:right="20" w:hanging="532"/>
        <w:spacing w:after="0" w:line="266"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Most development efforts focus on treating symptoms rather than targeting the underlying causes of diseases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First-line therapies for HF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generic small molecules, including ACE inhibitors, angiotensin II receptor blockers, beta blockers, aldosterone antagonists, and diuretics, are most commonly used, irrespective of the underlying cause of the HF.</w:t>
      </w:r>
    </w:p>
    <w:p>
      <w:pPr>
        <w:spacing w:after="0" w:line="81" w:lineRule="exact"/>
        <w:rPr>
          <w:rFonts w:ascii="Arial" w:cs="Arial" w:eastAsia="Arial" w:hAnsi="Arial"/>
          <w:sz w:val="18"/>
          <w:szCs w:val="18"/>
          <w:color w:val="auto"/>
        </w:rPr>
      </w:pPr>
    </w:p>
    <w:p>
      <w:pPr>
        <w:ind w:left="1080" w:right="400" w:hanging="532"/>
        <w:spacing w:after="0" w:line="282"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Identifying new disease-modifying targets is challenging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a high reliance on animal models that are not always predictive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heart disease. There is only a 4% to 7% overall probability of</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successful drug development from Phase 1 through commercialization for heart disease, among the lowest of all therapeutic areas.</w:t>
      </w:r>
    </w:p>
    <w:p>
      <w:pPr>
        <w:spacing w:after="0" w:line="138" w:lineRule="exact"/>
        <w:rPr>
          <w:sz w:val="20"/>
          <w:szCs w:val="20"/>
          <w:color w:val="auto"/>
        </w:rPr>
      </w:pPr>
    </w:p>
    <w:p>
      <w:pPr>
        <w:ind w:left="1080" w:right="60" w:hanging="532"/>
        <w:spacing w:after="0" w:line="256"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Genetic diagnosis and genetic counseling are limited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patients presenting with heart disease do not currently obtain a genetic test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of their diagnosis. Given there are almost no therapies that are targeted at the underlying genetic cause of the disease, physicians may believe a genetic test will not influence treatment and management decisions. Additionally, even when patients do receive a genetic diagnosis, genetic counseling and family screening are not commonly employed. As a result, family members who may be at risk of disease are not consistently identified early. Additionally, this also limits the availability of patients for clinical trials of genetic medicines in heart disease.</w:t>
      </w:r>
    </w:p>
    <w:p>
      <w:pPr>
        <w:spacing w:after="0" w:line="9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Regenerative therapy science is still in its early stages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attempts at developing cell and gene therapies for heart disease have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successful. Much effort was devoted to regenerative medicine approaches using autologous (from self) or allogeneic (from donors) cell sources, but after more than 150 clinical studies involving thousands of patients over the last two decades, those efforts have mostly ended in failure. Factors that likely contributed to these failures include (1) an insufficient number of new cells surviving rejection by the immune system, (2) only modest efficacy from the surviving cells, and (3) arrhythmia caused by abnormal electric activity and connections between new cells and the existing cells.</w:t>
      </w:r>
    </w:p>
    <w:p>
      <w:pPr>
        <w:spacing w:after="0" w:line="92" w:lineRule="exact"/>
        <w:rPr>
          <w:rFonts w:ascii="Arial" w:cs="Arial" w:eastAsia="Arial" w:hAnsi="Arial"/>
          <w:sz w:val="18"/>
          <w:szCs w:val="18"/>
          <w:color w:val="auto"/>
        </w:rPr>
      </w:pPr>
    </w:p>
    <w:p>
      <w:pPr>
        <w:ind w:left="1080" w:right="20" w:hanging="532"/>
        <w:spacing w:after="0" w:line="25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Gene therapy science for the heart is still maturing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have been few attempts at gene therapy for heart disease. Most early gene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therapy efforts used adenoviruses instead of AAV. The most well-known AAV-based effort involved the use of AAV1 to deliver SERCA2a. After promising preclinical and early clinical results, this effort was discontinued following an unsuccessful Phase 2b study. These first-generation gene therapy efforts for the heart did not have the benefit of more recent advances in capsids, promoters, delivery, and manufacturing.</w:t>
      </w:r>
    </w:p>
    <w:p>
      <w:pPr>
        <w:spacing w:after="0" w:line="88"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requirements are stringent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Historically, cardiovascular drug development has involved large clinical studies to demonstrate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survival benefit over and above standard-of-care, and with very low tolerance for safety risks. Endpoints focused on functional improvements, such as change in ejection fraction (EF), have generally not been sufficient for FDA approval. This translates to a need for very large, long, and expensive randomized and placebo-controlled clinical studies. The average size of a clinical study used to support treatment recommendations for HF can involve approximately 2,000 to 8,000 patients. As an example, studies for therapies intended to treat diabetes may require safety trials involving 5,000 to 15,000 patients to rule out cardiovascular risk.</w:t>
      </w:r>
    </w:p>
    <w:p>
      <w:pPr>
        <w:spacing w:after="0" w:line="65" w:lineRule="exact"/>
        <w:rPr>
          <w:rFonts w:ascii="Arial" w:cs="Arial" w:eastAsia="Arial" w:hAnsi="Arial"/>
          <w:sz w:val="16"/>
          <w:szCs w:val="16"/>
          <w:color w:val="auto"/>
        </w:rPr>
      </w:pPr>
    </w:p>
    <w:p>
      <w:pPr>
        <w:ind w:left="1080" w:right="360" w:hanging="532"/>
        <w:spacing w:after="0" w:line="314"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Costs of development are high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part due to the historical need for very large clinical studies, drug development for new therapies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heart disease has been very long and expensive. A recent analysis demonstrated that, on average, biopharmaceutical companies spent $1 billion in clinical development per cardiovascular drug product approval, the highest ratio among all therapeutic areas.</w:t>
      </w:r>
    </w:p>
    <w:p>
      <w:pPr>
        <w:spacing w:after="0" w:line="47" w:lineRule="exact"/>
        <w:rPr>
          <w:rFonts w:ascii="Arial" w:cs="Arial" w:eastAsia="Arial" w:hAnsi="Arial"/>
          <w:sz w:val="16"/>
          <w:szCs w:val="16"/>
          <w:color w:val="auto"/>
        </w:rPr>
      </w:pPr>
    </w:p>
    <w:p>
      <w:pPr>
        <w:ind w:left="1080" w:right="60" w:hanging="532"/>
        <w:spacing w:after="0" w:line="25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Patient access barriers are challenging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being the leading cause of death, heart disease is one of the largest and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expensive categories for payers. The United States spends approximately $317 billion per year on heart disease alone, or nearly 17% of all U.S. healthcare spending, representing the most expensive category of chronic diseases to treat. The total direct and indirect costs of HF alone are expected to increase to $70 billion by 2030. As a result, heart disease is an area of focus for cost-containment and price sensitivity for new therapies for both private and public payers.</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These factors have contributed to a decline in successful heart disease drug development. Between 2000 and 2009, FDA approvals for new cardiovascular drug products declined by approximately 33% compared with the prior decade. While heart disease is the leading cause of death in the world, fewer resources have been mobilized in support of new therapies for heart disease relative to investment in other therapeutic areas, such as oncology and diseases of the central nervous system.</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However, there are recent signs of improvement. There is increasing insight into the genetic causes of heart disease and a greater push for more consistent genetic testing and family counseling supported by (1) updated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clinical practice guidelines such as 2020 American College of Cardiology (ACC) and American Heart Association (AHA) recommendations for patients with hypertrophic cardiomyopathy (HCM), (2) the push by patient advocacy organizations for mandatory screening of young athletes, and (3) increased availability of accessible genetic testing covering more than 150 relevant genes associated with inherited arrhythmia and cardiomyopathy conditions.</w:t>
      </w:r>
    </w:p>
    <w:p>
      <w:pPr>
        <w:spacing w:after="0" w:line="2" w:lineRule="exact"/>
        <w:rPr>
          <w:sz w:val="20"/>
          <w:szCs w:val="20"/>
          <w:color w:val="auto"/>
        </w:rPr>
      </w:pPr>
    </w:p>
    <w:p>
      <w:pPr>
        <w:ind w:left="120" w:right="480"/>
        <w:spacing w:after="0" w:line="260" w:lineRule="auto"/>
        <w:rPr>
          <w:sz w:val="20"/>
          <w:szCs w:val="20"/>
          <w:color w:val="auto"/>
        </w:rPr>
      </w:pPr>
      <w:r>
        <w:rPr>
          <w:rFonts w:ascii="Arial" w:cs="Arial" w:eastAsia="Arial" w:hAnsi="Arial"/>
          <w:sz w:val="18"/>
          <w:szCs w:val="18"/>
          <w:color w:val="auto"/>
        </w:rPr>
        <w:t>There are also a small but growing number of examples of clinical success with precision medicine approaches in cardiology, including in genetic cardiomyopathies.</w:t>
      </w:r>
    </w:p>
    <w:p>
      <w:pPr>
        <w:spacing w:after="0" w:line="18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believe with the evolving understanding of heart disease in the scientific community and the general public, there are significant opportunities where we can benefit from and support the evolution towards more precise diagnosis, drug development, and treatment for heart disease, as depicted in the diagram below.</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Evolving Landscape of Heart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1342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60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goal is to become a leading, fully integrated biotechnology company delivering next-generation therapies that address the underlying causes of heart disease identified through our multi-modality product platforms. We are taking advantage of an expanded understanding of heart biology and advances in the science to discover, develop, manufacture and ultimately commercialize a deep and diverse pipeline of novel therapies. The key components of our strategy to achieve these goals are:</w:t>
      </w:r>
    </w:p>
    <w:p>
      <w:pPr>
        <w:spacing w:after="0" w:line="88" w:lineRule="exact"/>
        <w:rPr>
          <w:sz w:val="20"/>
          <w:szCs w:val="20"/>
          <w:color w:val="auto"/>
        </w:rPr>
      </w:pPr>
    </w:p>
    <w:p>
      <w:pPr>
        <w:ind w:left="1080" w:right="80" w:hanging="532"/>
        <w:spacing w:after="0" w:line="274" w:lineRule="auto"/>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Focus exclusively on heart disease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Heart disease is still the leading cause of death globally, more than all cancers combined,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unmet medical need remains high. We see significant opportunity to address this sizable market with our dedicated strategy. The heart is a complex organ to target, in part due to the tightly regulated and coordinated electrophysiological and biomechanical properties that can complicate delivery of effective therapies and necessitates a deep understanding of heart biology. Our laser focus leads to insights that underpin our foundational and differentiated capabilities to address challenges that have historically presented barriers to the successful development of novel therapies for the heart.</w:t>
      </w:r>
    </w:p>
    <w:p>
      <w:pPr>
        <w:spacing w:after="0" w:line="78" w:lineRule="exact"/>
        <w:rPr>
          <w:rFonts w:ascii="Arial" w:cs="Arial" w:eastAsia="Arial" w:hAnsi="Arial"/>
          <w:sz w:val="17"/>
          <w:szCs w:val="17"/>
          <w:color w:val="auto"/>
        </w:rPr>
      </w:pPr>
    </w:p>
    <w:p>
      <w:pPr>
        <w:ind w:left="1080" w:right="40" w:hanging="532"/>
        <w:spacing w:after="0" w:line="303"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Develop disease-modifying therapies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focused on developing disease-modifying and potentially life-saving novel therapies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the underlying causes of heart disease. We are particularly interested in areas where there is no current standard-of-care or where we believe the nature and the magnitude of the effect of our therapies will be significant relative to existing standards-of-care. For example, we believe our AAV-based gene therapies for genetically defined conditions have the potential to be curative after a single dose.</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93"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Discover novel therapies using three product platforms in parallel</w:t>
      </w:r>
      <w:r>
        <w:rPr>
          <w:rFonts w:ascii="Arial" w:cs="Arial" w:eastAsia="Arial" w:hAnsi="Arial"/>
          <w:sz w:val="16"/>
          <w:szCs w:val="16"/>
          <w:color w:val="auto"/>
        </w:rPr>
        <w:t>. To address the wide range of issues in heart diseases,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advancing science from three distinct product platforms in parallel. Each platform tackles different problems that have 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modality-agnostic fashion</w:t>
      </w:r>
      <w:r>
        <w:rPr>
          <w:rFonts w:ascii="Arial" w:cs="Arial" w:eastAsia="Arial" w:hAnsi="Arial"/>
          <w:sz w:val="16"/>
          <w:szCs w:val="16"/>
          <w:i w:val="1"/>
          <w:iCs w:val="1"/>
          <w:color w:val="auto"/>
        </w:rPr>
        <w:t>.</w:t>
      </w:r>
      <w:r>
        <w:rPr>
          <w:rFonts w:ascii="Arial" w:cs="Arial" w:eastAsia="Arial" w:hAnsi="Arial"/>
          <w:sz w:val="16"/>
          <w:szCs w:val="16"/>
          <w:color w:val="auto"/>
        </w:rPr>
        <w:t xml:space="preserve"> These platforms represent distinct but interrelated product engines that we believe will enable a robust pipeline of promising product candidates while also mitigating overall scientific risk.</w:t>
      </w:r>
    </w:p>
    <w:p>
      <w:pPr>
        <w:spacing w:after="0" w:line="65"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Target defined sub-populations of patients most likely to respond to our therapies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seek to focus on patient populations where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genetic cause of the disease is well-established, including genetic cardiomyopathies and other monogenic disorders. We also seek to use different strategies to sub-segment larger HF populations, such as HFrEF and HFpEF, through the use of genetics or biomarkers to improve selection of patients with attributes that are more suited to the specific mechanism of action. We believe this strategy can accelerate clinical development, reduce overall development costs, and improve the probability of clinical and regulatory success.</w:t>
      </w:r>
    </w:p>
    <w:p>
      <w:pPr>
        <w:spacing w:after="0" w:line="59" w:lineRule="exact"/>
        <w:rPr>
          <w:rFonts w:ascii="Arial" w:cs="Arial" w:eastAsia="Arial" w:hAnsi="Arial"/>
          <w:sz w:val="16"/>
          <w:szCs w:val="16"/>
          <w:color w:val="auto"/>
        </w:rPr>
      </w:pPr>
    </w:p>
    <w:p>
      <w:pPr>
        <w:ind w:left="1080" w:hanging="532"/>
        <w:spacing w:after="0" w:line="271"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Advance a deep and diverse pipeline of therapies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aim to advance potential product candidates from all three product platforms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concurrently, and the current pipeline already has at least one program from each product platform. The diversity of our programs illustrates the ambition of our vision and the versatility and depth of our scientific approaches. For example, from our Gene Therapy platform we are advancing AAV-based therapies for rare, genetic forms of heart disease including (i) TN-201, our MYBPC3 product candidate for gHCM, (ii) our PKP2 product candidate for gARVC and (iii) our DWORF product candidate for DCM and HFrEF; from our Cellular Regeneration platform, we are advancing the Reprogramming approach to creating new CMs to replace cells lost in patients with HF due to prior MI; and from our Precision Medicine platform, we are advancing TYA-11631, an HDAC6i small molecule intended to address HFpEF and gDCM. We are also working on several other undisclosed programs, particularly from our Gene Therapy and Precision Medicine platforms, that we believe will add to our future pipeline opportunities.</w:t>
      </w:r>
    </w:p>
    <w:p>
      <w:pPr>
        <w:spacing w:after="0" w:line="79" w:lineRule="exact"/>
        <w:rPr>
          <w:rFonts w:ascii="Arial" w:cs="Arial" w:eastAsia="Arial" w:hAnsi="Arial"/>
          <w:sz w:val="17"/>
          <w:szCs w:val="17"/>
          <w:color w:val="auto"/>
        </w:rPr>
      </w:pPr>
    </w:p>
    <w:p>
      <w:pPr>
        <w:ind w:left="1080" w:right="380" w:hanging="532"/>
        <w:spacing w:after="0" w:line="293"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Internalize and integrate core capabilities to support our innovation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five core capabilities that we believe will enable us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rapidly discover, develop, and deliver heart therapies. These capabilities include: (i) Disease Models, (ii) Capsid Engineering,</w:t>
      </w:r>
    </w:p>
    <w:p>
      <w:pPr>
        <w:spacing w:after="0" w:line="1" w:lineRule="exact"/>
        <w:rPr>
          <w:rFonts w:ascii="Arial" w:cs="Arial" w:eastAsia="Arial" w:hAnsi="Arial"/>
          <w:sz w:val="16"/>
          <w:szCs w:val="16"/>
          <w:color w:val="auto"/>
        </w:rPr>
      </w:pPr>
    </w:p>
    <w:p>
      <w:pPr>
        <w:ind w:left="1080" w:right="60"/>
        <w:spacing w:after="0" w:line="253" w:lineRule="auto"/>
        <w:rPr>
          <w:rFonts w:ascii="Arial" w:cs="Arial" w:eastAsia="Arial" w:hAnsi="Arial"/>
          <w:sz w:val="16"/>
          <w:szCs w:val="16"/>
          <w:color w:val="auto"/>
        </w:rPr>
      </w:pPr>
      <w:r>
        <w:rPr>
          <w:rFonts w:ascii="Arial" w:cs="Arial" w:eastAsia="Arial" w:hAnsi="Arial"/>
          <w:sz w:val="18"/>
          <w:szCs w:val="18"/>
          <w:color w:val="auto"/>
        </w:rPr>
        <w:t>(iii) Promoter and Regulatory Elements, (iv) Drug Delivery and (v) Manufacturing. We believe the integration of our know-how and innovations in these areas will allow us to generate scientific insights more rapidly and improve the probability of technical and regulatory success of our product candidates. The internalization of these capabilities also reduces our reliance on third parties—be it academic labs, CROs, or CDMOs—providing us better control of our timelines and costs.</w:t>
      </w:r>
    </w:p>
    <w:p>
      <w:pPr>
        <w:spacing w:after="0" w:line="98" w:lineRule="exact"/>
        <w:rPr>
          <w:rFonts w:ascii="Arial" w:cs="Arial" w:eastAsia="Arial" w:hAnsi="Arial"/>
          <w:sz w:val="16"/>
          <w:szCs w:val="16"/>
          <w:color w:val="auto"/>
        </w:rPr>
      </w:pPr>
    </w:p>
    <w:p>
      <w:pPr>
        <w:ind w:left="1080" w:right="80" w:hanging="532"/>
        <w:spacing w:after="0" w:line="296"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Become a fully integrated biopharmaceutical company with commercial capabilities. </w:t>
      </w:r>
      <w:r>
        <w:rPr>
          <w:rFonts w:ascii="Arial" w:cs="Arial" w:eastAsia="Arial" w:hAnsi="Arial"/>
          <w:sz w:val="16"/>
          <w:szCs w:val="16"/>
          <w:color w:val="auto"/>
        </w:rPr>
        <w:t>We aim to discover, develop, manufacture,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eventually commercialize therapies. We believe this strategy can make us a partner of choice for academics and larger companies alike who wish to access deep expertise in next generation therapies for heart disease. We also strategically evaluate collaborations and partnerships with biopharmaceutical companies that may have more robust and complimentary capabilities and resources to accelerate the development and maximize the availability and potential of our product candidates, particularly for more prevalent indications.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Platforms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To unlock the full potential of novel therapies across many forms of heart disease, we are advancing science from three product platforms in parallel. Each platform is intended to address different problems that have 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agnostic fashion</w:t>
      </w:r>
      <w:r>
        <w:rPr>
          <w:rFonts w:ascii="Arial" w:cs="Arial" w:eastAsia="Arial" w:hAnsi="Arial"/>
          <w:sz w:val="18"/>
          <w:szCs w:val="18"/>
          <w:i w:val="1"/>
          <w:iCs w:val="1"/>
          <w:color w:val="auto"/>
        </w:rPr>
        <w:t>.</w:t>
      </w:r>
      <w:r>
        <w:rPr>
          <w:rFonts w:ascii="Arial" w:cs="Arial" w:eastAsia="Arial" w:hAnsi="Arial"/>
          <w:sz w:val="18"/>
          <w:szCs w:val="18"/>
          <w:color w:val="auto"/>
        </w:rPr>
        <w:t xml:space="preserve"> We are advancing programs from these distinct but interrelated product platforms that combine different science, capabilities, and intellectual property. We believe these three product platforms together yield better insights into disease processes, create more opportunities for successful drug development, mitigate scientific risk, and differentiate our efforts relative to competitors.</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Product Platforms Powering Multi-Modality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171450</wp:posOffset>
            </wp:positionV>
            <wp:extent cx="5083175" cy="26149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8317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 Therapy Platform</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Gene therapy focuses on repairing or replacing defective or mutated genes to produce a therapeutic effect or treat a disease. AAV is a non-enveloped virus that already exists in some humans and does not cause disease. In gene therapy, the viral DNA within an AAV is replaced with new DNA to become a precisely coded vector to deliver the engineered therapeutic to specific tissues or organs within the body.</w:t>
      </w:r>
    </w:p>
    <w:p>
      <w:pPr>
        <w:spacing w:after="0" w:line="16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AAV vectors are the subject of significant research and development as they can be leveraged as a gene delivery vehicle for a wide range of therapeutic payloads to a wide variety of human cells. AAV-mediated gene therapy has been shown to be highly effective in targeting multiple organs, including the eye, the liver and the central nervous system. These viruses have been used to dose more than 3,300 patients in approximately 150 clinical studies around the world, and there are now several therapies that use such viruses that have been approved by the FDA and other regulatory agencies.</w:t>
      </w:r>
    </w:p>
    <w:p>
      <w:pPr>
        <w:spacing w:after="0" w:line="15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Recent third-party clinical studies have demonstrated that AAV serotype 9 (AAV9) can effectively transduce the hearts of infants and adults. This supports the results of several published non-clinical studies using AAV9 in murine and NHP models. Overall, most data suggest that AAV9 may be the best of the known existing parental vectors for the purpose of cardiac gene therapy where the target cells are CMs (one of the most abundant cell types in the heart responsible for contraction).</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However, AAV9 has limitations. AAV9 has a well-established ability to also transduce the liver and the central nervous system, in addition to the heart, which can create safety considerations. Also, some individuals have neutralizing antibodies to AAV9, making them ineligible for AAV9-based treatments.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Cardiac-specific promoters like cardiac troponin T (cTnT) can help limit the expression of AAV-delivered genes to CMs, but do not enable targeted gene expression in other heart cells (e.g. CFs). Additionally, the level of gene expression from these promoters may not be sufficient for therapeutic effect for some targets.</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Therefore, there is significant room for improvement, and we aim to improve gene therapy for the heart in ways that expand its utility. We believe our five core internal capabilities will allow us to identify, engineer, validate, deliver and manufacture novel AAV vectors to optimize the delivery and expression of therapies more selectively to cells of interest in the heart. With our capsid engineering capabilities, we have designed and screened more than one billion AAV variants to find novel capsids with higher tropism and transduction efficiency for different types of heart cells, lower transduction efficiency for the liver and other tissues, and lower susceptibility to neutralizing antibodies. We have discovered promoters and regulatory elements that enable more precise gene expression in specific heart cells. We are developing new catheters and are exploring different ROAs to more precisely deliver vectors to heart tissue. And we have established know-how to enable more optimal manufacturing, including of novel AAV capsids.</w:t>
      </w:r>
    </w:p>
    <w:p>
      <w:pPr>
        <w:spacing w:after="0" w:line="166"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These capabilities open the opportunity to deliver novel gene therapies to patients with heart disease and to position us to become a leader in cardiac gene therapy. We are leveraging these capabilities to develop gene therapies for rare, genetic forms of heart disease, as well as to enable the transition to more prevalent forms as well.</w:t>
      </w:r>
    </w:p>
    <w:p>
      <w:pPr>
        <w:spacing w:after="0" w:line="18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 xml:space="preserve">The product candidates arising from our Gene Therapy platform are intended to overcome the shortcomings of traditional pharmacological or surgical interventions that are not able to address the underlying genetic factors contributing to heart disease. Our initial area of focus is on the delivery of a healthy copy of genes that are known to be mutated in genetic cardiomyopathies; for example, our most advanced product candidate from our Gene Therapy platform involves delivering a healthy copy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to address the leading cause of gHCM. This “lock and key” gene therapy program was selected following a screen of hundreds of potential targets. We believe our MYBPC3 program is able to benefit from a variety of factors, including high disease severity and large unmet need; relatively high prevalence; emerging science supporting haploinsufficiency as the disease driver; representative disease models; and illustrative proof-of-concept evidence for gene therapy from academic labs.</w:t>
      </w:r>
    </w:p>
    <w:p>
      <w:pPr>
        <w:spacing w:after="0" w:line="16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believe the versatility of our Gene Therapy platform and related differentiated capabilities enables us to rapidly expand our portfolio of therapies beyond the initial focus. For example, our PKP2 program is another example of a “lock and key” approach to addressing the leading cause of gARVC. Our DWORF program is based on the idea of delivering the recently discovered DWORF protein targeting a well-known SERCA2a pathway that has been shown to exert a therapeutic effect in a range of disease models. We continue to explore other genetic cardiomyopathies that can potentially be addressed by our Gene Therapy platform.</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Cellular Regeneration Platform</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Scientists have long known that the human heart is not able to regenerate itself, unlike many other organs in the body. Acute MI—more commonly referred to as a heart attack—can kill as many as 25% of CMs from the LV, or approximately one billion cells. The heart has no natural way to replace cells that are lost slowly with age or suddenly due to disease. One reason that HF is so prevalent and the leading cause of death in the world is due to the lack of regenerative potential of the heart. Acute MI is associated with a 30% mortality rate; about 50% of the deaths occur prior to arrival at the hospital. An additional 5% to 10% of survivors die within the first year after their MI. Approximately half of all patients with an MI are rehospitalized within one year of their first MI. Finding ways to replace lost heart cells is one of the “holy grails” of regenerative medicine.</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There are two abundant cell types in the heart: CMs, which are the cells that are responsible for contraction during each heartbeat, and CFs, that produce and secrete growth factors, cytokines and other signaling molecules contributing to structural, biochemical, mechanical and electrical properties of the myocardium. While CFs 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able to divide and proliferate, CMs are post-mitotic, meaning they are incapable of regenerating. CMs that are lost due to aging or disease are replaced by fibrotic scar tissue that is permanent and irreparable with currently approved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134620</wp:posOffset>
            </wp:positionV>
            <wp:extent cx="1508760" cy="1954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0876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 xml:space="preserve">The field of cardiac regeneration has historically been dominated by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cell therapy approaches using autologous (from self) or allogeneic (from donors) cell sources to replace lost CMs. However, there have been no successful therapies after scores of clinical studies involving thousands of patients. Any modest efficacy seen in clinical studies are now often attributed to indirect paracrine effects rather than true cardiac regeneration. Some have tried to induce regeneration by infusion or injecting cells generated from hiPSC-CMs or human embryonic stem cells (hESCs), but that has been fraught with many challenges, as these cells have an embryonic phenotype and generate arrhythmias once injected into the heart; recipients need to be immunosuppressed to avoid rejection; and integration into the electric and mechanical connections of the heart is still imperfect.</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We are advancing a cardiac regeneration approach based on research conducted by our founders at Gladstone Institutes and UTSW, who pioneered the idea of restoring heart function after a heart attack by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regeneration of lost CMs. Our approach is intended to achieve this by using viral vectors to deliver a proprietary combination of three genes that when delivered together in a single AAV can permanently convert—or “reprogram”—a patient’s own resident CFs into new CMs.</w:t>
      </w:r>
    </w:p>
    <w:p>
      <w:pPr>
        <w:spacing w:after="0" w:line="18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 xml:space="preserve">This approach was inspired by the Nobel-prize winning discoveries of Shinya Yamanaka who first discovered that human cells can be “reprogrammed” with certain specific factors—which became known as the “Yamanaka factors”—to become induced pluripotent stem cells (iPSCs), and that these newly formed iPSCs were in turn capable of differentiating to become any other human cell type in the body, including heart cells. Our founders and other academic labs built on this idea and demonstrated that it is possible to directly convert CFs to CMs without first going through the iPSC stage. Dr. Srivastava, one of our co-founders and a member of our board of directors, was the first to demonstrate proof of concept of this “direct reprogramming” approach for cardiac regeneration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 mouse model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human cells. Several independent academic labs around the world have subsequently replicated the results with direct reprogramming for cardiac regeneration using the same factors as well as new combinations.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figure below helps illustrate the idea of direct reprogramming of CFs to CMs using the Waddington model for cellular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168910</wp:posOffset>
            </wp:positionV>
            <wp:extent cx="5092065" cy="24771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9206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There have been several historical challenges for the field of direct reprogramming for cardiac regeneration to turn this promising scientific discovery into potentially viable therapies. Most academic efforts required anywhere from three to five factors to achieve the conversion of human CFs to CMs, and the overall conversion rate was relatively low. Some of these efforts used a combination of retroviruses and small molecules to achieve this conversion, which is not clinically applicable. The published proof-of-concept work has been demonstrated in murine models of acute MI (i.e. immediately at the time of onset of heart attack), but not in models of HF following MI (i.e. following some period of time sometime after the heart attack has already happened) which more accurately simulates the situation that would be adopted in the clinical setting.</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We believe we are the first to potentially overcome these challenges. We have discovered a proprietary combination of three genes that can be co-packaged and co-expressed from a single proprietary AAV vector engineered for higher transduction of CFs when compared to existing parental capsids. We have demonstrated higher transdifferentiation rates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human CFs that are higher than rates reported in published studies using combinations of other factors intended to drive reprogramming. We have demonstrated robust and durable proof-of-concept of this approach in multiple rodent models of acute MI and HF post-MI. Most importantly, based on publicly available information to date, we believe our results in a pig model of HF due to prior MI represent the first-ever successful demonstration of the potential therapeutic benefit of this approach in a human-sized heart.</w:t>
      </w:r>
    </w:p>
    <w:p>
      <w:pPr>
        <w:spacing w:after="0" w:line="16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approach to cardiac regeneration may have several advantages over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therapies. Because the newly formed CMs are generated from the patients’ own cells, they are not rejected by the body and no immunosuppression is needed. And since these newly formed CMs are generated from within the patient’s heart tissue, it may be easier for them to electrically and mechanically connect with surrounding cells as they mature and to contribute to healthy heart function with lower risk for arrhythmias. In addition, it is easier to manufacture and to deliver AAV-based therapies and to offer them at commercially viable prices compared to cell-based therapies.</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initial focus of our Cellular Regeneration platform is on the development of disease-modifying treatments for HF due to prior MI. We believe the versatility of this product platform and related differentiated capabilities position us to expand our portfolio of therapies rapidly and pursue other indications involving loss of CMs</w:t>
      </w:r>
      <w:r>
        <w:rPr>
          <w:rFonts w:ascii="Arial" w:cs="Arial" w:eastAsia="Arial" w:hAnsi="Arial"/>
          <w:sz w:val="18"/>
          <w:szCs w:val="18"/>
          <w:i w:val="1"/>
          <w:iCs w:val="1"/>
          <w:color w:val="auto"/>
        </w:rPr>
        <w: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Precision Medicine Platform</w:t>
      </w:r>
    </w:p>
    <w:p>
      <w:pPr>
        <w:spacing w:after="0" w:line="117"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The idea of “precision medicine” has been around for a number of years, with the core concept of delivering the right therapy to the right patient at the right time. Recently, the idea of precision medicine has gained traction in oncology, in particular, with the benefit of a better understanding of the genetics of different tumor types, and a growing ability to match therapies to specific mutations (e.g. Genentech’s Herceptin therapy for HER2+ breast cancer). We aim to bring this concept of precision medicine to the discovery and development of targeted therapies for heart disease.</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There is an increasing understanding of the genetic basis for many cardiomyopathies, including DCM, HCM, restrictive cardiomyopathy (RCM) and arrhythmogenic cardiomyopathy (ACM). DCM provides an interesting case study. Mutations in more than 50 genes have been identified for gDCM, with more than 50% of patients presenting with multiple mutations. These mutations affect different parts of the cellular apparatus of patients’ CMs, including the sarcomere, nucleus, ion channels, and cellular membranes. Yet mutations in proteins with diverse biology present as a common disease phenotype, suggesting common nodes of disease yet to be discovered. Despite this heterogeneity of genetic background and underlying pathophysiology, the therapies used for these patients are the same as therapies used for patients with other forms of HF. We envision a future in which therapies are more specific to the underlying cause of disease and are used to treat patients who have been categorized based on their underlying genetic mutations.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figure below helps illustrate our vision for “precision medicine” research and development for heart disease through the lens of gDCM: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176530</wp:posOffset>
            </wp:positionV>
            <wp:extent cx="5194935" cy="21602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9493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It is also necessary to have the appropriate disease models to discover new targets and to test new therapies. Unfortunately, there is still a lack of representative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of the greater than 50 genes known to cause gDCM when mutated, less than ten have relevant murine models to support drug discovery. The situation is even worse for others forms of genetic cardiomyopathy. We are committed to finding new ways to model genetic cardiomyopathies, including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but also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There is a growing body of academic literature supporting the use of hiPSC-CMs to model human heart disease and the potential cardiotoxicity of therapeutics during drug discovery. This can be helpful where animal models for specific forms of heart disease either do not yet exist or are not yet sufficiently representative of human disease. There are also a growing number of biopharmaceutical companies that are using iPSCs for phenotypic screening and drug discovery. We are advancing a novel approach of using proprietary hiPSC-CMs disease models for target identification and drug discovery specifically for heart disease.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figure below illustrates how we have internalized and integrated six key aspects necessary to advance the discovery of precision medicine therapeutics using hiPSC-CMs: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134620</wp:posOffset>
            </wp:positionV>
            <wp:extent cx="5092065" cy="23660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9206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We have demonstrated proof of concept of this approach using an hiPSC-CM disease model representing a specific gDCM mutation plus machine learning algorithms to measure variations in appearance of these cells when screened with a library of several thousand small molecule compounds. We identified several biologically relevant hits and validated HDAC6 as a specific target of interest. We have since turned our findings into a product candidate in our HDAC6i program with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and tolerability demonstrated in multiple heart disease models of HFpEF and gDCM.</w:t>
      </w:r>
    </w:p>
    <w:p>
      <w:pPr>
        <w:spacing w:after="0" w:line="15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are currently conducting target identification screens for both gene therapy and small molecules targets in multiple iPSC-CM disease models of gDCM. We are also expanding our efforts to different genetic backgrounds including the leading genetic causes of cardiomyopathy. We believe the versatility of our Precision Medicine platform and related capabilities enables us to rapidly expand our portfolio of product candidates beyond HDAC6i.</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and Capabilities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utilize five core internal capabilities to support our three product platforms. Our key capabilities include the creation and development of</w:t>
      </w:r>
    </w:p>
    <w:p>
      <w:pPr>
        <w:spacing w:after="0" w:line="35" w:lineRule="exact"/>
        <w:rPr>
          <w:sz w:val="20"/>
          <w:szCs w:val="20"/>
          <w:color w:val="auto"/>
        </w:rPr>
      </w:pPr>
    </w:p>
    <w:p>
      <w:pPr>
        <w:ind w:left="120" w:right="280" w:hanging="4"/>
        <w:spacing w:after="0" w:line="253" w:lineRule="auto"/>
        <w:tabs>
          <w:tab w:leader="none" w:pos="3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disease models to more accurately simulate human heart disease phenotypes, (2) proprietary heart-tropic AAV capsids designed to enable precise tissue targeting and increase safety, (3) proprietary promoters and regulatory elements to control gene expression, (4) fit-for-purpose drug delivery methods for more optimal uptake and distribution of our product candidates and (5) scalable AAV manufacturing to better control quality, costs, timelines and supply.</w:t>
      </w:r>
    </w:p>
    <w:p>
      <w:pPr>
        <w:spacing w:after="0" w:line="19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integration of these in-house capabilities provides us with several advantages and differentiates our efforts relative to other drug discovery companies, especially for gene therapy drug development. Through the combination of these capabilities, we are developing product candidates that can address the complicated characteristics of heart disease. For example, we believe with our capabilities in capsids and promoter design and delivery, we can overcome the limitations faced by prior cardiac gene therapy approaches by enabling more precise delivery and more robust gene expression and lowering the risk of off-target effects. We also believe that these approaches can overcome the historical challenges of drug development for heart disease, by enabling delivery of a wide range of therapeutic approaches to specific cells in the heart.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By having our capabilities in-house, we believe we are able to achieve deeper insight, shorten product development cycles, and improve the probability of technical and regulatory success for our product candidates compared to what can be achieved with a more outsourced approach. This further allows us to rapidly build a diverse pipeline of product candidates. Ultimately, we believe our differentiated capabilities can support development of product candidates that, if approved, could address the high unmet need of patients with cardiac diseases and could be delivered at a lower cost of goods than what is possible today.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Disease Models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We have internalized the ability to create and integrate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within our research organization, which allows us to simulate human heart disease phenotypes. We believe our success will be supported by the know-how we are developing and the proprietary integration of these disease models across our programs.</w:t>
      </w:r>
    </w:p>
    <w:p>
      <w:pPr>
        <w:spacing w:after="0" w:line="89" w:lineRule="exact"/>
        <w:rPr>
          <w:sz w:val="20"/>
          <w:szCs w:val="20"/>
          <w:color w:val="auto"/>
        </w:rPr>
      </w:pPr>
    </w:p>
    <w:p>
      <w:pPr>
        <w:ind w:left="1080" w:right="100" w:hanging="532"/>
        <w:spacing w:after="0" w:line="273"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In vitro cell-based disease models</w:t>
      </w:r>
      <w:r>
        <w:rPr>
          <w:rFonts w:ascii="Arial" w:cs="Arial" w:eastAsia="Arial" w:hAnsi="Arial"/>
          <w:sz w:val="17"/>
          <w:szCs w:val="17"/>
          <w:color w:val="auto"/>
        </w:rPr>
        <w:t>: For our</w:t>
      </w:r>
      <w:r>
        <w:rPr>
          <w:rFonts w:ascii="Arial" w:cs="Arial" w:eastAsia="Arial" w:hAnsi="Arial"/>
          <w:sz w:val="17"/>
          <w:szCs w:val="17"/>
          <w:i w:val="1"/>
          <w:iCs w:val="1"/>
          <w:color w:val="auto"/>
        </w:rPr>
        <w:t xml:space="preserve"> in vitro </w:t>
      </w:r>
      <w:r>
        <w:rPr>
          <w:rFonts w:ascii="Arial" w:cs="Arial" w:eastAsia="Arial" w:hAnsi="Arial"/>
          <w:sz w:val="17"/>
          <w:szCs w:val="17"/>
          <w:color w:val="auto"/>
        </w:rPr>
        <w:t>disease models, we have leveraged the seminal discovery of methods used to generate</w:t>
      </w:r>
      <w:r>
        <w:rPr>
          <w:rFonts w:ascii="Arial" w:cs="Arial" w:eastAsia="Arial" w:hAnsi="Arial"/>
          <w:sz w:val="17"/>
          <w:szCs w:val="17"/>
          <w:i w:val="1"/>
          <w:iCs w:val="1"/>
          <w:color w:val="auto"/>
        </w:rPr>
        <w:t xml:space="preserve"> </w:t>
      </w:r>
      <w:r>
        <w:rPr>
          <w:rFonts w:ascii="Arial" w:cs="Arial" w:eastAsia="Arial" w:hAnsi="Arial"/>
          <w:sz w:val="17"/>
          <w:szCs w:val="17"/>
          <w:color w:val="auto"/>
        </w:rPr>
        <w:t>iPSCs to establish disease models based on human iPSC-derived cardiomyocytes (iPSC-CMs). We have implemented three primary approaches to model human heart disease in this way: (i) short interfering ribonucleic acid (siRNA) constructs to silence specific genes of interest in iPSC-CMs; (ii) CRISPR-based gene editing approaches to create isogenic iPSC-cell lines where specific genes have been altered; and (iii) iPSCs derived from patients with severe heart disease, for example, severe DCM resulting in early HF and transplant, sourced from commercial and academic collaborators.</w:t>
      </w:r>
    </w:p>
    <w:p>
      <w:pPr>
        <w:spacing w:after="0" w:line="69"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8"/>
          <w:szCs w:val="18"/>
          <w:color w:val="auto"/>
        </w:rPr>
        <w:t>In the figure below, we illustrate our primary disease model approaches based on 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168910</wp:posOffset>
            </wp:positionV>
            <wp:extent cx="5092065" cy="20313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9206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These disease models can collectively help simulate the impact of human disease-causing mutations on the appearance and function of CMs. They can also help model the impact of potentially disease-modifying treatments on such cells. In the figure below, we illustrate how, through use of gene editing and gene silencing tools, we can modify the appearance of normal iPSC-CMs to appear disorganized, and subsequently restore cell appearance with compounds from our screening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144780</wp:posOffset>
            </wp:positionV>
            <wp:extent cx="4723130" cy="1071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231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00" w:right="100"/>
        <w:spacing w:after="0" w:line="263" w:lineRule="auto"/>
        <w:rPr>
          <w:sz w:val="20"/>
          <w:szCs w:val="20"/>
          <w:color w:val="auto"/>
        </w:rPr>
      </w:pPr>
      <w:r>
        <w:rPr>
          <w:rFonts w:ascii="Arial" w:cs="Arial" w:eastAsia="Arial" w:hAnsi="Arial"/>
          <w:sz w:val="18"/>
          <w:szCs w:val="18"/>
          <w:color w:val="auto"/>
        </w:rPr>
        <w:t>We initially used cells from these disease models plated in two-dimensional formats. We have since advanced our efforts to include three-dimensional engineered heart tissue disease models where the cells have a more mature phenotype and with contractility that can be measured more reliably.</w:t>
      </w:r>
    </w:p>
    <w:p>
      <w:pPr>
        <w:spacing w:after="0" w:line="89" w:lineRule="exact"/>
        <w:rPr>
          <w:sz w:val="20"/>
          <w:szCs w:val="20"/>
          <w:color w:val="auto"/>
        </w:rPr>
      </w:pPr>
    </w:p>
    <w:p>
      <w:pPr>
        <w:ind w:left="1080" w:right="120" w:hanging="532"/>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iPSC production: </w:t>
      </w:r>
      <w:r>
        <w:rPr>
          <w:rFonts w:ascii="Arial" w:cs="Arial" w:eastAsia="Arial" w:hAnsi="Arial"/>
          <w:sz w:val="18"/>
          <w:szCs w:val="18"/>
          <w:color w:val="auto"/>
        </w:rPr>
        <w:t>To conduct robust target identification and drug discovery screens using our cell-based disease models, we need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produce large volumes of these hiPSC-CMs. We have developed the necessary know-how to do so reliably and reproducibly at increasing scale.</w:t>
      </w:r>
    </w:p>
    <w:p>
      <w:pPr>
        <w:spacing w:after="0" w:line="89"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Imaging techniques: </w:t>
      </w:r>
      <w:r>
        <w:rPr>
          <w:rFonts w:ascii="Arial" w:cs="Arial" w:eastAsia="Arial" w:hAnsi="Arial"/>
          <w:sz w:val="18"/>
          <w:szCs w:val="18"/>
          <w:color w:val="auto"/>
        </w:rPr>
        <w:t>We use a combination of immunostaining, high-resolution imaging, and imaging algorithms to visualize and quantify</w:t>
      </w:r>
      <w:r>
        <w:rPr>
          <w:rFonts w:ascii="Arial" w:cs="Arial" w:eastAsia="Arial" w:hAnsi="Arial"/>
          <w:sz w:val="18"/>
          <w:szCs w:val="18"/>
          <w:i w:val="1"/>
          <w:iCs w:val="1"/>
          <w:color w:val="auto"/>
        </w:rPr>
        <w:t xml:space="preserve"> </w:t>
      </w:r>
      <w:r>
        <w:rPr>
          <w:rFonts w:ascii="Arial" w:cs="Arial" w:eastAsia="Arial" w:hAnsi="Arial"/>
          <w:sz w:val="18"/>
          <w:szCs w:val="18"/>
          <w:color w:val="auto"/>
        </w:rPr>
        <w:t>phenotypic differences between our in-house iPSC-CM disease models. We can measure several details of the sarcomeres of these cell lines, including sarcomere density, disarray and Z-disc area.</w:t>
      </w:r>
    </w:p>
    <w:p>
      <w:pPr>
        <w:spacing w:after="0" w:line="183" w:lineRule="exact"/>
        <w:rPr>
          <w:rFonts w:ascii="Arial" w:cs="Arial" w:eastAsia="Arial" w:hAnsi="Arial"/>
          <w:sz w:val="18"/>
          <w:szCs w:val="18"/>
          <w:color w:val="auto"/>
        </w:rPr>
      </w:pPr>
    </w:p>
    <w:p>
      <w:pPr>
        <w:ind w:left="1100" w:right="220"/>
        <w:spacing w:after="0" w:line="277" w:lineRule="auto"/>
        <w:rPr>
          <w:rFonts w:ascii="Arial" w:cs="Arial" w:eastAsia="Arial" w:hAnsi="Arial"/>
          <w:sz w:val="18"/>
          <w:szCs w:val="18"/>
          <w:color w:val="auto"/>
        </w:rPr>
      </w:pPr>
      <w:r>
        <w:rPr>
          <w:rFonts w:ascii="Arial" w:cs="Arial" w:eastAsia="Arial" w:hAnsi="Arial"/>
          <w:sz w:val="18"/>
          <w:szCs w:val="18"/>
          <w:color w:val="auto"/>
        </w:rPr>
        <w:t>The figure below shows the degree of automated high-resolution image capture that is possible to help visualize the details of iPSC-CM disease models such as the sarcomere structure and other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134620</wp:posOffset>
            </wp:positionV>
            <wp:extent cx="4732020" cy="23571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3202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63" w:lineRule="auto"/>
        <w:rPr>
          <w:sz w:val="20"/>
          <w:szCs w:val="20"/>
          <w:color w:val="auto"/>
        </w:rPr>
      </w:pPr>
      <w:r>
        <w:rPr>
          <w:rFonts w:ascii="Arial" w:cs="Arial" w:eastAsia="Arial" w:hAnsi="Arial"/>
          <w:sz w:val="18"/>
          <w:szCs w:val="18"/>
          <w:color w:val="auto"/>
        </w:rPr>
        <w:t>In the figure below, we show data that illustrate our ability to use proprietary imaging algorithms to quantify reproducible and statistically significant differences between particular attributes of the iPSC-CMs (e.g. Z-Disc Area of the sarcomere) across multiple disease model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142875</wp:posOffset>
            </wp:positionV>
            <wp:extent cx="2794635" cy="38830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94635"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8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Machine learning algorithms: </w:t>
      </w:r>
      <w:r>
        <w:rPr>
          <w:rFonts w:ascii="Arial" w:cs="Arial" w:eastAsia="Arial" w:hAnsi="Arial"/>
          <w:sz w:val="18"/>
          <w:szCs w:val="18"/>
          <w:color w:val="auto"/>
        </w:rPr>
        <w:t>We have used machine learning algorithms to support high-throughput phenotypic screening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iPSC-CM disease models. The algorithms can rapidly and reproducibly measure subtle differences in the overall appearance between wild-type iPSC-CM cells and the different disease models, as well as differences on the disease models in response to compounds in our screening libraries.</w:t>
      </w:r>
    </w:p>
    <w:p>
      <w:pPr>
        <w:spacing w:after="0" w:line="78" w:lineRule="exact"/>
        <w:rPr>
          <w:rFonts w:ascii="Arial" w:cs="Arial" w:eastAsia="Arial" w:hAnsi="Arial"/>
          <w:sz w:val="18"/>
          <w:szCs w:val="18"/>
          <w:color w:val="auto"/>
        </w:rPr>
      </w:pPr>
    </w:p>
    <w:p>
      <w:pPr>
        <w:ind w:left="1100" w:right="20"/>
        <w:spacing w:after="0" w:line="301" w:lineRule="auto"/>
        <w:rPr>
          <w:rFonts w:ascii="Arial" w:cs="Arial" w:eastAsia="Arial" w:hAnsi="Arial"/>
          <w:sz w:val="18"/>
          <w:szCs w:val="18"/>
          <w:color w:val="auto"/>
        </w:rPr>
      </w:pPr>
      <w:r>
        <w:rPr>
          <w:rFonts w:ascii="Arial" w:cs="Arial" w:eastAsia="Arial" w:hAnsi="Arial"/>
          <w:sz w:val="16"/>
          <w:szCs w:val="16"/>
          <w:color w:val="auto"/>
        </w:rPr>
        <w:t xml:space="preserve">The figure below illustrates the output of a screen in a disease model of DCM, using siRNA silencing of the </w:t>
      </w:r>
      <w:r>
        <w:rPr>
          <w:rFonts w:ascii="Arial" w:cs="Arial" w:eastAsia="Arial" w:hAnsi="Arial"/>
          <w:sz w:val="16"/>
          <w:szCs w:val="16"/>
          <w:i w:val="1"/>
          <w:iCs w:val="1"/>
          <w:color w:val="auto"/>
        </w:rPr>
        <w:t>BAG3</w:t>
      </w:r>
      <w:r>
        <w:rPr>
          <w:rFonts w:ascii="Arial" w:cs="Arial" w:eastAsia="Arial" w:hAnsi="Arial"/>
          <w:sz w:val="16"/>
          <w:szCs w:val="16"/>
          <w:color w:val="auto"/>
        </w:rPr>
        <w:t xml:space="preserve"> gene, with a curated library of greater than 5,000 small molecule compounds. A deep learning algorithm that was trained on images of the disease model and on normal cells was used to determine which compounds caused the sarcomeres within the cells to appear more disorganized, representing more sarcomere damage (red), or more organized, representing less sarcomere damage (green), as measured by a “cardiomyocyte score”: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205740</wp:posOffset>
            </wp:positionV>
            <wp:extent cx="4491990" cy="23742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49199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80" w:right="20" w:hanging="532"/>
        <w:spacing w:after="0" w:line="269" w:lineRule="auto"/>
        <w:tabs>
          <w:tab w:leader="none" w:pos="1080" w:val="left"/>
        </w:tabs>
        <w:numPr>
          <w:ilvl w:val="1"/>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In vivo models: </w:t>
      </w:r>
      <w:r>
        <w:rPr>
          <w:rFonts w:ascii="Arial" w:cs="Arial" w:eastAsia="Arial" w:hAnsi="Arial"/>
          <w:sz w:val="17"/>
          <w:szCs w:val="17"/>
          <w:color w:val="auto"/>
        </w:rPr>
        <w:t>For our</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disease models, we have a dedicated onsite</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pharmacology group and vivarium. We have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 rodent heart disease models, both genetic and non-genetic, and continue to develop new models in-house as needed. We can dose both gene therapies as well as small molecules. We can perform heart surgeries on these rodent models and use blinded echocardiography-based imaging techniques to assess the impact of our therapies under development. The internalization of these capabilities greatly reduces our reliance on external CROs and academic organizations and significantly increases the speed and consistency with which we can iterate on product prototypes, generate data and formulate insights on our product candidates. We also work with established CROs for research efforts involving large animal models (e.g., NHPs and pigs), including for efficacy studies and evaluation of drug delivery methods. Through these efforts we have developed important insights into the advantages and limitations of specific models and have learned how to optimize the design of our experiments. This insight influences our preclinical drug development strategies and our discussions with regulatory agencies.</w:t>
      </w:r>
    </w:p>
    <w:p>
      <w:pPr>
        <w:spacing w:after="0" w:line="293" w:lineRule="exact"/>
        <w:rPr>
          <w:rFonts w:ascii="Arial" w:cs="Arial" w:eastAsia="Arial" w:hAnsi="Arial"/>
          <w:sz w:val="17"/>
          <w:szCs w:val="17"/>
          <w:color w:val="auto"/>
        </w:rPr>
      </w:pPr>
    </w:p>
    <w:p>
      <w:pPr>
        <w:ind w:left="300" w:hanging="184"/>
        <w:spacing w:after="0"/>
        <w:tabs>
          <w:tab w:leader="none" w:pos="30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Capsid Engineering</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goal is to discover, design, and develop novel heart-tropic AAV capsids with superior attributes in order to enable more precise tissue targeting and to improve the safety profile of our product candidates. To achieve this goal, we have established in-house AAV capsid engineering capabilities and have designed and screened over one billion variants from diverse, proprietary libraries to discover, design, and develop novel capsids to support our programs.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table below captures the breadth and depth of the focused strategies we have pursued to discover novel AAV capsids:</w:t>
      </w:r>
    </w:p>
    <w:p>
      <w:pPr>
        <w:spacing w:after="0" w:line="246" w:lineRule="exact"/>
        <w:rPr>
          <w:sz w:val="20"/>
          <w:szCs w:val="20"/>
          <w:color w:val="auto"/>
        </w:rPr>
      </w:pPr>
    </w:p>
    <w:tbl>
      <w:tblPr>
        <w:tblLayout w:type="fixed"/>
        <w:tblInd w:w="1110" w:type="dxa"/>
        <w:tblCellMar>
          <w:top w:w="0" w:type="dxa"/>
          <w:left w:w="0" w:type="dxa"/>
          <w:bottom w:w="0" w:type="dxa"/>
          <w:right w:w="0" w:type="dxa"/>
        </w:tblCellMar>
      </w:tblPr>
      <w:tr>
        <w:trPr>
          <w:trHeight w:val="270"/>
        </w:trPr>
        <w:tc>
          <w:tcPr>
            <w:tcW w:w="1780" w:type="dxa"/>
            <w:vAlign w:val="bottom"/>
            <w:tcBorders>
              <w:top w:val="single" w:sz="8" w:color="auto"/>
              <w:left w:val="single" w:sz="8" w:color="auto"/>
              <w:bottom w:val="single" w:sz="8" w:color="auto"/>
            </w:tcBorders>
          </w:tcPr>
          <w:p>
            <w:pPr>
              <w:spacing w:after="0"/>
              <w:rPr>
                <w:sz w:val="23"/>
                <w:szCs w:val="23"/>
                <w:color w:val="auto"/>
              </w:rPr>
            </w:pPr>
          </w:p>
        </w:tc>
        <w:tc>
          <w:tcPr>
            <w:tcW w:w="728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Focused Multi-Year AAV Screening Efforts Using Diverse Strategies</w:t>
            </w:r>
          </w:p>
        </w:tc>
      </w:tr>
      <w:tr>
        <w:trPr>
          <w:trHeight w:val="304"/>
        </w:trPr>
        <w:tc>
          <w:tcPr>
            <w:tcW w:w="178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4"/>
              </w:rPr>
              <w:t>Cell specificity</w:t>
            </w:r>
          </w:p>
        </w:tc>
        <w:tc>
          <w:tcPr>
            <w:tcW w:w="234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Capsid engineering efforts for both CMs and CFs</w:t>
            </w:r>
          </w:p>
        </w:tc>
      </w:tr>
      <w:tr>
        <w:trPr>
          <w:trHeight w:val="81"/>
        </w:trPr>
        <w:tc>
          <w:tcPr>
            <w:tcW w:w="178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4940" w:type="dxa"/>
            <w:vAlign w:val="bottom"/>
            <w:tcBorders>
              <w:bottom w:val="single" w:sz="8" w:color="auto"/>
              <w:right w:val="single" w:sz="8" w:color="auto"/>
            </w:tcBorders>
          </w:tcPr>
          <w:p>
            <w:pPr>
              <w:spacing w:after="0"/>
              <w:rPr>
                <w:sz w:val="7"/>
                <w:szCs w:val="7"/>
                <w:color w:val="auto"/>
              </w:rPr>
            </w:pPr>
          </w:p>
        </w:tc>
      </w:tr>
      <w:tr>
        <w:trPr>
          <w:trHeight w:val="290"/>
        </w:trPr>
        <w:tc>
          <w:tcPr>
            <w:tcW w:w="178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5"/>
              </w:rPr>
              <w:t>Library diversity</w:t>
            </w:r>
          </w:p>
        </w:tc>
        <w:tc>
          <w:tcPr>
            <w:tcW w:w="234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Screened more than one billion variants from 30 diverse libraries</w:t>
            </w: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(rational design, peptide insertion, variable region, chimeric,</w:t>
            </w:r>
          </w:p>
        </w:tc>
      </w:tr>
      <w:tr>
        <w:trPr>
          <w:trHeight w:val="230"/>
        </w:trPr>
        <w:tc>
          <w:tcPr>
            <w:tcW w:w="17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etc.)</w:t>
            </w:r>
          </w:p>
        </w:tc>
      </w:tr>
      <w:tr>
        <w:trPr>
          <w:trHeight w:val="311"/>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4940" w:type="dxa"/>
            <w:vAlign w:val="bottom"/>
            <w:tcBorders>
              <w:bottom w:val="single" w:sz="8" w:color="auto"/>
              <w:right w:val="single" w:sz="8" w:color="auto"/>
            </w:tcBorders>
          </w:tcPr>
          <w:p>
            <w:pPr>
              <w:spacing w:after="0"/>
              <w:rPr>
                <w:sz w:val="24"/>
                <w:szCs w:val="24"/>
                <w:color w:val="auto"/>
              </w:rPr>
            </w:pPr>
          </w:p>
        </w:tc>
      </w:tr>
      <w:tr>
        <w:trPr>
          <w:trHeight w:val="290"/>
        </w:trPr>
        <w:tc>
          <w:tcPr>
            <w:tcW w:w="178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Screening models</w:t>
            </w:r>
          </w:p>
        </w:tc>
        <w:tc>
          <w:tcPr>
            <w:tcW w:w="234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Screening and validation in multiple models, including human</w:t>
            </w: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 xml:space="preserve">iPSC-CMs, rodent models, NHPs as well as </w:t>
            </w:r>
            <w:r>
              <w:rPr>
                <w:rFonts w:ascii="Arial" w:cs="Arial" w:eastAsia="Arial" w:hAnsi="Arial"/>
                <w:sz w:val="18"/>
                <w:szCs w:val="18"/>
                <w:i w:val="1"/>
                <w:iCs w:val="1"/>
                <w:color w:val="auto"/>
                <w:w w:val="95"/>
              </w:rPr>
              <w:t>in silico</w:t>
            </w:r>
            <w:r>
              <w:rPr>
                <w:rFonts w:ascii="Arial" w:cs="Arial" w:eastAsia="Arial" w:hAnsi="Arial"/>
                <w:sz w:val="18"/>
                <w:szCs w:val="18"/>
                <w:color w:val="auto"/>
                <w:w w:val="95"/>
              </w:rPr>
              <w:t xml:space="preserve"> / machine</w:t>
            </w:r>
          </w:p>
        </w:tc>
      </w:tr>
      <w:tr>
        <w:trPr>
          <w:trHeight w:val="230"/>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learning models</w:t>
            </w:r>
          </w:p>
        </w:tc>
      </w:tr>
      <w:tr>
        <w:trPr>
          <w:trHeight w:val="290"/>
        </w:trPr>
        <w:tc>
          <w:tcPr>
            <w:tcW w:w="178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Screening criteria</w:t>
            </w:r>
          </w:p>
        </w:tc>
        <w:tc>
          <w:tcPr>
            <w:tcW w:w="234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Evaluating novel capsids for multiple criteria including higher</w:t>
            </w: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heart transduction, lower liver transduction, lower antigenicity,</w:t>
            </w: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and comparable manufacturability (as compared to relevant</w:t>
            </w:r>
          </w:p>
        </w:tc>
      </w:tr>
      <w:tr>
        <w:trPr>
          <w:trHeight w:val="230"/>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known serotypes)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-1971040</wp:posOffset>
            </wp:positionV>
            <wp:extent cx="1148715" cy="1688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48715" cy="1688465"/>
                    </a:xfrm>
                    <a:prstGeom prst="rect">
                      <a:avLst/>
                    </a:prstGeom>
                    <a:noFill/>
                  </pic:spPr>
                </pic:pic>
              </a:graphicData>
            </a:graphic>
          </wp:anchor>
        </w:drawing>
      </w:r>
    </w:p>
    <w:p>
      <w:pPr>
        <w:spacing w:after="0" w:line="87"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Cell specificity: </w:t>
      </w:r>
      <w:r>
        <w:rPr>
          <w:rFonts w:ascii="Arial" w:cs="Arial" w:eastAsia="Arial" w:hAnsi="Arial"/>
          <w:sz w:val="16"/>
          <w:szCs w:val="16"/>
          <w:color w:val="auto"/>
        </w:rPr>
        <w:t>We are using our capsid engineering capabilities to identify novel AAV capsids with an overall higher tropism for the heart</w:t>
      </w:r>
    </w:p>
    <w:p>
      <w:pPr>
        <w:spacing w:after="0" w:line="46" w:lineRule="exact"/>
        <w:rPr>
          <w:rFonts w:ascii="Arial" w:cs="Arial" w:eastAsia="Arial" w:hAnsi="Arial"/>
          <w:sz w:val="16"/>
          <w:szCs w:val="16"/>
          <w:color w:val="auto"/>
        </w:rPr>
      </w:pPr>
    </w:p>
    <w:p>
      <w:pPr>
        <w:ind w:left="1080" w:right="1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compared to other organs and selectively target the two most abundant cell types in the heart: CMs and CFs. We already have achieved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proof of concept for novel vectors for both cell types. Having capsids that more specifically target one cell type over another could</w:t>
      </w:r>
      <w:r>
        <w:rPr>
          <w:rFonts w:ascii="Arial" w:cs="Arial" w:eastAsia="Arial" w:hAnsi="Arial"/>
          <w:sz w:val="18"/>
          <w:szCs w:val="18"/>
          <w:i w:val="1"/>
          <w:iCs w:val="1"/>
          <w:color w:val="auto"/>
        </w:rPr>
        <w:t xml:space="preserve"> </w:t>
      </w:r>
      <w:r>
        <w:rPr>
          <w:rFonts w:ascii="Arial" w:cs="Arial" w:eastAsia="Arial" w:hAnsi="Arial"/>
          <w:sz w:val="18"/>
          <w:szCs w:val="18"/>
          <w:color w:val="auto"/>
        </w:rPr>
        <w:t>help improve efficacy and safety and lower cost of goods for our future product candidates.</w:t>
      </w:r>
    </w:p>
    <w:p>
      <w:pPr>
        <w:spacing w:after="0" w:line="95"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Library diversity: </w:t>
      </w:r>
      <w:r>
        <w:rPr>
          <w:rFonts w:ascii="Arial" w:cs="Arial" w:eastAsia="Arial" w:hAnsi="Arial"/>
          <w:sz w:val="18"/>
          <w:szCs w:val="18"/>
          <w:color w:val="auto"/>
        </w:rPr>
        <w:t>We have screened more than one billion variants from 30 diverse libraries utilizing a range of strategies,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rational modification of surface residues as well as directed evolution efforts with peptide insertion libraries, chimeric libraries, and libraries based on systematic alteration of variable regions (VR) using different parental capsids. The diversity of approaches increases the likelihood that we will find capsids with novel properties.</w:t>
      </w:r>
    </w:p>
    <w:p>
      <w:pPr>
        <w:spacing w:after="0" w:line="78"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The image below illustrates our efforts to achieve diverse heart-tropic AAV capsids.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168910</wp:posOffset>
            </wp:positionV>
            <wp:extent cx="4723130" cy="17145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2313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80" w:right="360" w:hanging="532"/>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Screening models: </w:t>
      </w:r>
      <w:r>
        <w:rPr>
          <w:rFonts w:ascii="Arial" w:cs="Arial" w:eastAsia="Arial" w:hAnsi="Arial"/>
          <w:sz w:val="18"/>
          <w:szCs w:val="18"/>
          <w:color w:val="auto"/>
        </w:rPr>
        <w:t>We have performed our screens in a variety of</w:t>
      </w:r>
      <w:r>
        <w:rPr>
          <w:rFonts w:ascii="Arial" w:cs="Arial" w:eastAsia="Arial" w:hAnsi="Arial"/>
          <w:sz w:val="18"/>
          <w:szCs w:val="18"/>
          <w:i w:val="1"/>
          <w:iCs w:val="1"/>
          <w:color w:val="auto"/>
        </w:rPr>
        <w:t xml:space="preserve"> in vitro</w:t>
      </w:r>
      <w:r>
        <w:rPr>
          <w:rFonts w:ascii="Arial" w:cs="Arial" w:eastAsia="Arial" w:hAnsi="Arial"/>
          <w:sz w:val="18"/>
          <w:szCs w:val="18"/>
          <w:color w:val="auto"/>
        </w:rPr>
        <w:t>,</w:t>
      </w:r>
      <w:r>
        <w:rPr>
          <w:rFonts w:ascii="Arial" w:cs="Arial" w:eastAsia="Arial" w:hAnsi="Arial"/>
          <w:sz w:val="18"/>
          <w:szCs w:val="18"/>
          <w:i w:val="1"/>
          <w:iCs w:val="1"/>
          <w:color w:val="auto"/>
        </w:rPr>
        <w:t xml:space="preserve"> in vivo</w:t>
      </w:r>
      <w:r>
        <w:rPr>
          <w:rFonts w:ascii="Arial" w:cs="Arial" w:eastAsia="Arial" w:hAnsi="Arial"/>
          <w:sz w:val="18"/>
          <w:szCs w:val="18"/>
          <w:color w:val="auto"/>
        </w:rPr>
        <w:t>, and</w:t>
      </w:r>
      <w:r>
        <w:rPr>
          <w:rFonts w:ascii="Arial" w:cs="Arial" w:eastAsia="Arial" w:hAnsi="Arial"/>
          <w:sz w:val="18"/>
          <w:szCs w:val="18"/>
          <w:i w:val="1"/>
          <w:iCs w:val="1"/>
          <w:color w:val="auto"/>
        </w:rPr>
        <w:t xml:space="preserve"> in silico </w:t>
      </w:r>
      <w:r>
        <w:rPr>
          <w:rFonts w:ascii="Arial" w:cs="Arial" w:eastAsia="Arial" w:hAnsi="Arial"/>
          <w:sz w:val="18"/>
          <w:szCs w:val="18"/>
          <w:color w:val="auto"/>
        </w:rPr>
        <w:t>libraries. Current efforts are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direct screening in NHPs, as well as use of machine learning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 xml:space="preserve">algorithms. We believe our probability of finding novel variants that will translate to superior attributes in humans is highest in NHPs. We believe our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approaches can complement these efforts to help predict novel variants.</w:t>
      </w:r>
    </w:p>
    <w:p>
      <w:pPr>
        <w:spacing w:after="0" w:line="76" w:lineRule="exact"/>
        <w:rPr>
          <w:sz w:val="20"/>
          <w:szCs w:val="20"/>
          <w:color w:val="auto"/>
        </w:rPr>
      </w:pPr>
    </w:p>
    <w:p>
      <w:pPr>
        <w:ind w:left="1080" w:hanging="532"/>
        <w:spacing w:after="0" w:line="301"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Screening criteria: </w:t>
      </w:r>
      <w:r>
        <w:rPr>
          <w:rFonts w:ascii="Arial" w:cs="Arial" w:eastAsia="Arial" w:hAnsi="Arial"/>
          <w:sz w:val="16"/>
          <w:szCs w:val="16"/>
          <w:color w:val="auto"/>
        </w:rPr>
        <w:t>We have broad criteria for the selection of novel capsids, including improved tropism for the heart compared to other</w:t>
      </w:r>
      <w:r>
        <w:rPr>
          <w:rFonts w:ascii="Arial" w:cs="Arial" w:eastAsia="Arial" w:hAnsi="Arial"/>
          <w:sz w:val="16"/>
          <w:szCs w:val="16"/>
          <w:i w:val="1"/>
          <w:iCs w:val="1"/>
          <w:color w:val="auto"/>
        </w:rPr>
        <w:t xml:space="preserve"> </w:t>
      </w:r>
      <w:r>
        <w:rPr>
          <w:rFonts w:ascii="Arial" w:cs="Arial" w:eastAsia="Arial" w:hAnsi="Arial"/>
          <w:sz w:val="16"/>
          <w:szCs w:val="16"/>
          <w:color w:val="auto"/>
        </w:rPr>
        <w:t>organs, with a particular interest in de-targeting the liver; improved transduction of specific heart cell types; lower susceptibility to neutralizing antibodies; and comparable manufacturing in both HEK293- and Sf9/rBV-based manufacturing systems. We seek capsids that can outperform the relevant parental capsids, which may vary depending on the intended use and on some or all of these criteria.</w:t>
      </w:r>
    </w:p>
    <w:p>
      <w:pPr>
        <w:spacing w:after="0" w:line="49" w:lineRule="exact"/>
        <w:rPr>
          <w:rFonts w:ascii="Arial" w:cs="Arial" w:eastAsia="Arial" w:hAnsi="Arial"/>
          <w:sz w:val="16"/>
          <w:szCs w:val="16"/>
          <w:color w:val="auto"/>
        </w:rPr>
      </w:pPr>
    </w:p>
    <w:p>
      <w:pPr>
        <w:ind w:left="1100" w:right="40"/>
        <w:spacing w:after="0" w:line="279" w:lineRule="auto"/>
        <w:rPr>
          <w:rFonts w:ascii="Arial" w:cs="Arial" w:eastAsia="Arial" w:hAnsi="Arial"/>
          <w:sz w:val="16"/>
          <w:szCs w:val="16"/>
          <w:color w:val="auto"/>
        </w:rPr>
      </w:pPr>
      <w:r>
        <w:rPr>
          <w:rFonts w:ascii="Arial" w:cs="Arial" w:eastAsia="Arial" w:hAnsi="Arial"/>
          <w:sz w:val="17"/>
          <w:szCs w:val="17"/>
          <w:color w:val="auto"/>
        </w:rPr>
        <w:t>Through these efforts, we have discovered proprietary capsids with superior performance over parental variants in multiple species, including NHPs. These capsids have improved tropism for the heart compared to other organs and even for specific cells within the heart; improved transduction and expression within the heart cells; and lower susceptibility to neutralizing antibodies. We have also developed insights about the performance of novel capsids across different species including mice and NHPs.</w:t>
      </w:r>
    </w:p>
    <w:p>
      <w:pPr>
        <w:spacing w:after="0" w:line="63" w:lineRule="exact"/>
        <w:rPr>
          <w:rFonts w:ascii="Arial" w:cs="Arial" w:eastAsia="Arial" w:hAnsi="Arial"/>
          <w:sz w:val="16"/>
          <w:szCs w:val="16"/>
          <w:color w:val="auto"/>
        </w:rPr>
      </w:pPr>
    </w:p>
    <w:p>
      <w:pPr>
        <w:ind w:left="1100" w:right="60"/>
        <w:spacing w:after="0" w:line="279" w:lineRule="auto"/>
        <w:rPr>
          <w:rFonts w:ascii="Arial" w:cs="Arial" w:eastAsia="Arial" w:hAnsi="Arial"/>
          <w:sz w:val="16"/>
          <w:szCs w:val="16"/>
          <w:color w:val="auto"/>
        </w:rPr>
      </w:pPr>
      <w:r>
        <w:rPr>
          <w:rFonts w:ascii="Arial" w:cs="Arial" w:eastAsia="Arial" w:hAnsi="Arial"/>
          <w:sz w:val="17"/>
          <w:szCs w:val="17"/>
          <w:color w:val="auto"/>
        </w:rPr>
        <w:t>The data below are from the results of a head-to-head comparison in NHPs of novel capsids that were first identified via screening efforts in iPSC-CMs and a mouse model. Several capsids identified have superior transduction in the heart and lower transduction of the liver compared to AAV9, leading to an overall better heart-to-liver transduction ratio as validated in an NHP model. As shown below, our TNC-CM3 capsid has a five-fold better heart-to-liver transduction ratio compared to AAV9.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134620</wp:posOffset>
            </wp:positionV>
            <wp:extent cx="3900170" cy="2228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0017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Additionally, we have shown that several capsids we identified through this effort, such as TNC-CM5, have overall better ability to evade human neutralizing antibodies compared to AAV9.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60"/>
          </w:cols>
          <w:pgMar w:left="320" w:top="459"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80"/>
        <w:spacing w:after="0" w:line="259" w:lineRule="auto"/>
        <w:rPr>
          <w:sz w:val="20"/>
          <w:szCs w:val="20"/>
          <w:color w:val="auto"/>
        </w:rPr>
      </w:pPr>
      <w:r>
        <w:rPr>
          <w:rFonts w:ascii="Arial" w:cs="Arial" w:eastAsia="Arial" w:hAnsi="Arial"/>
          <w:sz w:val="18"/>
          <w:szCs w:val="18"/>
          <w:color w:val="auto"/>
        </w:rPr>
        <w:t>The data below show preliminary results from efforts to identify novel AAV capsids by direct screening in NHPs. These results show it is possible to identify variants that have higher specificity for CMs of the (RV) compared to CMs of the LV. These capsids that are identified to have higher tropism for the RV may enable better targeting of heart tissue for conditions predominantly affecting a specific chamber of the heart such as arrhythmogenic right ventricular cardiomyopathy (ARVC):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144780</wp:posOffset>
            </wp:positionV>
            <wp:extent cx="3300095" cy="23831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0009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Promoters and Regulatory Elements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Enabled by our in-house molecular biology capabilities, we have created novel heart-specific promoters and regulatory elements to support our AAV-based programs and regulatory elements control gene expression within the cells. We are designing promoters and regulatory elements to help ensure a more precise and conditional expression of therapeutic payloads in different cell types in the heart. We believe our innovations in promoters and regulatory elements may further support the successful clinical development of our product candidates.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Illustrative examples of our innovations in this area include:</w:t>
      </w:r>
    </w:p>
    <w:p>
      <w:pPr>
        <w:spacing w:after="0" w:line="131" w:lineRule="exact"/>
        <w:rPr>
          <w:sz w:val="20"/>
          <w:szCs w:val="20"/>
          <w:color w:val="auto"/>
        </w:rPr>
      </w:pPr>
    </w:p>
    <w:p>
      <w:pPr>
        <w:ind w:left="1080" w:right="60" w:hanging="532"/>
        <w:spacing w:after="0" w:line="275"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 xml:space="preserve">Heart specificity: </w:t>
      </w:r>
      <w:r>
        <w:rPr>
          <w:rFonts w:ascii="Arial" w:cs="Arial" w:eastAsia="Arial" w:hAnsi="Arial"/>
          <w:sz w:val="17"/>
          <w:szCs w:val="17"/>
          <w:color w:val="auto"/>
        </w:rPr>
        <w:t>We have developed cardiac-specific promoters that enable more selective and robust expression in the heart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other organs. During optimization of our MYBPC3 gene therapies, we discovered a CM-specific promoter, TNP-CM1, with improved performance attributes as compared to the standard cTnT promoter.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analyses confirmed that TNP-CM1 significantly increased expression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compared to what can be achieved with the standard cTNT promoter. In addition, we observed 1000-fold selectivity of expression in cardiac tissue relative to other tissues.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20"/>
        <w:spacing w:after="0" w:line="277" w:lineRule="auto"/>
        <w:rPr>
          <w:sz w:val="20"/>
          <w:szCs w:val="20"/>
          <w:color w:val="auto"/>
        </w:rPr>
      </w:pPr>
      <w:r>
        <w:rPr>
          <w:rFonts w:ascii="Arial" w:cs="Arial" w:eastAsia="Arial" w:hAnsi="Arial"/>
          <w:sz w:val="18"/>
          <w:szCs w:val="18"/>
          <w:color w:val="auto"/>
        </w:rPr>
        <w:t>In the figure below, we show data that demonstrate how our TNP-CM1 promoter outperformed a standard cTnT promoter in terms of robust gene expression in the heart of mice without loss of heart specificity: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134620</wp:posOffset>
            </wp:positionV>
            <wp:extent cx="3471545" cy="24174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7154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80" w:hanging="532"/>
        <w:spacing w:after="0" w:line="255"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Cell specificity: </w:t>
      </w:r>
      <w:r>
        <w:rPr>
          <w:rFonts w:ascii="Arial" w:cs="Arial" w:eastAsia="Arial" w:hAnsi="Arial"/>
          <w:sz w:val="18"/>
          <w:szCs w:val="18"/>
          <w:color w:val="auto"/>
        </w:rPr>
        <w:t>We have also developed a proprietary combination of regulatory elements that enable more optimal and selective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expression in one cell type in the heart compared to others. For our Reprogramming program for cellular regeneration, we discovered ways to optimize the robust co-expression of two protein-coding genes and one miRNA gene delivered within a single AAV in CFs, which we believe supports higher efficacy in preclinical models. We also discovered how to use specific micro-RNA binding sites to silence the translation of those same genes in both existing CMs as well as newly created CMs, which may provide a safety benefit and reduce the chance for off-target effects.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57" w:lineRule="auto"/>
        <w:rPr>
          <w:sz w:val="20"/>
          <w:szCs w:val="20"/>
          <w:color w:val="auto"/>
        </w:rPr>
      </w:pPr>
      <w:r>
        <w:rPr>
          <w:rFonts w:ascii="Arial" w:cs="Arial" w:eastAsia="Arial" w:hAnsi="Arial"/>
          <w:sz w:val="18"/>
          <w:szCs w:val="18"/>
          <w:color w:val="auto"/>
        </w:rPr>
        <w:t>In the figure below, we illustrate how the use of a novel regulatory element, TNR-CF1, helped prevent the expression of a fluorescent protein (GFP) in the CMs of a mouse model and only allowed expression in the CFs. We have used this regulatory element in our Reprogramming program to focus the expression of our proprietary factors in resident CFs for the creation of new CMs, but to prevent the expression of those factors both in resident CMs and in newly created CMs, which we believe will improve the safety profile of our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377190</wp:posOffset>
            </wp:positionV>
            <wp:extent cx="4663440" cy="34975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66344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8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Tunable gene expression: </w:t>
      </w:r>
      <w:r>
        <w:rPr>
          <w:rFonts w:ascii="Arial" w:cs="Arial" w:eastAsia="Arial" w:hAnsi="Arial"/>
          <w:sz w:val="18"/>
          <w:szCs w:val="18"/>
          <w:color w:val="auto"/>
        </w:rPr>
        <w:t>We have also demonstrated the ability to develop an entire spectrum of novel promoters to titer the expression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genes within CMs. Through data (not shown) generated in our DWORF program, more than ten promoters were designed and tested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in hiPSC-CMs, 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in murine models to optimize the expression of the</w:t>
      </w:r>
      <w:r>
        <w:rPr>
          <w:rFonts w:ascii="Arial" w:cs="Arial" w:eastAsia="Arial" w:hAnsi="Arial"/>
          <w:sz w:val="18"/>
          <w:szCs w:val="18"/>
          <w:i w:val="1"/>
          <w:iCs w:val="1"/>
          <w:color w:val="auto"/>
        </w:rPr>
        <w:t xml:space="preserve"> DWORF </w:t>
      </w:r>
      <w:r>
        <w:rPr>
          <w:rFonts w:ascii="Arial" w:cs="Arial" w:eastAsia="Arial" w:hAnsi="Arial"/>
          <w:sz w:val="18"/>
          <w:szCs w:val="18"/>
          <w:color w:val="auto"/>
        </w:rPr>
        <w:t>gene to be higher than what can be achieved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standard cTnT promoter.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3" w:lineRule="auto"/>
        <w:rPr>
          <w:sz w:val="20"/>
          <w:szCs w:val="20"/>
          <w:color w:val="auto"/>
        </w:rPr>
      </w:pPr>
      <w:r>
        <w:rPr>
          <w:rFonts w:ascii="Arial" w:cs="Arial" w:eastAsia="Arial" w:hAnsi="Arial"/>
          <w:sz w:val="18"/>
          <w:szCs w:val="18"/>
          <w:color w:val="auto"/>
        </w:rPr>
        <w:t xml:space="preserve">In the figure below, we show data for six of our promoters and cassette engineering efforts that illustrate how we have been able to create a suite of cardiac-specific constructs that are able to mediate significantly higher expression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than can be achieved with a standard cTnT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142875</wp:posOffset>
            </wp:positionV>
            <wp:extent cx="4191635" cy="3463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19163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Drug Delivery</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Delivery of drugs to the heart is widely considered to be an important challenge to successful translation of cardiac gene therapy and regenerative medicines into approved products. The diversity of programs in our current pipeline necessitates the use of different delivery methods. We are actively exploring different ROAs as well as different infusion- or injection-based catheters to support more targeted delivery and more efficient uptake of therapies based on viral vectors. We believe our discoveries in drug delivery can widen the therapeutic index of our product candidates by reducing the dose required for a therapeutic benefit.</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Several distinct methods of drug delivery for the heart have been explored by different groups for gene- or cell-based therapies, including infusion-based approaches, such as peripheral IV infusion, intracoronary infusion, and retrograde coronary sinus infusion, and injection-based, such as transendocardial injection and epicardial injection. These delivery methods vary significantly in terms of degree of invasiveness, distribution of therapy around the heart, degree of therapy uptake into the heart, technical difficulty of administration, and clinical relevance and experience. For some approaches, additional methods to improve therapeutic delivery have also been tested to improve perfusion of AAV into the heart. Through these efforts, several groups have demonstrated how different delivery methods can meaningfully affect the relative uptake and biodistribution of therapies in the heart compared to peripheral organs.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Illustrative examples of various delivery methods for the heart are shown below:</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2084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8604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For the initial product candidates emerging from our Gene Therapy platform, including those from our MYBPC3 program, we generally need broad distribution across the heart tissue that is more suited to infusion-based approaches. By contrast, for the initial product candidates emerging from our Cellular Regeneration platform, including those from our Reprogramming program, we need more precise delivery into the heart tissue directly around a scar area of the LV in a way that is more suited to injection-based approaches.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Illustrative examples of our innovations and capabilities in drug delivery include:</w:t>
      </w:r>
    </w:p>
    <w:p>
      <w:pPr>
        <w:spacing w:after="0" w:line="131" w:lineRule="exact"/>
        <w:rPr>
          <w:sz w:val="20"/>
          <w:szCs w:val="20"/>
          <w:color w:val="auto"/>
        </w:rPr>
      </w:pPr>
    </w:p>
    <w:p>
      <w:pPr>
        <w:ind w:left="1080" w:hanging="532"/>
        <w:spacing w:after="0" w:line="272"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Catheters</w:t>
      </w:r>
      <w:r>
        <w:rPr>
          <w:rFonts w:ascii="Arial" w:cs="Arial" w:eastAsia="Arial" w:hAnsi="Arial"/>
          <w:sz w:val="17"/>
          <w:szCs w:val="17"/>
          <w:color w:val="auto"/>
        </w:rPr>
        <w:t>: To support our Reprogramming program for cardiac regeneration, we are developing a novel transendocardial injection catheter</w:t>
      </w:r>
      <w:r>
        <w:rPr>
          <w:rFonts w:ascii="Arial" w:cs="Arial" w:eastAsia="Arial" w:hAnsi="Arial"/>
          <w:sz w:val="17"/>
          <w:szCs w:val="17"/>
          <w:i w:val="1"/>
          <w:iCs w:val="1"/>
          <w:color w:val="auto"/>
        </w:rPr>
        <w:t xml:space="preserve"> </w:t>
      </w:r>
      <w:r>
        <w:rPr>
          <w:rFonts w:ascii="Arial" w:cs="Arial" w:eastAsia="Arial" w:hAnsi="Arial"/>
          <w:sz w:val="17"/>
          <w:szCs w:val="17"/>
          <w:color w:val="auto"/>
        </w:rPr>
        <w:t>for more precise delivery of therapeutic payloads around the scar area that is formed after heart attack, but in a way that is minimally invasive and would not require heart surgery. The prototype of our catheter was designed with the help of interventional cardiologists and is based on similar catheters that have been successfully used in clinical trials. The catheter is designed to be steered into the heart via the femoral artery in the groin area. It has a deflectable tip that can be curved to better access the different parts of the heart. This initial prototype was tested in a large animal model and was able to direct injections to all areas of the LV. We are adding mapping capabilities to the design to allow for more precise delivery during the treatment procedure.</w:t>
      </w:r>
    </w:p>
    <w:p>
      <w:pPr>
        <w:spacing w:after="0" w:line="69" w:lineRule="exact"/>
        <w:rPr>
          <w:rFonts w:ascii="Arial" w:cs="Arial" w:eastAsia="Arial" w:hAnsi="Arial"/>
          <w:sz w:val="17"/>
          <w:szCs w:val="17"/>
          <w:color w:val="auto"/>
        </w:rPr>
      </w:pPr>
    </w:p>
    <w:p>
      <w:pPr>
        <w:ind w:left="1100" w:right="120"/>
        <w:spacing w:after="0" w:line="342" w:lineRule="auto"/>
        <w:rPr>
          <w:rFonts w:ascii="Arial" w:cs="Arial" w:eastAsia="Arial" w:hAnsi="Arial"/>
          <w:sz w:val="17"/>
          <w:szCs w:val="17"/>
          <w:color w:val="auto"/>
        </w:rPr>
      </w:pPr>
      <w:r>
        <w:rPr>
          <w:rFonts w:ascii="Arial" w:cs="Arial" w:eastAsia="Arial" w:hAnsi="Arial"/>
          <w:sz w:val="16"/>
          <w:szCs w:val="16"/>
          <w:color w:val="auto"/>
        </w:rPr>
        <w:t>The figures below include a picture of an initial prototype of our novel injection-based catheter for our Reprogramming program for cardiac regeneration, plus an illustration of how a deflectable tip plus embedded mapping electrodes can allow for more precise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104775</wp:posOffset>
            </wp:positionV>
            <wp:extent cx="2014220" cy="19284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1422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80" w:right="240" w:hanging="532"/>
        <w:spacing w:after="0" w:line="263" w:lineRule="auto"/>
        <w:tabs>
          <w:tab w:leader="none" w:pos="1080"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ROAs</w:t>
      </w:r>
      <w:r>
        <w:rPr>
          <w:rFonts w:ascii="Arial" w:cs="Arial" w:eastAsia="Arial" w:hAnsi="Arial"/>
          <w:sz w:val="18"/>
          <w:szCs w:val="18"/>
          <w:color w:val="auto"/>
        </w:rPr>
        <w:t>: We prioritize head-to-head comparison of different ROAs in large animal models to confirm the optimal method for delivery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product candidate. For our Reprogramming program, we have conducted experiments in pig models to demonstrate that a less invasive catheter-based</w:t>
      </w:r>
    </w:p>
    <w:p>
      <w:pPr>
        <w:spacing w:after="0" w:line="152" w:lineRule="exact"/>
        <w:rPr>
          <w:rFonts w:ascii="Arial" w:cs="Arial" w:eastAsia="Arial" w:hAnsi="Arial"/>
          <w:sz w:val="18"/>
          <w:szCs w:val="18"/>
          <w:color w:val="auto"/>
        </w:rPr>
      </w:pPr>
    </w:p>
    <w:p>
      <w:pPr>
        <w:ind w:left="340" w:hanging="224"/>
        <w:spacing w:after="0"/>
        <w:tabs>
          <w:tab w:leader="none" w:pos="340" w:val="left"/>
        </w:tabs>
        <w:numPr>
          <w:ilvl w:val="0"/>
          <w:numId w:val="96"/>
        </w:numPr>
        <w:rPr>
          <w:rFonts w:ascii="Arial" w:cs="Arial" w:eastAsia="Arial" w:hAnsi="Arial"/>
          <w:sz w:val="15"/>
          <w:szCs w:val="15"/>
          <w:color w:val="auto"/>
        </w:rPr>
      </w:pPr>
      <w:r>
        <w:rPr>
          <w:rFonts w:ascii="Arial" w:cs="Arial" w:eastAsia="Arial" w:hAnsi="Arial"/>
          <w:sz w:val="18"/>
          <w:szCs w:val="18"/>
          <w:color w:val="auto"/>
        </w:rPr>
        <w:t xml:space="preserve">Source: Duan </w:t>
      </w:r>
      <w:r>
        <w:rPr>
          <w:rFonts w:ascii="Arial" w:cs="Arial" w:eastAsia="Arial" w:hAnsi="Arial"/>
          <w:sz w:val="18"/>
          <w:szCs w:val="18"/>
          <w:b w:val="1"/>
          <w:bCs w:val="1"/>
          <w:color w:val="auto"/>
        </w:rPr>
        <w:t>J Transl Int. Med</w:t>
      </w:r>
      <w:r>
        <w:rPr>
          <w:rFonts w:ascii="Arial" w:cs="Arial" w:eastAsia="Arial" w:hAnsi="Arial"/>
          <w:sz w:val="18"/>
          <w:szCs w:val="18"/>
          <w:color w:val="auto"/>
        </w:rPr>
        <w:t xml:space="preserv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-153670</wp:posOffset>
            </wp:positionV>
            <wp:extent cx="7715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311" w:lineRule="auto"/>
        <w:rPr>
          <w:sz w:val="20"/>
          <w:szCs w:val="20"/>
          <w:color w:val="auto"/>
        </w:rPr>
      </w:pPr>
      <w:r>
        <w:rPr>
          <w:rFonts w:ascii="Arial" w:cs="Arial" w:eastAsia="Arial" w:hAnsi="Arial"/>
          <w:sz w:val="16"/>
          <w:szCs w:val="16"/>
          <w:color w:val="auto"/>
        </w:rPr>
        <w:t>transendocardial injection to the LV inside wall can achieve a similar degree of drug uptake and biodistribution as a more invasive direct epicardial injection to the LV outside wall requiring open-heart surgery. For our MYBPC3 program, we have conducted experiments in NHPs to compare the degree of drug uptake and biodistribution for peripheral IV infusion and infusions delivered directly into the heart.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Manufacturing</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internalizing AAV manufacturing capabilities to support our Gene Therapy and Cellular Regeneration platforms. Our overall strategy is to have total ownership of our PD, AD, and QC so that we have deep insight into the attributes of our drug substance (DS) and drug product (DP). Internalized manufacturing will enable continuous process improvement and innovation that can support manufacturing requirements for clinical development and commercialization not only for rare populations but also for more prevalent indications, and allow us to be a partner of choice in strategic drug development partnerships and with early-stage academic programs.</w:t>
      </w:r>
    </w:p>
    <w:p>
      <w:pPr>
        <w:spacing w:after="0" w:line="18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Overall, the internalization of these efforts provides us with know-how that yields several advantages that allow us to be in a better position to swiftly transfer technology know-how to CDMOs in order to support our future capacity expansion needs or to achieve dual sourcing for product candidates for risk mitigation purposes.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figure below, we show the breadth and depth of our current and emerging AAV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168910</wp:posOffset>
            </wp:positionV>
            <wp:extent cx="5083175" cy="24174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8317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80" w:right="2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Vector core: </w:t>
      </w:r>
      <w:r>
        <w:rPr>
          <w:rFonts w:ascii="Arial" w:cs="Arial" w:eastAsia="Arial" w:hAnsi="Arial"/>
          <w:sz w:val="18"/>
          <w:szCs w:val="18"/>
          <w:color w:val="auto"/>
        </w:rPr>
        <w:t>We have established vector production to support early research involving both parental and novel AAV capsids at the 50L</w:t>
      </w:r>
      <w:r>
        <w:rPr>
          <w:rFonts w:ascii="Arial" w:cs="Arial" w:eastAsia="Arial" w:hAnsi="Arial"/>
          <w:sz w:val="18"/>
          <w:szCs w:val="18"/>
          <w:i w:val="1"/>
          <w:iCs w:val="1"/>
          <w:color w:val="auto"/>
        </w:rPr>
        <w:t xml:space="preserve"> </w:t>
      </w:r>
      <w:r>
        <w:rPr>
          <w:rFonts w:ascii="Arial" w:cs="Arial" w:eastAsia="Arial" w:hAnsi="Arial"/>
          <w:sz w:val="18"/>
          <w:szCs w:val="18"/>
          <w:color w:val="auto"/>
        </w:rPr>
        <w:t>scale. We have hired key PD, AD and QC personnel to internalize those capabilities. We have also established the necessary PD expertise to support comparable product efficacy in both HEK293-based and Sf9/rBV-based manufacturing systems for both existing AAV serotypes as well as for novel capsids discovered from our capsid engineering efforts.</w:t>
      </w:r>
    </w:p>
    <w:p>
      <w:pPr>
        <w:spacing w:after="0" w:line="92"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Pilot plant operation: </w:t>
      </w:r>
      <w:r>
        <w:rPr>
          <w:rFonts w:ascii="Arial" w:cs="Arial" w:eastAsia="Arial" w:hAnsi="Arial"/>
          <w:sz w:val="17"/>
          <w:szCs w:val="17"/>
          <w:color w:val="auto"/>
        </w:rPr>
        <w:t>We have established an in-house Pilot Plant Operation at the 200L scale to support all non-clinical studies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those involving large animal models, such as pigs and NHPs, under Good Laboratory Practice regulations. Our initial production at this scale has been at yields and with full/empty capsid ratios that compare favorably to industry standards.</w:t>
      </w:r>
    </w:p>
    <w:p>
      <w:pPr>
        <w:spacing w:after="0" w:line="70"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cGMP facility: </w:t>
      </w:r>
      <w:r>
        <w:rPr>
          <w:rFonts w:ascii="Arial" w:cs="Arial" w:eastAsia="Arial" w:hAnsi="Arial"/>
          <w:sz w:val="18"/>
          <w:szCs w:val="18"/>
          <w:color w:val="auto"/>
        </w:rPr>
        <w:t>We have initiated construction of a dedicated cGMP facility for drug product manufacturing in the San Francisco Bay Area.</w:t>
      </w:r>
      <w:r>
        <w:rPr>
          <w:rFonts w:ascii="Arial" w:cs="Arial" w:eastAsia="Arial" w:hAnsi="Arial"/>
          <w:sz w:val="18"/>
          <w:szCs w:val="18"/>
          <w:i w:val="1"/>
          <w:iCs w:val="1"/>
          <w:color w:val="auto"/>
        </w:rPr>
        <w:t xml:space="preserve"> </w:t>
      </w:r>
      <w:r>
        <w:rPr>
          <w:rFonts w:ascii="Arial" w:cs="Arial" w:eastAsia="Arial" w:hAnsi="Arial"/>
          <w:sz w:val="18"/>
          <w:szCs w:val="18"/>
          <w:color w:val="auto"/>
        </w:rPr>
        <w:t>The facility will initially produce drug product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342" w:lineRule="auto"/>
        <w:rPr>
          <w:sz w:val="20"/>
          <w:szCs w:val="20"/>
          <w:color w:val="auto"/>
        </w:rPr>
      </w:pPr>
      <w:r>
        <w:rPr>
          <w:rFonts w:ascii="Arial" w:cs="Arial" w:eastAsia="Arial" w:hAnsi="Arial"/>
          <w:sz w:val="16"/>
          <w:szCs w:val="16"/>
          <w:color w:val="auto"/>
        </w:rPr>
        <w:t>1000L scale to support FIH studies for our MYBPC3 program. The facility will use a modular pod design that will support scale-out and scale-up of manufacturing capacity in response to evolving needs. We expect this facility will be operational in the first half of 2022.</w:t>
      </w:r>
    </w:p>
    <w:p>
      <w:pPr>
        <w:spacing w:after="0" w:line="29" w:lineRule="exact"/>
        <w:rPr>
          <w:sz w:val="20"/>
          <w:szCs w:val="20"/>
          <w:color w:val="auto"/>
        </w:rPr>
      </w:pPr>
    </w:p>
    <w:p>
      <w:pPr>
        <w:ind w:left="1080" w:right="80" w:hanging="532"/>
        <w:spacing w:after="0" w:line="286"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Intellectual property: </w:t>
      </w:r>
      <w:r>
        <w:rPr>
          <w:rFonts w:ascii="Arial" w:cs="Arial" w:eastAsia="Arial" w:hAnsi="Arial"/>
          <w:sz w:val="17"/>
          <w:szCs w:val="17"/>
          <w:color w:val="auto"/>
        </w:rPr>
        <w:t>We have in-licensed certain manufacturing-related intellectual property to support our programs. We have filed a</w:t>
      </w:r>
      <w:r>
        <w:rPr>
          <w:rFonts w:ascii="Arial" w:cs="Arial" w:eastAsia="Arial" w:hAnsi="Arial"/>
          <w:sz w:val="17"/>
          <w:szCs w:val="17"/>
          <w:i w:val="1"/>
          <w:iCs w:val="1"/>
          <w:color w:val="auto"/>
        </w:rPr>
        <w:t xml:space="preserve"> </w:t>
      </w:r>
      <w:r>
        <w:rPr>
          <w:rFonts w:ascii="Arial" w:cs="Arial" w:eastAsia="Arial" w:hAnsi="Arial"/>
          <w:sz w:val="17"/>
          <w:szCs w:val="17"/>
          <w:color w:val="auto"/>
        </w:rPr>
        <w:t>patent application on process improvements that will support scale-up of AAV manufacturing to larger bioreactors necessary for supply of our gene therapy product candidates intended for more prevalent heart disease populations.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Programs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MYBPC3 Program for gHCM</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We are developing an AAV-based gene therapy designed to deliver a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in adults and children with gHCM due to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estimated to affect more than 115,000 patients in the United States. These mutations can cause the heart walls of affected individuals to become significantly thickened, leading to fibrosis, abnormal heart rhythms, cardiac dysfunction, HF, and sudden cardiac death in some adults and children. Based on publicly available information to date, we believe there are currently no approved treatments that address the underlying genetic cause of this disease. Our product candidate, TN-201, uses a differentiated approach that enables more robust expression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in the heart. We have demonstrated significant and durable disease reversal and survival benefit in a relevant murine model after a single dose, as well as tolerability in mice and non-human primates (NHPs). The program is currently in IND-enabling studies, and we have obtained feedback from multiple regulatory agencies including the FDA, to guide our path to clinical development. TN-201 has also been granted Orphan Drug Designation (ODD) by the FDA. We intend to submit an IND or CTA to the FDA or EMA, respectively, in 2022.</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Hypertrophic Cardiomyopathy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HCM is a condition in which the heart walls become thickened without an obvious cause, resulting in a reduced ability to pump blood effectively. A chronic, progressive disease, HCM is usually caused by the inheritance of mutations in the contractile machinery proteins in the heart muscle cell. Signs and symptoms of HCM may begin in infancy, childhood or adulthood. Mildly and moderately affected patients experience chest pain, have trouble breathing, and have reduced exercise tolerance and fatigue. In certain HCM patients, disease progression results in a substantial limitation in activities and impact on quality of life. The most severely affected patients suffer premature death due to end-stage HF, malignant ventricular arrhythmia, or stroke. HCM with onset in childhood and adolescence is, in particular, associated with significant unmet medical need. When compared with adult-onset HCM, childhood-onset HCM is 36% more likely to develop life-threatening ventricular arrhythmias and twice as likely to require transplant or ventricular assist device.</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Patients with HCM can present with either the obstructive form (oHCM) or the non-obstructive form (nHCM) of the disease. Both forms of the disease involve significant LV hypertrophy (LVH); however, in oHCM, the thickening of the LV wall is such that the LV outflow tract (LVOT) narrows and “obstructs” the proper flow of blood out of the LV to the rest of the body. We estimate approximately 50%-65% of HCM patients have oHCM while 35%-50% have nHCM. Both oHCM and nHCM can have equally severe disease presentation involving arrhythmia, HF, reduced quality of life, sudden cardiac death, and overall early mortality.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 example of an actual heart from a patient who had oHCM is shown below, characterized by LVH, high LV mass, LVOT narrowing, an overall small LV heart chamber and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134620</wp:posOffset>
            </wp:positionV>
            <wp:extent cx="1859915" cy="22199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5991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HCM is the most common form of heritable cardiomyopathy and is estimated to affect one in every 500 people, approximating more than 600,000 potential patients in the United States. A majority of HCM patients are currently undiagnosed, with diagnosis typically starting with the onset of symptoms, family screening, or the discovery of an abnormal ECG pattern.</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More than 2,000 mutations in eleven or more genes have been linked to HCM. The onset of disease is on average earlier and the disease severity is on average greater for HCM patients with pathogenic mutations in genes involving the sarcomere structure, including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are in fact the most common cause of HCM, estimated to represent approximately 19% of the overall HCM population and to affect approximately 115,000 patients in the United States. 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have also been associated with other forms of cardiomyopathy, including DCM, RCM, mixed cardiomyopathy, and ventricular non-compaction,which can lead to poor outcomes, particularly in children.</w:t>
      </w:r>
    </w:p>
    <w:p>
      <w:pPr>
        <w:spacing w:after="0" w:line="16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 xml:space="preserve">Disease-causing mutations occur throughout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with most mutations being truncating mutations. The phenotype of the patients with these mutations is the same, regardless of the location of the truncation. </w:t>
      </w:r>
      <w:r>
        <w:rPr>
          <w:rFonts w:ascii="Arial" w:cs="Arial" w:eastAsia="Arial" w:hAnsi="Arial"/>
          <w:sz w:val="18"/>
          <w:szCs w:val="18"/>
          <w:i w:val="1"/>
          <w:iCs w:val="1"/>
          <w:color w:val="auto"/>
        </w:rPr>
        <w:t>MYBPC3</w:t>
      </w:r>
      <w:r>
        <w:rPr>
          <w:rFonts w:ascii="Arial" w:cs="Arial" w:eastAsia="Arial" w:hAnsi="Arial"/>
          <w:sz w:val="18"/>
          <w:szCs w:val="18"/>
          <w:color w:val="auto"/>
        </w:rPr>
        <w:t xml:space="preserve"> mutations result in both oHCM and nHCM, with one study involving a series of more than 1000 patients finding that 31% of patients with truncating </w:t>
      </w:r>
      <w:r>
        <w:rPr>
          <w:rFonts w:ascii="Arial" w:cs="Arial" w:eastAsia="Arial" w:hAnsi="Arial"/>
          <w:sz w:val="18"/>
          <w:szCs w:val="18"/>
          <w:i w:val="1"/>
          <w:iCs w:val="1"/>
          <w:color w:val="auto"/>
        </w:rPr>
        <w:t>MYBPC3</w:t>
      </w:r>
      <w:r>
        <w:rPr>
          <w:rFonts w:ascii="Arial" w:cs="Arial" w:eastAsia="Arial" w:hAnsi="Arial"/>
          <w:sz w:val="18"/>
          <w:szCs w:val="18"/>
          <w:color w:val="auto"/>
        </w:rPr>
        <w:t xml:space="preserve"> mutations presented with LVOT characteristic of oHCM, while 69% of patients had nHCM.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schematic below illustrates the cellular localization of MYBPC3, within the heart. CMs contain multiple myofibrils, which are comprised of myofilaments containing many sarcomeres. The sarcomeres contain thin filaments containing actin and thick filaments containing myosin; the myosin head binds and pulls actin like a hand on a rope and thus supports normal muscle contraction. MYBPC3 (in yellow) is located between the thin and thick filaments and regulates the folding of the myosin head and its interaction with actin, and in this way, is also a critical element supporting normal muscle contraction. Based on published findings, it has been shown that MYBPC3 is involved in the folding of the myosin head into a state in which the head does not interact with actin or contribute to contraction.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19030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860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The reduced MYBPC3 protein levels associated with heterozygous 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result in increased activity of the myosin contractile machinery, which over time leads to LV muscle thickening, known as hypertrophy, excess deposition of extracellular matrix in the cardiac muscle, known as fibrosis, and disorganized muscle cells. As a result, the LV wall stiffens, and the chamber is reduced in size, decreasing the heart’s ability to pump. The contractile strength of the muscle declines in some cases, resulting in LV systolic dysfunction, which ultimately can necessitate advanced therapies, such as left ventricular assist devices (LVADs) or transplantation, in the most severely affected patients. Fibrosis and muscle cell disarray may also lead to arrhythmias in some patients, including life-threatening ventricular arrhythmias and atrial fibrillation, which can lead to stroke.</w:t>
      </w:r>
    </w:p>
    <w:p>
      <w:pPr>
        <w:spacing w:after="0" w:line="16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 xml:space="preserve">Infants with homozygous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represent a particularly severe patient group with high risk of death within a year after birth without heart transplantation. HCM patients who are heterozygous for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are typically diagnosed earlier in life, have more severe disease associated with increases in arrhythmia, sudden cardiac death and cardiovascular mortality as compared to genotype negative HCM patients.</w:t>
      </w:r>
    </w:p>
    <w:p>
      <w:pPr>
        <w:spacing w:after="0" w:line="14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 xml:space="preserve">Analysis of the hearts of patients who carry truncation mutations of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show on average an approximately 40% reduction in the level of functional MYBPC3 protein. In the most severe cases in which both copies of the gene are affected, there is a complete lack of functional MYBPC3 protein expression. We believe these findings support the idea that mutations of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cause human disease through haploinsufficiency, and also support the hypothesis that gene replacement may address the underlying cause of disease by increasing the levels of functional MYBPC3 protein.</w:t>
      </w:r>
    </w:p>
    <w:p>
      <w:pPr>
        <w:spacing w:after="0" w:line="188"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current goal of HCM treatment is to relieve symptoms and prevent sudden cardiac death in people at high risk. In current guideline-directed care, patients are typically prescribed one or more symptomatic therapies, including beta-blockers, verapamil, diltiazem, and disopyramide. These therapies do not address the underlying genetic cause of HCM and do not appear to affect disease progression. No randomized clinical trials have assessed these therapies specifically in HCM. The standards of care are slightly different for patients with oHCM versus nHCM, but the unmet need is high in both forms of the disease. Cardioverter-defibrillators may be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implanted for patients at high risk for malignant arrhythmias and sudden death. For a subset of HCM patients with severe and disabling disease, surgery or other invasive interventions may be appropriate. For patients with oHCM, myectomy is one such option that involves the surgical removal of portions of the septum. Young adult patients with HCM have four-fold higher mortality than the general U.S. population at a similar age; even with a transplant, ten-year survival after transplant for pediatric HCM patients remains less than 50%. Adult HCM patients with LV systolic dysfunction have increased mortality and high rates of cardiac transplantation and LVAD implantation.</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Based on publicly available information to date, we believe there are currently no approved therapies specifically for the treatment of HCM and no therapies in clinical development specifically for HCM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MYBPC3 Gene Therapy</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We are developing an AAV-based gene therapy designed to deliver a fully-functional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driven by our proprietary heart-tropic promoter to restore normal levels of MYBPC3 protein. We believe our product candidate, TN-201, has the potential to address the underlying biological basis of disease in adult and pediatric HCM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Based on our preclinical data, we believe that gene replacement, through highly specific and robust expression of </w:t>
      </w:r>
      <w:r>
        <w:rPr>
          <w:rFonts w:ascii="Arial" w:cs="Arial" w:eastAsia="Arial" w:hAnsi="Arial"/>
          <w:sz w:val="17"/>
          <w:szCs w:val="17"/>
          <w:i w:val="1"/>
          <w:iCs w:val="1"/>
          <w:color w:val="auto"/>
        </w:rPr>
        <w:t>MYBPC3,</w:t>
      </w:r>
      <w:r>
        <w:rPr>
          <w:rFonts w:ascii="Arial" w:cs="Arial" w:eastAsia="Arial" w:hAnsi="Arial"/>
          <w:sz w:val="17"/>
          <w:szCs w:val="17"/>
          <w:color w:val="auto"/>
        </w:rPr>
        <w:t xml:space="preserve"> has the potential to slow or even reverse the course of gHCM disease in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mutations, including LV hypertrophy and disease progression leading to outflow tract obstruction, HF, atrial fibrillation, and malignant arrhythmias. By improving upon these aspects of disease, TN-201 may improve heart functional capacity, stabilize or reverse disease symptoms, reduce the need for invasive treatments and improve survival for the most severely impacted patients. As with other AAV-based gene therapies, benefits are expected to be durable and a one-time dose may be sufficient for disease stabilization and potentially reversal. The idea of “lock and key” gene therapy is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139065</wp:posOffset>
            </wp:positionV>
            <wp:extent cx="5186045" cy="2057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8604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 xml:space="preserve">We developed a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knockout (KO) mouse model that simulates key aspects of the severe gHCM phenotype starting as early as two weeks of age. It is worth noting that this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model is homozygous, i.e., both copies of the gene are missing and so there is no production of the MYBPC3 protein. As expected, the severity of disease and the rate of disease progression are both greater than what is normally observed in most MYBPC3 patients, the majority of whom are heterozygous for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i.e., they have one normal, healthy copy of the gene that is producing at least some of the necessary MYBPC3 protein, plus one defective copy of the gene that is either producing no MYBPC3 protein at all or that is producing MYBPC3</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 xml:space="preserve">protein that does not function properly in the sarcomere.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model is nonetheless useful as it provides important proof of concept for the potentially beneficial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effect of the MYBPC3 protein replacement via a gene therapy approach.</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preclinical studies, we systemically administered a version of TN-201 optimized for the mouse (AAV:mMYBPC3) at 1×10</w:t>
      </w:r>
      <w:r>
        <w:rPr>
          <w:rFonts w:ascii="Arial" w:cs="Arial" w:eastAsia="Arial" w:hAnsi="Arial"/>
          <w:sz w:val="14"/>
          <w:szCs w:val="14"/>
          <w:color w:val="auto"/>
        </w:rPr>
        <w:t>14</w:t>
      </w:r>
      <w:r>
        <w:rPr>
          <w:rFonts w:ascii="Arial" w:cs="Arial" w:eastAsia="Arial" w:hAnsi="Arial"/>
          <w:sz w:val="17"/>
          <w:szCs w:val="17"/>
          <w:color w:val="auto"/>
        </w:rPr>
        <w:t xml:space="preserve"> vg/kg in two-week-old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mice. As shown in the figures below, treatment with AAV:mMYBPC3 improved heart function for the KO mice above their pre-treatment baseline levels, indicating partial reversal of the disease with an initial improvement of EF of more than 20% versus untreated controls that eventually increases to more than 30% at 13 months. At more than 13 months post treatment, these measures had not diminished, suggesting that a single systemic dose may be sufficient for a durable reversal of gHCM caused by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AAV:mMYBPC3 treatment also led to sustained improvements in LV mass normalized to body weight (BW) and EF. There is also a clear survival benefit with 100% survival in the AAV:mMYBPC3 arm and 100% mortality in the untreated control arm out to 16 months following dosing. Additionally, we observed improvements in LV diameter and ECG measurements. A summary of certain pre-clinical data supporting TN-201 was presented at the American Society of Gene and Cell Therapy (ASGCT) conference in 2021. Based on publicly available information, we believe these data are the first known demonstration of significant and durable disease reversal in a severe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Similar data have been observed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mouse model with our product candidate TN-201, using a human version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141605</wp:posOffset>
            </wp:positionV>
            <wp:extent cx="5194935" cy="45091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94935" cy="450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addition, a dose-response relationship has been demonstrated with AAV:mMYBPC3. As shown below, 1×10</w:t>
      </w:r>
      <w:r>
        <w:rPr>
          <w:rFonts w:ascii="Arial" w:cs="Arial" w:eastAsia="Arial" w:hAnsi="Arial"/>
          <w:sz w:val="14"/>
          <w:szCs w:val="14"/>
          <w:color w:val="auto"/>
        </w:rPr>
        <w:t>13</w:t>
      </w:r>
      <w:r>
        <w:rPr>
          <w:rFonts w:ascii="Arial" w:cs="Arial" w:eastAsia="Arial" w:hAnsi="Arial"/>
          <w:sz w:val="17"/>
          <w:szCs w:val="17"/>
          <w:color w:val="auto"/>
        </w:rPr>
        <w:t xml:space="preserve"> vg/kg, 3×10</w:t>
      </w:r>
      <w:r>
        <w:rPr>
          <w:rFonts w:ascii="Arial" w:cs="Arial" w:eastAsia="Arial" w:hAnsi="Arial"/>
          <w:sz w:val="14"/>
          <w:szCs w:val="14"/>
          <w:color w:val="auto"/>
        </w:rPr>
        <w:t>13</w:t>
      </w:r>
      <w:r>
        <w:rPr>
          <w:rFonts w:ascii="Arial" w:cs="Arial" w:eastAsia="Arial" w:hAnsi="Arial"/>
          <w:sz w:val="17"/>
          <w:szCs w:val="17"/>
          <w:color w:val="auto"/>
        </w:rPr>
        <w:t xml:space="preserve"> vg/kg and 1×10</w:t>
      </w:r>
      <w:r>
        <w:rPr>
          <w:rFonts w:ascii="Arial" w:cs="Arial" w:eastAsia="Arial" w:hAnsi="Arial"/>
          <w:sz w:val="14"/>
          <w:szCs w:val="14"/>
          <w:color w:val="auto"/>
        </w:rPr>
        <w:t>14</w:t>
      </w:r>
      <w:r>
        <w:rPr>
          <w:rFonts w:ascii="Arial" w:cs="Arial" w:eastAsia="Arial" w:hAnsi="Arial"/>
          <w:sz w:val="17"/>
          <w:szCs w:val="17"/>
          <w:color w:val="auto"/>
        </w:rPr>
        <w:t xml:space="preserve"> vg/kg weight-based doses all produced significant improvements in EF, LV mass normalized to body mass (LVM/BM), and measures of electrophysiological function (QT interval) at eight months post-injection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HCM mouse model. The 1×10</w:t>
      </w:r>
      <w:r>
        <w:rPr>
          <w:rFonts w:ascii="Arial" w:cs="Arial" w:eastAsia="Arial" w:hAnsi="Arial"/>
          <w:sz w:val="14"/>
          <w:szCs w:val="14"/>
          <w:color w:val="auto"/>
        </w:rPr>
        <w:t>13</w:t>
      </w:r>
      <w:r>
        <w:rPr>
          <w:rFonts w:ascii="Arial" w:cs="Arial" w:eastAsia="Arial" w:hAnsi="Arial"/>
          <w:sz w:val="17"/>
          <w:szCs w:val="17"/>
          <w:color w:val="auto"/>
        </w:rPr>
        <w:t xml:space="preserve"> vg/kg dose had the lowest levels of efficacy, while the 3×10</w:t>
      </w:r>
      <w:r>
        <w:rPr>
          <w:rFonts w:ascii="Arial" w:cs="Arial" w:eastAsia="Arial" w:hAnsi="Arial"/>
          <w:sz w:val="14"/>
          <w:szCs w:val="14"/>
          <w:color w:val="auto"/>
        </w:rPr>
        <w:t>13</w:t>
      </w:r>
      <w:r>
        <w:rPr>
          <w:rFonts w:ascii="Arial" w:cs="Arial" w:eastAsia="Arial" w:hAnsi="Arial"/>
          <w:sz w:val="17"/>
          <w:szCs w:val="17"/>
          <w:color w:val="auto"/>
        </w:rPr>
        <w:t xml:space="preserve"> vg/kg had high improvement in the EF, similar to the 1×10</w:t>
      </w:r>
      <w:r>
        <w:rPr>
          <w:rFonts w:ascii="Arial" w:cs="Arial" w:eastAsia="Arial" w:hAnsi="Arial"/>
          <w:sz w:val="14"/>
          <w:szCs w:val="14"/>
          <w:color w:val="auto"/>
        </w:rPr>
        <w:t>14</w:t>
      </w:r>
      <w:r>
        <w:rPr>
          <w:rFonts w:ascii="Arial" w:cs="Arial" w:eastAsia="Arial" w:hAnsi="Arial"/>
          <w:sz w:val="17"/>
          <w:szCs w:val="17"/>
          <w:color w:val="auto"/>
        </w:rPr>
        <w:t xml:space="preserve"> vg/kg dose, suggesting a plateau in the dose-response curve. A similar dose response has also been observed with TN-201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137795</wp:posOffset>
            </wp:positionV>
            <wp:extent cx="5014595" cy="2211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1459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Based on these data, it may be feasible to consider doses for TN-201 in the 3×10</w:t>
      </w:r>
      <w:r>
        <w:rPr>
          <w:rFonts w:ascii="Arial" w:cs="Arial" w:eastAsia="Arial" w:hAnsi="Arial"/>
          <w:sz w:val="13"/>
          <w:szCs w:val="13"/>
          <w:color w:val="auto"/>
        </w:rPr>
        <w:t>13</w:t>
      </w:r>
      <w:r>
        <w:rPr>
          <w:rFonts w:ascii="Arial" w:cs="Arial" w:eastAsia="Arial" w:hAnsi="Arial"/>
          <w:sz w:val="16"/>
          <w:szCs w:val="16"/>
          <w:color w:val="auto"/>
        </w:rPr>
        <w:t xml:space="preserve"> vg/kg to 1×10</w:t>
      </w:r>
      <w:r>
        <w:rPr>
          <w:rFonts w:ascii="Arial" w:cs="Arial" w:eastAsia="Arial" w:hAnsi="Arial"/>
          <w:sz w:val="13"/>
          <w:szCs w:val="13"/>
          <w:color w:val="auto"/>
        </w:rPr>
        <w:t>14</w:t>
      </w:r>
      <w:r>
        <w:rPr>
          <w:rFonts w:ascii="Arial" w:cs="Arial" w:eastAsia="Arial" w:hAnsi="Arial"/>
          <w:sz w:val="16"/>
          <w:szCs w:val="16"/>
          <w:color w:val="auto"/>
        </w:rPr>
        <w:t xml:space="preserve"> vg/kg range during clinical development. This dose range is also within the dose ranges reported by other companies in connection with an FDA-approved product and clinical studies of product candidates using AAV9 for gene therapy, including where the primary intended organ for the product candidate is the heart.</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At these doses of AAV9:mMYBPC3, we found that the vector copy number (VCN) from the heart samples of mice and NHPs are equal to or greater than the desired 1 vector genome per diploid genome (vg/dg) threshold. The significance of this threshold is that with a VCN greater than 1, each CM in the heart sample has on average at least 1 functional copy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which we believe may be enough to compensate for the mutated gene. Data in the public domain presented by other companies also demonstrated that AAV9 gene therapies administered at similar doses also resulted in VCN greater than 1 in multiple species including mice and pigs as well as in clinical studies with children and adults.</w:t>
      </w:r>
    </w:p>
    <w:p>
      <w:pPr>
        <w:spacing w:after="0" w:line="176"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One-time dosing of AAV:mMYBPC3 at 3x10</w:t>
      </w:r>
      <w:r>
        <w:rPr>
          <w:rFonts w:ascii="Arial" w:cs="Arial" w:eastAsia="Arial" w:hAnsi="Arial"/>
          <w:sz w:val="14"/>
          <w:szCs w:val="14"/>
          <w:color w:val="auto"/>
        </w:rPr>
        <w:t>13</w:t>
      </w:r>
      <w:r>
        <w:rPr>
          <w:rFonts w:ascii="Arial" w:cs="Arial" w:eastAsia="Arial" w:hAnsi="Arial"/>
          <w:sz w:val="17"/>
          <w:szCs w:val="17"/>
          <w:color w:val="auto"/>
        </w:rPr>
        <w:t xml:space="preserve"> and 1x10</w:t>
      </w:r>
      <w:r>
        <w:rPr>
          <w:rFonts w:ascii="Arial" w:cs="Arial" w:eastAsia="Arial" w:hAnsi="Arial"/>
          <w:sz w:val="14"/>
          <w:szCs w:val="14"/>
          <w:color w:val="auto"/>
        </w:rPr>
        <w:t>14</w:t>
      </w:r>
      <w:r>
        <w:rPr>
          <w:rFonts w:ascii="Arial" w:cs="Arial" w:eastAsia="Arial" w:hAnsi="Arial"/>
          <w:sz w:val="17"/>
          <w:szCs w:val="17"/>
          <w:color w:val="auto"/>
        </w:rPr>
        <w:t xml:space="preserve"> vg/kg achieved normal levels of protein expression in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mouse model hearts within two to six weeks following delivery. As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does not produce any functional MYBPC3 protein, these data illustrate that AAV:mMYBPC3 is able to express 100% of the normal level of the protein. By comparison, severe symptomatic patients that are heterozygous for </w:t>
      </w:r>
      <w:r>
        <w:rPr>
          <w:rFonts w:ascii="Arial" w:cs="Arial" w:eastAsia="Arial" w:hAnsi="Arial"/>
          <w:sz w:val="17"/>
          <w:szCs w:val="17"/>
          <w:i w:val="1"/>
          <w:iCs w:val="1"/>
          <w:color w:val="auto"/>
        </w:rPr>
        <w:t xml:space="preserve">MYBPC3 </w:t>
      </w:r>
      <w:r>
        <w:rPr>
          <w:rFonts w:ascii="Arial" w:cs="Arial" w:eastAsia="Arial" w:hAnsi="Arial"/>
          <w:sz w:val="17"/>
          <w:szCs w:val="17"/>
          <w:color w:val="auto"/>
        </w:rPr>
        <w:t>truncation mutations on average already produce 60% of the normal level of this protein, we believe suggesting that TN-201 needs to produce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more than 40% of the normal level of MYBPC3 protein in such patients. From our preclinical studies with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we have not observed MYBPC3 protein levels substantially above normal levels, suggesting that protein accumulation does not occur and supporting the potential for a broad therapeutic index with lessened concern of overexpression-related potential toxicities.</w:t>
      </w:r>
    </w:p>
    <w:p>
      <w:pPr>
        <w:spacing w:after="0" w:line="17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 xml:space="preserve">In addition, histological assessments of AAV:mMYBPC3 treated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model murine hearts support the uniform and robust distribution of expression following AAV:mMYBPC3 infusion, suggesting gene therapy may be able to replace the missing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uniformly across the heart and this observation is consistent with heart biopsy samples from patients treated with other AAV9-based gene therapies in development.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figure below demonstrates a restoration of MYBPC3 protein levels to wildtype levels within two weeks following a single dose of AAV:mMYBPC3 at the 3×10</w:t>
      </w:r>
      <w:r>
        <w:rPr>
          <w:rFonts w:ascii="Arial" w:cs="Arial" w:eastAsia="Arial" w:hAnsi="Arial"/>
          <w:sz w:val="15"/>
          <w:szCs w:val="15"/>
          <w:color w:val="auto"/>
        </w:rPr>
        <w:t>13</w:t>
      </w:r>
      <w:r>
        <w:rPr>
          <w:rFonts w:ascii="Arial" w:cs="Arial" w:eastAsia="Arial" w:hAnsi="Arial"/>
          <w:sz w:val="18"/>
          <w:szCs w:val="18"/>
          <w:color w:val="auto"/>
        </w:rPr>
        <w:t xml:space="preserve"> vg/kg and 1×10</w:t>
      </w:r>
      <w:r>
        <w:rPr>
          <w:rFonts w:ascii="Arial" w:cs="Arial" w:eastAsia="Arial" w:hAnsi="Arial"/>
          <w:sz w:val="15"/>
          <w:szCs w:val="15"/>
          <w:color w:val="auto"/>
        </w:rPr>
        <w:t>14</w:t>
      </w:r>
      <w:r>
        <w:rPr>
          <w:rFonts w:ascii="Arial" w:cs="Arial" w:eastAsia="Arial" w:hAnsi="Arial"/>
          <w:sz w:val="18"/>
          <w:szCs w:val="18"/>
          <w:color w:val="auto"/>
        </w:rPr>
        <w:t xml:space="preserve"> vg/kg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133985</wp:posOffset>
            </wp:positionV>
            <wp:extent cx="5820410" cy="23399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2041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 xml:space="preserve">Consistent with observed therapeutic benefit, treatment of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mice with AAV:mMYBPC3 is also associated with a substantial reduction of expression of genes associated with fibrosis and B-type natriuretic peptide (BNP), a circulating factor associated with heart damage and heart wall stretch. We intend to evaluate the impact of treatment on BNP as a potential PD biomarker in initial clinical studies.</w:t>
      </w:r>
    </w:p>
    <w:p>
      <w:pPr>
        <w:spacing w:after="0" w:line="16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figures below shows dose-dependent inhibition of expression of genes associated with cardiac strain (Nppa, Nppb, and Myh7) and fibrosis (</w:t>
      </w:r>
      <w:r>
        <w:rPr>
          <w:rFonts w:ascii="Arial" w:cs="Arial" w:eastAsia="Arial" w:hAnsi="Arial"/>
          <w:sz w:val="17"/>
          <w:szCs w:val="17"/>
          <w:i w:val="1"/>
          <w:iCs w:val="1"/>
          <w:color w:val="auto"/>
        </w:rPr>
        <w:t>Col1a1, Col4a1, and Postn</w:t>
      </w:r>
      <w:r>
        <w:rPr>
          <w:rFonts w:ascii="Arial" w:cs="Arial" w:eastAsia="Arial" w:hAnsi="Arial"/>
          <w:sz w:val="17"/>
          <w:szCs w:val="17"/>
          <w:color w:val="auto"/>
        </w:rPr>
        <w:t>) following a single dose of AAV:mMYBPC3 at the 3×10</w:t>
      </w:r>
      <w:r>
        <w:rPr>
          <w:rFonts w:ascii="Arial" w:cs="Arial" w:eastAsia="Arial" w:hAnsi="Arial"/>
          <w:sz w:val="14"/>
          <w:szCs w:val="14"/>
          <w:color w:val="auto"/>
        </w:rPr>
        <w:t>13</w:t>
      </w:r>
      <w:r>
        <w:rPr>
          <w:rFonts w:ascii="Arial" w:cs="Arial" w:eastAsia="Arial" w:hAnsi="Arial"/>
          <w:sz w:val="17"/>
          <w:szCs w:val="17"/>
          <w:color w:val="auto"/>
        </w:rPr>
        <w:t xml:space="preserve"> vg/kg and 1×10</w:t>
      </w:r>
      <w:r>
        <w:rPr>
          <w:rFonts w:ascii="Arial" w:cs="Arial" w:eastAsia="Arial" w:hAnsi="Arial"/>
          <w:sz w:val="14"/>
          <w:szCs w:val="14"/>
          <w:color w:val="auto"/>
        </w:rPr>
        <w:t>14</w:t>
      </w:r>
      <w:r>
        <w:rPr>
          <w:rFonts w:ascii="Arial" w:cs="Arial" w:eastAsia="Arial" w:hAnsi="Arial"/>
          <w:sz w:val="17"/>
          <w:szCs w:val="17"/>
          <w:color w:val="auto"/>
        </w:rPr>
        <w:t xml:space="preserve"> vg/kg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-34290</wp:posOffset>
            </wp:positionV>
            <wp:extent cx="3206115" cy="31889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0611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860"/>
          </w:cols>
          <w:pgMar w:left="320" w:top="459" w:right="7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Treatment with either TN-201 or AAV:mMYBPC3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has not been associated with significant BW differences, clinical observations, or differences in histopathological assessments across dose levels. In addition, no impact on BW has been observed at dose levels between 3×10</w:t>
      </w:r>
      <w:r>
        <w:rPr>
          <w:rFonts w:ascii="Arial" w:cs="Arial" w:eastAsia="Arial" w:hAnsi="Arial"/>
          <w:sz w:val="14"/>
          <w:szCs w:val="14"/>
          <w:color w:val="auto"/>
        </w:rPr>
        <w:t>13</w:t>
      </w:r>
      <w:r>
        <w:rPr>
          <w:rFonts w:ascii="Arial" w:cs="Arial" w:eastAsia="Arial" w:hAnsi="Arial"/>
          <w:sz w:val="17"/>
          <w:szCs w:val="17"/>
          <w:color w:val="auto"/>
        </w:rPr>
        <w:t xml:space="preserve"> vg/kg and 6×10</w:t>
      </w:r>
      <w:r>
        <w:rPr>
          <w:rFonts w:ascii="Arial" w:cs="Arial" w:eastAsia="Arial" w:hAnsi="Arial"/>
          <w:sz w:val="14"/>
          <w:szCs w:val="14"/>
          <w:color w:val="auto"/>
        </w:rPr>
        <w:t>14</w:t>
      </w:r>
      <w:r>
        <w:rPr>
          <w:rFonts w:ascii="Arial" w:cs="Arial" w:eastAsia="Arial" w:hAnsi="Arial"/>
          <w:sz w:val="17"/>
          <w:szCs w:val="17"/>
          <w:color w:val="auto"/>
        </w:rPr>
        <w:t xml:space="preserve"> vg/kg in safety studies in wildtype neonatal mice twelve weeks after dosing. The 6×10</w:t>
      </w:r>
      <w:r>
        <w:rPr>
          <w:rFonts w:ascii="Arial" w:cs="Arial" w:eastAsia="Arial" w:hAnsi="Arial"/>
          <w:sz w:val="14"/>
          <w:szCs w:val="14"/>
          <w:color w:val="auto"/>
        </w:rPr>
        <w:t>14</w:t>
      </w:r>
      <w:r>
        <w:rPr>
          <w:rFonts w:ascii="Arial" w:cs="Arial" w:eastAsia="Arial" w:hAnsi="Arial"/>
          <w:sz w:val="17"/>
          <w:szCs w:val="17"/>
          <w:color w:val="auto"/>
        </w:rPr>
        <w:t xml:space="preserve"> vg/kg dose level is estimated to be six to 20 times greater than the approximated target dose, further supporting a broad therapeutic index.</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Comparison with Previously Published Results for Our MYBPC3 Gene Therapy</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Our approach is differentiated from previously published MYBPC3 gene therapy approaches. During optimization of our MYBPC3 gene therapies, we discovered a CM-specific promoter, TNP-CM1, with improved performance attributes as compared to the standard cTnT promoter.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analyses confirmed that TNP-CM1 significantly increased expression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compared to what can be achieved with the standard cTnT promoter. See “Business—Our Approach and Capabilities—3. Promoters and Regulatory Elements.” TNP-CM1 has been tested in a hiPSC-CM disease model, in multiple murine models, and in NHPs. As demonstrated below, our proprietary cassette significantly improved heart function in our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mouse model in comparison to a published construct containing a standard cTnT promoter and utilizing the same AAV capsid. These data are also significant as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models were treated at three months of age (rather than two weeks) suggesting that it is possible to reverse cardiac dysfunction even after significant onset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139065</wp:posOffset>
            </wp:positionV>
            <wp:extent cx="4080510" cy="26657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08051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Planned Clinical Development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TN-201 was selected as the development candidate for the MYBPC3 gene therapy program. The manufacturing process for TN-201 drug substance has been locked at the 200L scale. We intend to submit an IND or CTA to the FDA or EMA, respectively, in 2022. If our IND or CTA is approved, we plan to initiate global first-in-human studies in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We have obtained useful feedback from regulatory authorities in multiple countries and the FDA has granted orphan drug designation for TN-201.</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 xml:space="preserve">As the mechanism of action for TN-201 is relevant for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that present with either oHCM or nHCM, we intend to explore the effect of TN-201 in both populations in clinical studies. During clinical development, we plan to assess clinically relevant PD markers and echo parameters that have been shown to have meaningful changes within a few weeks to months in prior trials of HCM patients.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We also plan to initiate a prospective and retrospective natural history study in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mutation-associated cardiomyopathy by the end of 2021. The objective of the natural history study, a non-interventional clinical study that follows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mutations over time, is to characterize the outcomes, burden of illness, risk factors, quality of life, and biomarkers associated with disease progression in patients with cardiomyopathy due to </w:t>
      </w:r>
      <w:r>
        <w:rPr>
          <w:rFonts w:ascii="Arial" w:cs="Arial" w:eastAsia="Arial" w:hAnsi="Arial"/>
          <w:sz w:val="17"/>
          <w:szCs w:val="17"/>
          <w:i w:val="1"/>
          <w:iCs w:val="1"/>
          <w:color w:val="auto"/>
        </w:rPr>
        <w:t>MYBPC3</w:t>
      </w:r>
      <w:r>
        <w:rPr>
          <w:rFonts w:ascii="Arial" w:cs="Arial" w:eastAsia="Arial" w:hAnsi="Arial"/>
          <w:sz w:val="17"/>
          <w:szCs w:val="17"/>
          <w:color w:val="auto"/>
        </w:rPr>
        <w:t xml:space="preserve"> mutations as well as treatments, procedures, and patient outcomes.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HDAC6i Program for HFpEF and gDCM</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are developing an HDAC6i small molecule for various forms of HF, including HFpEF. This disease involves systemic inflammation, left ventricular hypertrophy, fibrosis, and diastolic dysfunction resulting in high morbidity and mortality in affected individuals. HFpEF is one of the greatest areas of unmet need in heart disease with more than three million patients in the United States and currently no approved disease-modifying therapies. Our product candidate, TYA-11631, is a differentiated compound with unique chemical structures and high specificity for HDAC6. We have demonstrated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 of our HDAC6 molecules in multiple animal models, including significant disease reversal in two different models of HFpEF as well as tolerability in mice and NHPs. Based on publicly available information to date, we believe, TYA-11631 is the first HDAC6i being developed for heart disease. We have initiated IND-enabling activities and intend to submit an IND to the FDA in 2022.</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HFpEF</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HFpEF is generally defined as HF with an EF greater than or equal to 50%. In patients with HFpEF, the LV is stiffened and does not adequately relax, and increased pressure is needed for the ventricle to properly fill. As a result, blood begins to build up inside the left atrium of the heart and eventually swells into the lungs, veins and tissues of the body. HFpEF is progressive in many patients. Symptoms initially include fatigue, shortness of breath, and tissue swelling, resulting in reduced physical activity. Over time, this results in a substantial limitation in activities and impact on quality of life, and patients are at risk of premature death.</w:t>
      </w:r>
    </w:p>
    <w:p>
      <w:pPr>
        <w:spacing w:after="0" w:line="18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At least half of all hospital admissions for HF are related to HFpEF and approximately 24% of the HFpEF population is considered to have New York Heart Association Class III or Class IV disease, representing a disease burden that markedly impacts quality of life and limits physical activity. Among patients hospitalized for HFpEF, readmission for HF and mortality rates over a five-year period are as high as 40% and 75%, respectively.</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Patients with HFpEF represent approximately half of HF patients. There are estimated to be over 3,000,000 patients diagnosed with HFpEF in the United States. HFpEF prevalence is rapidly increasing, with prevalence anticipated to increase by more than 45% by 2030. The increase in HFpEF prevalence is at least in part due to the high overlap of this condition with diabetes and obesity which are also on the rise in the United States and globally.</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Despite limited data demonstrating efficacy in the HFpEF setting, patients generally receive therapies prescribed for HFrEF, including diuretics, beta-blockers, and ACE inhibitors. Patients with HFpEF are generally not responsive to therapies that have been shown to improve outcomes of patients with HFrEF. Without the development of more effective therapies specifically for HFpEF patients, disease management is mostly directed toward treating associated conditions and symptoms. Despite agreement for the need for therapies that alter the trajectory of HFpEF, clinical trials that have enrolled patients with HFpEF have not led to new therapies that meaningfully improve morbidity or mortality for the HFpEF patient population. We believe that HFpEF remains one of the greatest unmet needs in cardiovascular medicine.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gDCM</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Genetic abnormalities linked to gDCM are estimated to be present in about 30% to 40% of DCM patients. Variants in more than 40 genes have been linked with gDCM with many patients having more than two mutations meeting criteria for causation of DCM. Despite a common disease phenotype, mutations linked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gDCM are present in proteins with diverse cellular locations within the CM, including localization to the nucleus, cellular membrane, sarcomere, and ion channels. Mutations, deletions, and truncations in one such protein, Bcl2-associated anthanogene 3 (BAG3), have been thought to be causative of DCM in a subset of gDCM patients. Patients with BAG3 DCM represents a particularly high unmet need with an average age of onset of 37 years and an increased rate of heart transplant and LVAD placement. For additional information regarding DCM and gDCM, see the “</w:t>
      </w:r>
      <w:r>
        <w:rPr>
          <w:rFonts w:ascii="Arial" w:cs="Arial" w:eastAsia="Arial" w:hAnsi="Arial"/>
          <w:sz w:val="18"/>
          <w:szCs w:val="18"/>
          <w:i w:val="1"/>
          <w:iCs w:val="1"/>
          <w:color w:val="auto"/>
        </w:rPr>
        <w:t>DWORF Program for DCM</w:t>
      </w:r>
      <w:r>
        <w:rPr>
          <w:rFonts w:ascii="Arial" w:cs="Arial" w:eastAsia="Arial" w:hAnsi="Arial"/>
          <w:sz w:val="18"/>
          <w:szCs w:val="18"/>
          <w:color w:val="auto"/>
        </w:rPr>
        <w:t xml:space="preserve"> </w:t>
      </w:r>
      <w:r>
        <w:rPr>
          <w:rFonts w:ascii="Arial" w:cs="Arial" w:eastAsia="Arial" w:hAnsi="Arial"/>
          <w:sz w:val="18"/>
          <w:szCs w:val="18"/>
          <w:i w:val="1"/>
          <w:iCs w:val="1"/>
          <w:color w:val="auto"/>
        </w:rPr>
        <w:t>— Overview of DCM</w:t>
      </w:r>
      <w:r>
        <w:rPr>
          <w:rFonts w:ascii="Arial" w:cs="Arial" w:eastAsia="Arial" w:hAnsi="Arial"/>
          <w:sz w:val="18"/>
          <w:szCs w:val="18"/>
          <w:color w:val="auto"/>
        </w:rPr>
        <w:t>” below.</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HDAC6 inhibitor (TYA-11631)</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developed a number of highly selective proprietary HDAC6 small molecule inhibitors (HDAC6i), including TYA-11018 and our product candidate, TYA-11631. HDAC inhibitors have long been considered promising targets for many indications in a range of therapeutic areas, including oncology and other indications. Several partially selective HDAC6i are already in clinical development, but none yet for heart disease. There are currently no other HDAC inhibitors in clinical development for heart disease indications and we intend to be the first to advance a selective HDAC6i into clinical development for the treatment of HF.</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Less selective HDAC inhibitors in development in other indications have been associated with dose-limiting toxicities and safety liabilities, such as thrombocytopenia. In contrast, we have identified a number of highly selective and potent HDAC6i with high levels of selectivity for HDAC6. As demonstrated in the figure below, some of our proprietary inhibitors are greater than 1,000 times more selective for HDAC6 than for other HDAC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144780</wp:posOffset>
            </wp:positionV>
            <wp:extent cx="4663440" cy="20656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6634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 xml:space="preserve">Internal data indicate that the higher selectivity of our compounds may translate to lower safety risks as compared to other selective compounds. As shown below,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we have observed reduced off-target effects relative to other pan-HDAC inhibitors or partially selective HDAC6 inhibitors in clinical development, as measured by the relative number of megakaryocyte colonies formed in the presence of the compounds tested at different concentrations. No thrombocytopenia has been observed in animal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134620</wp:posOffset>
            </wp:positionV>
            <wp:extent cx="2871470" cy="28975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7147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product candidate, TYA-11631, has favorable drug-like properties, including pharmacokinetics (PK), oral bioavailability, panel selectivity, protein-binding activity, and cellular toxicity, supporting the potential for once-daily oral dosing in humans. To date, there have been no adverse findings in multiple pilot toxicology studies in rats and NHPs with TYA-11631 and TYA-11018, including no treatment-related mortality, adverse effects in clinical signs, body weight, food consumption, or clinical pathology. We have filed patent applications across multiple chemical series encompassing TYA-11631, TYA-11018, and other potential back-up molecules, as well as patent applications related to methods of use.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TYA-11631: Preclinical Studies in HFpEF</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Treatment with TYA-11631 has reversed measures of HFpEF, including heart filling defects known as diastolic dysfunction, in multiple animal models. In one HFpEF model developed in-house, we surgically applied moderate aortic banding (mTAC) in wild type mice fed a high fat diet (HFD) for eight weeks. These interventions induced a cardio-metabolic HF phenotype that simulated the systemic and cardiovascular features of HFpEF in humans. Aspects of the HFpEF phenotype included increased LV wall thickness, LV hypertrophy, increased diastolic pressure, impaired LV relaxation and filling, and glucose intolerance, all where the EF is greater than or equal to 50%, called preserved EF.</w:t>
      </w:r>
    </w:p>
    <w:p>
      <w:pPr>
        <w:spacing w:after="0" w:line="1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After the HFpEF phenotypes were established, animals were dosed orally with TYA-11631 or vehicle for six weeks. As illustrated below, TYA-11631 treatment reversed HFpEF disease phenotype across all studied parameters, including restoration of LV wall thickness, LV end diastolic pressure, LV relaxation and filling, and LV mass, compared to control. In addition, as shown below, the treated mice exhibited a clear trend of decreased lung weight, indicative of improvement in pulmonary congestion consistent with the reduction of filling pressure.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205740</wp:posOffset>
            </wp:positionV>
            <wp:extent cx="5092065" cy="2948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9206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as illustrated below, in multiple studies in HFpEF models, we have also observed an improvement in glucose tolerance suggesting that treatment with a selective HDAC6i may have a positive impact on glucose metabolism.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133985</wp:posOffset>
            </wp:positionV>
            <wp:extent cx="4123055" cy="30175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12305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Consistent with the observed improvement in HFpEF phenotype, TYA-11631 treatment in this HFpEF model was also associated with reductions of key biomarkers of fibrosis, hypertrophy and cardiac damage, and inflammation in heart samples compared to levels observed in control animals,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8460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8604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TYA-11631: Preclinical Studies in Models of Metabolic Disease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to improvements in glucose metabolism associated with TYA-11631 treatment in HFpEF mouse models, treatment with TYA-11631 has also lead to improvements in glucose tolerance and insulin sensitivity in a Diet Induced Obesity (DIO) mouse model. As shown below, treatment with a single dose of TYA-11631 improves glucose tolerance in a dose-dependent manner in the DIO model. Furthermore, TYA-11631 treatment improves glucose tolerance in a dose-dependent manner after daily dosing for two weeks and insulin sensitivity in a dose-dependent manner after daily dosing for four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21342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860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20"/>
          </w:cols>
          <w:pgMar w:left="320" w:top="459" w:right="5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A single dose treatment of TYA-11631 in the DIO model is also associated with a significant reduction in inflammatory markers in adipose tissue relative to controls as shown below. Inflammatory biomarkers in adipose tissue are thought to be linked to glucose tolerance and insulin sensitivity. For example, adipose IL-6 deficiency has been associated with improvements in glucose tolerance. Loss of IL-10 has also been shown to protect mice from DIO and improve glucose tolerance and insulin sensitivity. Collectively, these data are supportive of a role for HDAC6 inhibition on glucose tolerance and insulin resistance with potential applicability to sub-populations of HFpEF patients with obesity, diabetes, or metabolic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86045" cy="14490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8604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HDAC6 Inhibitors: Preclinical Studies in DCM</w:t>
      </w:r>
    </w:p>
    <w:p>
      <w:pPr>
        <w:spacing w:after="0" w:line="117"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 xml:space="preserve">Through our target identification Precision Medicine platform, HDAC6 was initially identified as a target for a genetically defined subset of DCM, BAG3 mutant DCM. We screened a large chemical library to identify compounds able to reverse sarcomere defects in BAG3-deficient iPSC-CMs. Sarcomere defects were rapidly and systemically assessed through our proprietary machine learning algorithms. Whereas a pan-HDAC inhibitor was identified in the initial compound screen as reversing sarcomere defects, we conducted follow-up screens using RNAi knockdowns of HDAC family members to identify HDAC6 as a potential therapeutic target </w:t>
      </w:r>
      <w:r>
        <w:rPr>
          <w:rFonts w:ascii="Arial" w:cs="Arial" w:eastAsia="Arial" w:hAnsi="Arial"/>
          <w:sz w:val="17"/>
          <w:szCs w:val="17"/>
          <w:i w:val="1"/>
          <w:iCs w:val="1"/>
          <w:color w:val="auto"/>
        </w:rPr>
        <w:t>in vitro</w:t>
      </w:r>
      <w:r>
        <w:rPr>
          <w:rFonts w:ascii="Arial" w:cs="Arial" w:eastAsia="Arial" w:hAnsi="Arial"/>
          <w:sz w:val="17"/>
          <w:szCs w:val="17"/>
          <w:color w:val="auto"/>
        </w:rPr>
        <w:t>.</w:t>
      </w:r>
    </w:p>
    <w:p>
      <w:pPr>
        <w:spacing w:after="0" w:line="17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We have validated these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findings by testing our HDAC6i compounds in BAG3 mutant mice models. As shown in the figure below, treatment of a rapidly worsening mouse model of BAG3 mutant DCM with TYA-11018 resulted in a greater than 20% improvement in EF after eight weeks of treatment compared to a control group treated with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142875</wp:posOffset>
            </wp:positionV>
            <wp:extent cx="3669030" cy="2434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6903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40"/>
          </w:cols>
          <w:pgMar w:left="320" w:top="459" w:right="5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contrast to other HDAC proteins, HDAC6 is a tubulin deacetylase. When HDAC6 is inhibited, tubulin acetylation is promoted, leading to increased microtubule stability. Increased microtubule stability has been linked to an increase in assembly of vesicles called autophagosomes which are involved in the clearance of aggregated and misfolded proteins in diseased cells. In the diseased heart, one potential mechanism of action for HDAC6 inhibition is promoting autophagy, driving a clearance of aggregated proteins in the heart, and thus restoring normal cellular function and structure. Protein aggregation is characteristic of some forms of DCM and have been linked to CM and cardiac dysfunction. The BAG3 mutant DCM patient population may be particularly sensitive to this mechanism of action for HDAC6 inhibition. BAG3 facilitates autophagy as a co-chaperone protein with heat shock proteins and mutations in the BAG3 gene may lead to potentially defective autophagy in the heart.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schematic below shows promotion of autophagy as a potential mechanism of action for HDAC6 inhibition in 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168910</wp:posOffset>
            </wp:positionV>
            <wp:extent cx="3025775" cy="21088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02577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 xml:space="preserve">The role of HDAC6 inhibition in the promotion of autophagy is supported by biomarker analyses in TYA-11018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studies in the BAG3 DCM mouse model. As shown in the figure below, one autophagy marker, LC3, increases in correlation with functional measures such as EF in efficacy studies, suggestive of the potential role of autophagy as a mechanism of action for HDAC6 inhibition in 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130810</wp:posOffset>
            </wp:positionV>
            <wp:extent cx="3265805" cy="19284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6580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40"/>
          </w:cols>
          <w:pgMar w:left="320" w:top="459" w:right="5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HDAC6 Inhibitors: Potential Mechanism of Action in HFpEF</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pathophysiological mechanisms underlying HFpEF is an active area of scientific research. Key aspects of HFpEF disease biology include oxidative stress and inflammation, cardiac fibrosis, cardiac hypertrophy, cardiac stiffness, which all result in diastolic dysfunction, and decreased ability of the heart to fill its chambers during contraction. Defects in glucose tolerance and insulin sensitivity and overall defective metabolism have also been proposed to play a role in HFpEF onset and progression due to high overlap in the HFpEF population with diabetes and obesity as comorbidities.</w:t>
      </w:r>
    </w:p>
    <w:p>
      <w:pPr>
        <w:spacing w:after="0" w:line="15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HDAC6 has been generally associated with several of these potential HFpEF mechanisms. Our preclinical data generated to date is consistent with what is known in the published literature and is suggestive of a multi-modal mechanism of action that may address multiple aspects of disease.</w:t>
      </w:r>
    </w:p>
    <w:p>
      <w:pPr>
        <w:spacing w:after="0" w:line="12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schematic below shows a conceptual model of HFpEF disease biology highlighting key aspects (the yellow boxes in the figure below) for which there are external and internal data supporting the potential utility of HDAC6i.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133985</wp:posOffset>
            </wp:positionV>
            <wp:extent cx="5212080" cy="28117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20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40" w:right="140" w:hanging="424"/>
        <w:spacing w:after="0" w:line="263"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Inflammation / Oxidative stress: </w:t>
      </w:r>
      <w:r>
        <w:rPr>
          <w:rFonts w:ascii="Arial" w:cs="Arial" w:eastAsia="Arial" w:hAnsi="Arial"/>
          <w:sz w:val="18"/>
          <w:szCs w:val="18"/>
          <w:color w:val="auto"/>
        </w:rPr>
        <w:t>Published studies have linked inhibition of HDAC6 with inflammasome biology and enhancement of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T cell activity. In our preclinical studies, TYA-11631 has shown improvement in inflammatory markers in adipose tissue from the DIO model, while TYA-11018 has shown improvement in inflammatory markers in a BAG3 model of DCM.</w:t>
      </w:r>
    </w:p>
    <w:p>
      <w:pPr>
        <w:spacing w:after="0" w:line="210" w:lineRule="exact"/>
        <w:rPr>
          <w:rFonts w:ascii="Arial" w:cs="Arial" w:eastAsia="Arial" w:hAnsi="Arial"/>
          <w:sz w:val="18"/>
          <w:szCs w:val="18"/>
          <w:color w:val="auto"/>
        </w:rPr>
      </w:pPr>
    </w:p>
    <w:p>
      <w:pPr>
        <w:ind w:left="540" w:right="220" w:hanging="424"/>
        <w:spacing w:after="0" w:line="296"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Defective metabolism / glucose metabolism: </w:t>
      </w:r>
      <w:r>
        <w:rPr>
          <w:rFonts w:ascii="Arial" w:cs="Arial" w:eastAsia="Arial" w:hAnsi="Arial"/>
          <w:sz w:val="16"/>
          <w:szCs w:val="16"/>
          <w:color w:val="auto"/>
        </w:rPr>
        <w:t>In a published study, HDAC6 KO mice had a significant improvement in dexamethasone-induced</w:t>
      </w:r>
      <w:r>
        <w:rPr>
          <w:rFonts w:ascii="Arial" w:cs="Arial" w:eastAsia="Arial" w:hAnsi="Arial"/>
          <w:sz w:val="16"/>
          <w:szCs w:val="16"/>
          <w:i w:val="1"/>
          <w:iCs w:val="1"/>
          <w:color w:val="auto"/>
        </w:rPr>
        <w:t xml:space="preserve"> </w:t>
      </w:r>
      <w:r>
        <w:rPr>
          <w:rFonts w:ascii="Arial" w:cs="Arial" w:eastAsia="Arial" w:hAnsi="Arial"/>
          <w:sz w:val="16"/>
          <w:szCs w:val="16"/>
          <w:color w:val="auto"/>
        </w:rPr>
        <w:t>whole-body glucose intolerance and insulin resistance compared to wildtype mice, suggesting that HDAC6 may be an important regulator of gluconeogenesis and glucose metabolism. In our preclinical studies, TYA-11631 has also shown improvement in glucose tolerance in a HFpEF model; dose-dependent improvements in glucose tolerance and insulin resistance in a DIO mouse model; and improvement in glucose uptake in iPSC-CMs. TYA-11018 has also shown improvement in dysregulated metabolic pathways in a BAG model of DCM.</w:t>
      </w:r>
    </w:p>
    <w:p>
      <w:pPr>
        <w:spacing w:after="0" w:line="188" w:lineRule="exact"/>
        <w:rPr>
          <w:rFonts w:ascii="Arial" w:cs="Arial" w:eastAsia="Arial" w:hAnsi="Arial"/>
          <w:sz w:val="16"/>
          <w:szCs w:val="16"/>
          <w:color w:val="auto"/>
        </w:rPr>
      </w:pPr>
    </w:p>
    <w:p>
      <w:pPr>
        <w:ind w:left="540" w:right="260" w:hanging="424"/>
        <w:spacing w:after="0" w:line="263"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In published studies, HDAC6 inhibition by siRNA or partially selective inhibitors attenuates myofibroblast markers and HDAC6</w:t>
      </w:r>
      <w:r>
        <w:rPr>
          <w:rFonts w:ascii="Arial" w:cs="Arial" w:eastAsia="Arial" w:hAnsi="Arial"/>
          <w:sz w:val="18"/>
          <w:szCs w:val="18"/>
          <w:i w:val="1"/>
          <w:iCs w:val="1"/>
          <w:color w:val="auto"/>
        </w:rPr>
        <w:t xml:space="preserve"> </w:t>
      </w:r>
      <w:r>
        <w:rPr>
          <w:rFonts w:ascii="Arial" w:cs="Arial" w:eastAsia="Arial" w:hAnsi="Arial"/>
          <w:sz w:val="18"/>
          <w:szCs w:val="18"/>
          <w:color w:val="auto"/>
        </w:rPr>
        <w:t>knockdown has been demonstrated to inhibit CF proliferation. In our preclinical studies, TYA-11631 significantly improved markers of cardiac fibrosis in a HFpEF model.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80" w:hanging="424"/>
        <w:spacing w:after="0" w:line="259"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Hypertrophy: </w:t>
      </w:r>
      <w:r>
        <w:rPr>
          <w:rFonts w:ascii="Arial" w:cs="Arial" w:eastAsia="Arial" w:hAnsi="Arial"/>
          <w:sz w:val="18"/>
          <w:szCs w:val="18"/>
          <w:color w:val="auto"/>
        </w:rPr>
        <w:t>Published studies illustrate that HDAC inhibitors can prevent cardiac hypertrophy in animal models in response to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hypertrophic stimuli. In a published study, HDAC inhibition suppressed cardiac hypertrophy and fibrosis in a model of hypertension through regulation of HDAC6/HDAC8 enzyme activity. In our preclinical studies, TYA-11631 has also shown improved in LV hypertrophy in multiple HFpEF models.</w:t>
      </w:r>
    </w:p>
    <w:p>
      <w:pPr>
        <w:spacing w:after="0" w:line="213" w:lineRule="exact"/>
        <w:rPr>
          <w:rFonts w:ascii="Arial" w:cs="Arial" w:eastAsia="Arial" w:hAnsi="Arial"/>
          <w:sz w:val="18"/>
          <w:szCs w:val="18"/>
          <w:color w:val="auto"/>
        </w:rPr>
      </w:pPr>
    </w:p>
    <w:p>
      <w:pPr>
        <w:ind w:left="540" w:right="340" w:hanging="424"/>
        <w:spacing w:after="0" w:line="308" w:lineRule="auto"/>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Impaired autophagy: </w:t>
      </w:r>
      <w:r>
        <w:rPr>
          <w:rFonts w:ascii="Arial" w:cs="Arial" w:eastAsia="Arial" w:hAnsi="Arial"/>
          <w:sz w:val="17"/>
          <w:szCs w:val="17"/>
          <w:color w:val="auto"/>
        </w:rPr>
        <w:t>Published studies illustrate the role of reduced autophagy in HFpEF and in aging hearts. In our preclinical studies, TYA-11018 has shown improvement in autophagy in a BAG model of DCM that was correlated with improvement in heart function.</w:t>
      </w:r>
    </w:p>
    <w:p>
      <w:pPr>
        <w:spacing w:after="0" w:line="173" w:lineRule="exact"/>
        <w:rPr>
          <w:rFonts w:ascii="Arial" w:cs="Arial" w:eastAsia="Arial" w:hAnsi="Arial"/>
          <w:sz w:val="17"/>
          <w:szCs w:val="17"/>
          <w:color w:val="auto"/>
        </w:rPr>
      </w:pPr>
    </w:p>
    <w:p>
      <w:pPr>
        <w:jc w:val="both"/>
        <w:ind w:left="540" w:right="220" w:hanging="424"/>
        <w:spacing w:after="0" w:line="263"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Diastolic dysfunction: </w:t>
      </w:r>
      <w:r>
        <w:rPr>
          <w:rFonts w:ascii="Arial" w:cs="Arial" w:eastAsia="Arial" w:hAnsi="Arial"/>
          <w:sz w:val="18"/>
          <w:szCs w:val="18"/>
          <w:color w:val="auto"/>
        </w:rPr>
        <w:t>In a published study, pan-HDAC inhibitors improved diastolic dysfunction in two distinct murine models of HFpEF and</w:t>
      </w:r>
      <w:r>
        <w:rPr>
          <w:rFonts w:ascii="Arial" w:cs="Arial" w:eastAsia="Arial" w:hAnsi="Arial"/>
          <w:sz w:val="18"/>
          <w:szCs w:val="18"/>
          <w:i w:val="1"/>
          <w:iCs w:val="1"/>
          <w:color w:val="auto"/>
        </w:rPr>
        <w:t xml:space="preserve"> </w:t>
      </w:r>
      <w:r>
        <w:rPr>
          <w:rFonts w:ascii="Arial" w:cs="Arial" w:eastAsia="Arial" w:hAnsi="Arial"/>
          <w:sz w:val="18"/>
          <w:szCs w:val="18"/>
          <w:color w:val="auto"/>
        </w:rPr>
        <w:t>HDAC inhibition improved cardiopulmonary function in a feline model of diastolic dysfunction. In our preclinical studies, TYA-11631 has also shown improved diastolic dysfunction in multiple HFpEF models.</w:t>
      </w:r>
    </w:p>
    <w:p>
      <w:pPr>
        <w:spacing w:after="0" w:line="29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i w:val="1"/>
          <w:iCs w:val="1"/>
          <w:color w:val="auto"/>
        </w:rPr>
        <w:t>TYA-11631: Planned Clinical Development</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We plan to submit an IND to the FDA in 2022 and, if approved, initiate first-in-human safety studies in healthy volunteers before initiating proof-of-concept studies and proof-of-activity studies. During clinical development, we plan to examine the role of TYA-11631 in sub-populations of HFpEF patients with obesity, diabetes or metabolic syndrome as well as potentially in sub-populations of gDCM where there is stronger alignment between the multi-modal mechanism of action of TYA-11631 with the pathophysiology of the disease.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PKP2 Program for gARVC</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We are developing an AAV-based gene therapy designed to deliver a functional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in adults with gARVC due to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mutation, estimated to affect more than 70,000 patients in the United States. These mutations can cause enlargement of the RV in affected individuals, replacement of heart muscle with fibrotic tissue and fatty deposits, and severely abnormal heart rhythms (arrhythmia) that can make it harder for the heart to function properly and result in sudden cardiac death in some adults and children. Based on publicly available information to date, we believe there are currently no approved treatments that address the underlying genetic cause of this disease. We have demonstrated prevention of disease progression and survival benefit in a murine model after a single dose. Based on publicly available information to date, we believe these data are the first known demonstrations of durable disease modification, survival benefit, and prevention of arrhythmia using an AAV:PKP2 gene therapy construct. This program is currently at the candidate selection stage.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ARVC</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ARVC is largely an inherited disease characterized by the progressive loss of muscle cells in the heart’s RV and replacement with a composite of fibrotic tissue and fatty deposits. As a result of this structural change, the heart becomes dilated and is prone to ventricular arrhythmia (VA) and particularly ventricular tachychardia (VT) (abnormally high heart rate).</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When symptoms are present, they tend to occur around 30 years of age, with the mean age of presentation in patients before the age of 40 years old. Patients with ARVC most commonly present with symptoms related to VA (such as palpitations, lightheadedness, and fainting) or cardiac arrest. ARVC is an important cause of sudden cardiac arrest in young patients, and particularly in athletes. The median age at cardiac arrest in ARVC patients is 25 years old.</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ARVC has an estimated prevalence in the general population of approximately 1:2000. Mutations in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are the most common genetic cause of ARVC, with approximately 41% to 46% of ARVC patients carrying pathogenic variants. We therefore estimate more than 70,000 patients in the United States are affected by </w:t>
      </w:r>
      <w:r>
        <w:rPr>
          <w:rFonts w:ascii="Arial" w:cs="Arial" w:eastAsia="Arial" w:hAnsi="Arial"/>
          <w:sz w:val="18"/>
          <w:szCs w:val="18"/>
          <w:i w:val="1"/>
          <w:iCs w:val="1"/>
          <w:color w:val="auto"/>
        </w:rPr>
        <w:t>PKP2</w:t>
      </w:r>
      <w:r>
        <w:rPr>
          <w:rFonts w:ascii="Arial" w:cs="Arial" w:eastAsia="Arial" w:hAnsi="Arial"/>
          <w:sz w:val="18"/>
          <w:szCs w:val="18"/>
          <w:color w:val="auto"/>
        </w:rPr>
        <w:t xml:space="preserve"> mutations.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Mutations of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are inherited in an autosomal dominant fashion i.e. a mutation in one gene is sufficient to cause the disease. Over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14 mutations have been linked to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Most of these mutations are predicted to result in a truncated protein product, which suggests a disease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mechanism due to loss of function, resulting in haploinsufficiency.</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illustrated below, the PKP2 protein is an integral component of cell adhesion protein complexes known as desmosomes which connect adjacent CMs in the heart. Desmosomes are responsible for stabilizing the heart and for maintaining channels called gap junctions that allow for cellular communication among heart cells, which in turn is important to proper synchronization of CM contractions across the myocardium contributing to each heartbeat.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12515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8604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Other components of desmosome include desmoplakin (</w:t>
      </w:r>
      <w:r>
        <w:rPr>
          <w:rFonts w:ascii="Arial" w:cs="Arial" w:eastAsia="Arial" w:hAnsi="Arial"/>
          <w:sz w:val="18"/>
          <w:szCs w:val="18"/>
          <w:i w:val="1"/>
          <w:iCs w:val="1"/>
          <w:color w:val="auto"/>
        </w:rPr>
        <w:t>DSP</w:t>
      </w:r>
      <w:r>
        <w:rPr>
          <w:rFonts w:ascii="Arial" w:cs="Arial" w:eastAsia="Arial" w:hAnsi="Arial"/>
          <w:sz w:val="18"/>
          <w:szCs w:val="18"/>
          <w:color w:val="auto"/>
        </w:rPr>
        <w:t xml:space="preserve"> gene), desmoglein 2 (</w:t>
      </w:r>
      <w:r>
        <w:rPr>
          <w:rFonts w:ascii="Arial" w:cs="Arial" w:eastAsia="Arial" w:hAnsi="Arial"/>
          <w:sz w:val="18"/>
          <w:szCs w:val="18"/>
          <w:i w:val="1"/>
          <w:iCs w:val="1"/>
          <w:color w:val="auto"/>
        </w:rPr>
        <w:t>DSG2</w:t>
      </w:r>
      <w:r>
        <w:rPr>
          <w:rFonts w:ascii="Arial" w:cs="Arial" w:eastAsia="Arial" w:hAnsi="Arial"/>
          <w:sz w:val="18"/>
          <w:szCs w:val="18"/>
          <w:color w:val="auto"/>
        </w:rPr>
        <w:t xml:space="preserve"> gene), desmocollin 2 (</w:t>
      </w:r>
      <w:r>
        <w:rPr>
          <w:rFonts w:ascii="Arial" w:cs="Arial" w:eastAsia="Arial" w:hAnsi="Arial"/>
          <w:sz w:val="18"/>
          <w:szCs w:val="18"/>
          <w:i w:val="1"/>
          <w:iCs w:val="1"/>
          <w:color w:val="auto"/>
        </w:rPr>
        <w:t>DSC2</w:t>
      </w:r>
      <w:r>
        <w:rPr>
          <w:rFonts w:ascii="Arial" w:cs="Arial" w:eastAsia="Arial" w:hAnsi="Arial"/>
          <w:sz w:val="18"/>
          <w:szCs w:val="18"/>
          <w:color w:val="auto"/>
        </w:rPr>
        <w:t xml:space="preserve"> gene), desmin (</w:t>
      </w:r>
      <w:r>
        <w:rPr>
          <w:rFonts w:ascii="Arial" w:cs="Arial" w:eastAsia="Arial" w:hAnsi="Arial"/>
          <w:sz w:val="18"/>
          <w:szCs w:val="18"/>
          <w:i w:val="1"/>
          <w:iCs w:val="1"/>
          <w:color w:val="auto"/>
        </w:rPr>
        <w:t>DES</w:t>
      </w:r>
      <w:r>
        <w:rPr>
          <w:rFonts w:ascii="Arial" w:cs="Arial" w:eastAsia="Arial" w:hAnsi="Arial"/>
          <w:sz w:val="18"/>
          <w:szCs w:val="18"/>
          <w:color w:val="auto"/>
        </w:rPr>
        <w:t xml:space="preserve"> gene), and plakoglobin (</w:t>
      </w:r>
      <w:r>
        <w:rPr>
          <w:rFonts w:ascii="Arial" w:cs="Arial" w:eastAsia="Arial" w:hAnsi="Arial"/>
          <w:sz w:val="18"/>
          <w:szCs w:val="18"/>
          <w:i w:val="1"/>
          <w:iCs w:val="1"/>
          <w:color w:val="auto"/>
        </w:rPr>
        <w:t>JUP</w:t>
      </w:r>
      <w:r>
        <w:rPr>
          <w:rFonts w:ascii="Arial" w:cs="Arial" w:eastAsia="Arial" w:hAnsi="Arial"/>
          <w:sz w:val="18"/>
          <w:szCs w:val="18"/>
          <w:color w:val="auto"/>
        </w:rPr>
        <w:t xml:space="preserve"> gene). Mutations of the </w:t>
      </w:r>
      <w:r>
        <w:rPr>
          <w:rFonts w:ascii="Arial" w:cs="Arial" w:eastAsia="Arial" w:hAnsi="Arial"/>
          <w:sz w:val="18"/>
          <w:szCs w:val="18"/>
          <w:i w:val="1"/>
          <w:iCs w:val="1"/>
          <w:color w:val="auto"/>
        </w:rPr>
        <w:t>DSP</w:t>
      </w:r>
      <w:r>
        <w:rPr>
          <w:rFonts w:ascii="Arial" w:cs="Arial" w:eastAsia="Arial" w:hAnsi="Arial"/>
          <w:sz w:val="18"/>
          <w:szCs w:val="18"/>
          <w:color w:val="auto"/>
        </w:rPr>
        <w:t xml:space="preserve">, </w:t>
      </w:r>
      <w:r>
        <w:rPr>
          <w:rFonts w:ascii="Arial" w:cs="Arial" w:eastAsia="Arial" w:hAnsi="Arial"/>
          <w:sz w:val="18"/>
          <w:szCs w:val="18"/>
          <w:i w:val="1"/>
          <w:iCs w:val="1"/>
          <w:color w:val="auto"/>
        </w:rPr>
        <w:t>DSG2</w:t>
      </w:r>
      <w:r>
        <w:rPr>
          <w:rFonts w:ascii="Arial" w:cs="Arial" w:eastAsia="Arial" w:hAnsi="Arial"/>
          <w:sz w:val="18"/>
          <w:szCs w:val="18"/>
          <w:color w:val="auto"/>
        </w:rPr>
        <w:t xml:space="preserve">, </w:t>
      </w:r>
      <w:r>
        <w:rPr>
          <w:rFonts w:ascii="Arial" w:cs="Arial" w:eastAsia="Arial" w:hAnsi="Arial"/>
          <w:sz w:val="18"/>
          <w:szCs w:val="18"/>
          <w:i w:val="1"/>
          <w:iCs w:val="1"/>
          <w:color w:val="auto"/>
        </w:rPr>
        <w:t>DSC2</w:t>
      </w:r>
      <w:r>
        <w:rPr>
          <w:rFonts w:ascii="Arial" w:cs="Arial" w:eastAsia="Arial" w:hAnsi="Arial"/>
          <w:sz w:val="18"/>
          <w:szCs w:val="18"/>
          <w:color w:val="auto"/>
        </w:rPr>
        <w:t xml:space="preserve">, </w:t>
      </w:r>
      <w:r>
        <w:rPr>
          <w:rFonts w:ascii="Arial" w:cs="Arial" w:eastAsia="Arial" w:hAnsi="Arial"/>
          <w:sz w:val="18"/>
          <w:szCs w:val="18"/>
          <w:i w:val="1"/>
          <w:iCs w:val="1"/>
          <w:color w:val="auto"/>
        </w:rPr>
        <w:t>DES, JUP</w:t>
      </w:r>
      <w:r>
        <w:rPr>
          <w:rFonts w:ascii="Arial" w:cs="Arial" w:eastAsia="Arial" w:hAnsi="Arial"/>
          <w:sz w:val="18"/>
          <w:szCs w:val="18"/>
          <w:color w:val="auto"/>
        </w:rPr>
        <w:t xml:space="preserve"> can also cause gARVC, illustrating the importance of the structural integrity of the desmosome complex. Patients with </w:t>
      </w:r>
      <w:r>
        <w:rPr>
          <w:rFonts w:ascii="Arial" w:cs="Arial" w:eastAsia="Arial" w:hAnsi="Arial"/>
          <w:sz w:val="18"/>
          <w:szCs w:val="18"/>
          <w:i w:val="1"/>
          <w:iCs w:val="1"/>
          <w:color w:val="auto"/>
        </w:rPr>
        <w:t>PKP2</w:t>
      </w:r>
      <w:r>
        <w:rPr>
          <w:rFonts w:ascii="Arial" w:cs="Arial" w:eastAsia="Arial" w:hAnsi="Arial"/>
          <w:sz w:val="18"/>
          <w:szCs w:val="18"/>
          <w:color w:val="auto"/>
        </w:rPr>
        <w:t xml:space="preserve"> mutations typically present at a younger age than patients carrying other mutations linked to ARVC and are thought to follow a similar disease progression to other ARVC patients.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figure below</w:t>
      </w:r>
      <w:r>
        <w:rPr>
          <w:rFonts w:ascii="Arial" w:cs="Arial" w:eastAsia="Arial" w:hAnsi="Arial"/>
          <w:sz w:val="14"/>
          <w:szCs w:val="14"/>
          <w:color w:val="auto"/>
        </w:rPr>
        <w:t>(2)</w:t>
      </w:r>
      <w:r>
        <w:rPr>
          <w:rFonts w:ascii="Arial" w:cs="Arial" w:eastAsia="Arial" w:hAnsi="Arial"/>
          <w:sz w:val="17"/>
          <w:szCs w:val="17"/>
          <w:color w:val="auto"/>
        </w:rPr>
        <w:t xml:space="preserve"> analyzes heart tissue from an ARVC patient with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mutation and compares it to the heart tissue from a normal individual. The tissue has been stained for desmosome proteins PKP2 and plakoglobin as well as other transmembrane proteins that are not part of the desmosome but that are also present at cell-cell junctions in different body organs (e.g., N-cadherin). As illustrated, N-cadherin, PKP2, and plakoglobin are all correctly localized to the junctions between CMs in the healthy control sample. However, when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is mutated, N-cadherin continues to correctly localize but both the PKP2 and plakoglobin proteins are no longer properly localized to the desmosome. Based on publicly available information to date, we believe these data illustrate how PKP2 protein is critical to maintaining the structural integrity of the desmosome, and that mutations in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are enough to disrupt this complex in human hearts.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138430</wp:posOffset>
            </wp:positionV>
            <wp:extent cx="4654550" cy="26060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65455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a result of this impairment, CMs can become detached from each other when placed under the normal mechanical stress of the beating heart, or under the extra mechanical stress in the heart caused by athletic activity. This detachment causes cell death, which in turn causes inflammation, scar formation, and fat deposition.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340" w:hanging="224"/>
        <w:spacing w:after="0"/>
        <w:tabs>
          <w:tab w:leader="none" w:pos="340" w:val="left"/>
        </w:tabs>
        <w:numPr>
          <w:ilvl w:val="0"/>
          <w:numId w:val="101"/>
        </w:numPr>
        <w:rPr>
          <w:rFonts w:ascii="Arial" w:cs="Arial" w:eastAsia="Arial" w:hAnsi="Arial"/>
          <w:sz w:val="15"/>
          <w:szCs w:val="15"/>
          <w:color w:val="auto"/>
        </w:rPr>
      </w:pPr>
      <w:r>
        <w:rPr>
          <w:rFonts w:ascii="Arial" w:cs="Arial" w:eastAsia="Arial" w:hAnsi="Arial"/>
          <w:sz w:val="18"/>
          <w:szCs w:val="18"/>
          <w:color w:val="auto"/>
        </w:rPr>
        <w:t xml:space="preserve">Source: Asimaki et. al. </w:t>
      </w:r>
      <w:r>
        <w:rPr>
          <w:rFonts w:ascii="Arial" w:cs="Arial" w:eastAsia="Arial" w:hAnsi="Arial"/>
          <w:sz w:val="18"/>
          <w:szCs w:val="18"/>
          <w:b w:val="1"/>
          <w:bCs w:val="1"/>
          <w:color w:val="auto"/>
        </w:rPr>
        <w:t>NEJM</w:t>
      </w:r>
      <w:r>
        <w:rPr>
          <w:rFonts w:ascii="Arial" w:cs="Arial" w:eastAsia="Arial" w:hAnsi="Arial"/>
          <w:sz w:val="18"/>
          <w:szCs w:val="18"/>
          <w:color w:val="auto"/>
        </w:rPr>
        <w:t xml:space="preserve"> 2009.</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An example of an actual heart from a patient who had ARVC is shown below</w:t>
      </w:r>
      <w:r>
        <w:rPr>
          <w:rFonts w:ascii="Arial" w:cs="Arial" w:eastAsia="Arial" w:hAnsi="Arial"/>
          <w:sz w:val="15"/>
          <w:szCs w:val="15"/>
          <w:color w:val="auto"/>
        </w:rPr>
        <w:t>(3)</w:t>
      </w:r>
      <w:r>
        <w:rPr>
          <w:rFonts w:ascii="Arial" w:cs="Arial" w:eastAsia="Arial" w:hAnsi="Arial"/>
          <w:sz w:val="18"/>
          <w:szCs w:val="18"/>
          <w:color w:val="auto"/>
        </w:rPr>
        <w:t>. This illustrates commonly seen abnormalities in ARVC hearts as a result of the improper function of the desmosome, including dilation (enlargement) of the RV chamber and replacement of healthy heart tissue by fibrotic tissue and fatty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142875</wp:posOffset>
            </wp:positionV>
            <wp:extent cx="2108835" cy="27432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0883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Following a diagnosis, ARVC patients are typically implanted with an Implantable Cardioverter Defibrillator (ICD) placed to control arrhythmias and treated with beta-blockers. ICD implantation may be associated with complications in some patients, including potential for heart perforation and additional surgery. Patients may progress to catheter ablation procedures which have a high rate of recurrence of VA and have not been shown to reduce risk of sudden cardiac death or improve survival. Despite the availability of these treatments, clinical HF has been documented in up to 40% of ARVC patients, and when heart transplantation is required, transplants occur at an average age of 40 and within seven years of the onset of HF symptoms. There are currently no approved therapies that address the underlying genetic causes of ARVC.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7715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7" w:lineRule="exact"/>
        <w:rPr>
          <w:sz w:val="20"/>
          <w:szCs w:val="20"/>
          <w:color w:val="auto"/>
        </w:rPr>
      </w:pPr>
    </w:p>
    <w:p>
      <w:pPr>
        <w:ind w:left="340" w:hanging="224"/>
        <w:spacing w:after="0"/>
        <w:tabs>
          <w:tab w:leader="none" w:pos="340" w:val="left"/>
        </w:tabs>
        <w:numPr>
          <w:ilvl w:val="0"/>
          <w:numId w:val="102"/>
        </w:numPr>
        <w:rPr>
          <w:rFonts w:ascii="Arial" w:cs="Arial" w:eastAsia="Arial" w:hAnsi="Arial"/>
          <w:sz w:val="15"/>
          <w:szCs w:val="15"/>
          <w:color w:val="auto"/>
        </w:rPr>
      </w:pPr>
      <w:r>
        <w:rPr>
          <w:rFonts w:ascii="Arial" w:cs="Arial" w:eastAsia="Arial" w:hAnsi="Arial"/>
          <w:sz w:val="18"/>
          <w:szCs w:val="18"/>
          <w:color w:val="auto"/>
        </w:rPr>
        <w:t xml:space="preserve">Source: Pinamonti et. al </w:t>
      </w:r>
      <w:r>
        <w:rPr>
          <w:rFonts w:ascii="Arial" w:cs="Arial" w:eastAsia="Arial" w:hAnsi="Arial"/>
          <w:sz w:val="18"/>
          <w:szCs w:val="18"/>
          <w:b w:val="1"/>
          <w:bCs w:val="1"/>
          <w:color w:val="auto"/>
        </w:rPr>
        <w:t>World J Cardiol</w:t>
      </w:r>
      <w:r>
        <w:rPr>
          <w:rFonts w:ascii="Arial" w:cs="Arial" w:eastAsia="Arial" w:hAnsi="Arial"/>
          <w:sz w:val="18"/>
          <w:szCs w:val="18"/>
          <w:color w:val="auto"/>
        </w:rPr>
        <w:t xml:space="preserve"> 2014.</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60"/>
          </w:cols>
          <w:pgMar w:left="320" w:top="459" w:right="5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PKP2 Gene Therapy</w:t>
      </w:r>
    </w:p>
    <w:p>
      <w:pPr>
        <w:spacing w:after="0" w:line="117"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 xml:space="preserve">We are developing an AAV-based gene therapy to deliver the fully-functional copy of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to deliver a fully functional copy of the human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to the hearts of gARVC patients carrying </w:t>
      </w:r>
      <w:r>
        <w:rPr>
          <w:rFonts w:ascii="Arial" w:cs="Arial" w:eastAsia="Arial" w:hAnsi="Arial"/>
          <w:sz w:val="17"/>
          <w:szCs w:val="17"/>
          <w:i w:val="1"/>
          <w:iCs w:val="1"/>
          <w:color w:val="auto"/>
        </w:rPr>
        <w:t>PKP2</w:t>
      </w:r>
      <w:r>
        <w:rPr>
          <w:rFonts w:ascii="Arial" w:cs="Arial" w:eastAsia="Arial" w:hAnsi="Arial"/>
          <w:sz w:val="17"/>
          <w:szCs w:val="17"/>
          <w:color w:val="auto"/>
        </w:rPr>
        <w:t xml:space="preserve"> mutations. We believe that gene replacement through delivery of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to CMs represents a promising “lock and key” treatment that can address the underlying cause of this disease. As the disease is most often caused by haploinsufficiency, expression of a functional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to replace the missing PKP2 protein in CMs is expected to restore proper structure and function of the desmosome. This in turn can prevent adverse heart remodeling and improve heart contraction and electrical function.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will be delivered using AAVs with tropism for the heart and expression of the PKP2 protein will limited to the heart through use of a CM-specific promoter. Our PKP2 gene therapy program, illustrated below, is currently at the candidate selection 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138430</wp:posOffset>
            </wp:positionV>
            <wp:extent cx="5186045" cy="21348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8604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 in PKP2-cKO Model</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We developed a </w:t>
      </w:r>
      <w:r>
        <w:rPr>
          <w:rFonts w:ascii="Arial" w:cs="Arial" w:eastAsia="Arial" w:hAnsi="Arial"/>
          <w:sz w:val="16"/>
          <w:szCs w:val="16"/>
          <w:i w:val="1"/>
          <w:iCs w:val="1"/>
          <w:color w:val="auto"/>
        </w:rPr>
        <w:t>PKP2</w:t>
      </w:r>
      <w:r>
        <w:rPr>
          <w:rFonts w:ascii="Arial" w:cs="Arial" w:eastAsia="Arial" w:hAnsi="Arial"/>
          <w:sz w:val="16"/>
          <w:szCs w:val="16"/>
          <w:color w:val="auto"/>
        </w:rPr>
        <w:t xml:space="preserve"> conditional knockout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mouse model that simulates key aspects of gARVC including dilation of the right ventricle, decline in left ventricular heart function, severe arrhythmia, abnormal ECG trace, and early mortality. The onset of symptoms is very rapid and within three weeks after induction of the phenotype. It is worth noting that this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model is homozygous, i.e., both copies of the gene are missing and so there is no production of the PKP2 protein. As expected, the severity of disease and the rate of disease progression in this are both greater than what is normally observed in most </w:t>
      </w:r>
      <w:r>
        <w:rPr>
          <w:rFonts w:ascii="Arial" w:cs="Arial" w:eastAsia="Arial" w:hAnsi="Arial"/>
          <w:sz w:val="16"/>
          <w:szCs w:val="16"/>
          <w:i w:val="1"/>
          <w:iCs w:val="1"/>
          <w:color w:val="auto"/>
        </w:rPr>
        <w:t>PKP2</w:t>
      </w:r>
      <w:r>
        <w:rPr>
          <w:rFonts w:ascii="Arial" w:cs="Arial" w:eastAsia="Arial" w:hAnsi="Arial"/>
          <w:sz w:val="16"/>
          <w:szCs w:val="16"/>
          <w:color w:val="auto"/>
        </w:rPr>
        <w:t xml:space="preserve"> patients who are almost all heterozygous for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mutations, i.e., they have one normal, healthy copy of the gene that is producing at least some of the necessary PKP2 protein, plus one defective copy of the gene that is either producing no PKP2 protein at all or that is producing PKP2 protein that does not function properly in the desmosome.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model is nonetheless useful as it provides important proof of concept for the potentially beneficial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effect of the PKP2 protein replacement via a gene therapy approach.</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 xml:space="preserve">In preclinical studies, we systematically administered AAV:mPKP2 in </w:t>
      </w:r>
      <w:r>
        <w:rPr>
          <w:rFonts w:ascii="Arial" w:cs="Arial" w:eastAsia="Arial" w:hAnsi="Arial"/>
          <w:sz w:val="17"/>
          <w:szCs w:val="17"/>
          <w:i w:val="1"/>
          <w:iCs w:val="1"/>
          <w:color w:val="auto"/>
        </w:rPr>
        <w:t>PKP2</w:t>
      </w:r>
      <w:r>
        <w:rPr>
          <w:rFonts w:ascii="Arial" w:cs="Arial" w:eastAsia="Arial" w:hAnsi="Arial"/>
          <w:sz w:val="17"/>
          <w:szCs w:val="17"/>
          <w:color w:val="auto"/>
        </w:rPr>
        <w:t>-cKO mice in parallel with induction of the ARVC phenotype. As shown in the figures below, AAV:mPKP2 treatment improved several ARVC phenotypes compared to saline-treated controls (HBSS), including preventing right ventricle enlargement, preventing decline of LV function, and improving survival after a single IV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20313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860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800"/>
          </w:cols>
          <w:pgMar w:left="320" w:top="459" w:right="7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In addition,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therapy also corrected the hallmark electrophysiological defects associated with ARVC. The graphs below show nearly complete prevention of the arrhythmia in </w:t>
      </w:r>
      <w:r>
        <w:rPr>
          <w:rFonts w:ascii="Arial" w:cs="Arial" w:eastAsia="Arial" w:hAnsi="Arial"/>
          <w:sz w:val="18"/>
          <w:szCs w:val="18"/>
          <w:i w:val="1"/>
          <w:iCs w:val="1"/>
          <w:color w:val="auto"/>
        </w:rPr>
        <w:t>PKP2</w:t>
      </w:r>
      <w:r>
        <w:rPr>
          <w:rFonts w:ascii="Arial" w:cs="Arial" w:eastAsia="Arial" w:hAnsi="Arial"/>
          <w:sz w:val="18"/>
          <w:szCs w:val="18"/>
          <w:color w:val="auto"/>
        </w:rPr>
        <w:t>-cKO animals treated with AAV:mPKP2 versus controls, including prevention of nonsustained ventricular tachycardia (NSVT) and premature ventricular contractions (PVCs), which were reduced nearly to wild levels as apparent from the ECG trace and the from the quantification with a Ventricular Arrythmia Score measuring the incidence of spontaneous arrhythmias during 30 minutes of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145415</wp:posOffset>
            </wp:positionV>
            <wp:extent cx="5203190" cy="43376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03190" cy="433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860"/>
          </w:cols>
          <w:pgMar w:left="320" w:top="459" w:right="7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 xml:space="preserve">The graphs below show normalization of the QRS complex in </w:t>
      </w:r>
      <w:r>
        <w:rPr>
          <w:rFonts w:ascii="Arial" w:cs="Arial" w:eastAsia="Arial" w:hAnsi="Arial"/>
          <w:sz w:val="17"/>
          <w:szCs w:val="17"/>
          <w:i w:val="1"/>
          <w:iCs w:val="1"/>
          <w:color w:val="auto"/>
        </w:rPr>
        <w:t>PKP2</w:t>
      </w:r>
      <w:r>
        <w:rPr>
          <w:rFonts w:ascii="Arial" w:cs="Arial" w:eastAsia="Arial" w:hAnsi="Arial"/>
          <w:sz w:val="17"/>
          <w:szCs w:val="17"/>
          <w:color w:val="auto"/>
        </w:rPr>
        <w:t>-cKO animals treated with AAV:mPKP2 versus controls, including prevention of QT elongation (as measured by QT interval) and abnormal P wave and R wave amplitudes (as measured by the P/R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119380</wp:posOffset>
            </wp:positionV>
            <wp:extent cx="5194935" cy="21259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9493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Based on publicly available information to date, we believe these data are the first known demonstration of durable disease modification, survival benefit, and prevention of arrhythmia using an AAV:PKP2 gene therapy construct.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Planned Clinical Development</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We intend to submit an IND or CTA to the FDA or EMA, respectively, no earlier than 2023. If our IND or CTA is approved, we plan to initiate global first-in-human studies in patients with truncation mutations of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DWORF Program for DCM and HFrEF</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 xml:space="preserve">We are developing an AAV-based gene therapy designed to deliver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for patients with DCM, estimated to affect about one million patients in the United States. DCM is a progressive and life-threatening disease that causes left ventricle (LV) enlargement, LV wall thinning, insufficient contraction, reduced blood flow, ventricular arrhythmias, and can result in premature morbidity and need for heart transplant in affected individuals. DWORF is a muscle-specific micro-peptide first discovered by our co-founder Eric Olson, Ph.D. that acts on the sarcoplasmic/endoplasmic reticulum Ca2+ ATPase 2a (SERCA2a) pathway, widely considered to be a promising target in HF. We and our academic collaborators have accumulated significant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proof-of-concept evidence for the therapeutic benefit of over-expression of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in multiple murine models, including models of gDCM and HFrEF, as well as tolerability in murine models. Based on publicly available information to date, we believe these are the first demonstrations of the potential benefit of AAV:DWORF. This program is currently at the candidate selection stage.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DCM</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DCM is broadly defined as HF where the EF is below 40% and the LV walls are thin and over-expanded, leading to insufficient contraction, reduced blood flow pumped by the heart, and abnormal heart rhythms. DCM can be caused by a variety of mechanisms, including genetics, coronary artery disease, high blood pressure, heart attack, and viral infection due to a high risk of ventricular arrythmias.</w:t>
      </w:r>
    </w:p>
    <w:p>
      <w:pPr>
        <w:spacing w:after="0" w:line="16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DCM is a life-threatening and progressive disease. Once symptoms appear, a patient’s condition typically declines progressively. Typical symptoms of HF due to DCM include shortness of breath, fatigue, swelling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extremities, or an irregular heartbeat. As the disease progresses, patients become increasingly debilitated and experience sustained shortness of breath, even at rest. Diastolic function, or the heart’s ability to relax and fill with blood, is also impaired because the heart is already expanded and fibrotic. The dilated LV is deprived of an adequate supply of oxygen that may contribute to further fibrosis and the risk of dangerous heart rhythm disturbances. At any stage of the disease, whether or not symptoms have appeared, DCM patients are at risk of sudden cardiac death.</w:t>
      </w:r>
    </w:p>
    <w:p>
      <w:pPr>
        <w:spacing w:after="0" w:line="17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subset of DCM is caused by genetic mutations in proteins involved in muscle contraction. Mutations in one such protein, phospholamban (PLN), can cause DCM. These mutations are believed to result in abnormal regulation of calcium biology instrumental in muscle contraction, leading to ventricular dilation, fibrosis and HF over time. Some patients with PLN mutations have a high severity of disease, including patients with R9C and R14del mutations.</w:t>
      </w:r>
    </w:p>
    <w:p>
      <w:pPr>
        <w:spacing w:after="0" w:line="187"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It is estimated that DCM affects about one million people in the United States, with genetic abnormalities linked to DCM estimated to be present in about 30% to 40% of DCM patients. PLN mutations are rare with an estimated 0.5% of DCM patients carrying PLN mutations.</w:t>
      </w:r>
    </w:p>
    <w:p>
      <w:pPr>
        <w:spacing w:after="0" w:line="14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Current therapy for DCM generally uses therapies developed for HFrEF. While current pharmacologic therapies have improved prognosis and the quality of life of DCM patients, the premature morbidity and mortality rate remains unacceptably high. End-stage DCM is the leading indication for use of last line therapies, including LVADs and heart transplantation. Within five years of diagnosis, 43% of patients with advanced DCM have either died or needed a heart transplant. Thus, there is a large unmet need for novel and more individualized therapeutic options.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HFrEF</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Among patients with HF, the amount of blood that is pumped out of the LV (LV EF), can vary significantly, and is often characterized as reduced if below 40% (HFrEF), mid-range if between 40% to 50% (HFmrEF) or preserved if greater than or equal to 50% of normal LV EF (HFpEF).</w:t>
      </w:r>
    </w:p>
    <w:p>
      <w:pPr>
        <w:spacing w:after="0" w:line="12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Approximately 50% of HF cases are HFrEF, representing a prevalence of nearly four million patients in the United States. In addition, the incidence and prevalence of HFrEF continues to rise. This increase is driven by an aging population, improved survival from MI and other forms of heart disease, and the increasing prevalence of predisposing risk factors such as diabetes and obesity.</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HFrEF patients continue to have substantial unmet need despite advances in pharmacological treatments, with up to 30% of treated patients experiencing a significant limitation in physical activity. Development of HF continues to be associated with significant morbidity and mortality, with a one-year mortality rate of 7% and one-year hospitalization rate of 32%. Over a five-year period, readmission for HF and mortality rates are as high as 48% and 75%, respectively, highlighting the significant and increasing burden of illness for patients and healthcare systems.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standard of care for HFrEF involves multiple different classes of therapies, including ACE inhibitors, beta blockers, vasodilator, aldosterone antagonists, and others. For end-stage HFrEF patients refractory to medical therapy, the treatment options are limited to LVADs and heart transplantation. LVADs have a finite duration of efficacy and are associated with the potential for fatal complications, frequent hospital readmissions, and high treatment cost. Heart transplant availability is restricted by the scarce supply of donor organs, risk of transplant rejection, and lifelong treatment with immunosuppression therapeutic regimes that are associated with organ damage.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DWORF Gene Therapy</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We are developing an AAV-based gene therapy to deliver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to CMs for the treatment of DCM and HFrEF. DWORF is a recently discovered small peptide that localizes primarily to the sarcoplasmic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reticulum of the cardiac muscle cell. During muscle cell activation, calcium is released from sarcoplasmic reticulum into the muscle cell’s cytosol and into the sarcomere, leading to muscle contraction. Sarcoplasmic/endoplasmic reticulum Ca2+ ATPase 2a (SERCA2a) is a major isoform of SERCA expressed in CMs and plays an essential role in the regulation of cardiac contractility. SERCA2a transports calcium from the cytosol back into the sarcoplasmic reticulum, preserving the calcium gradient required for contraction. DWORF binds to SERCA2a and displaces the inhibitory PLN peptide, resulting in increased SERCA2a activity, increased levels of calcium pumped into the sarcoplasmic reticulum, and increased muscle contraction, ultimately leading to an improvement in heart function.</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We believe DWORF is an ideal target for the treatment of HFrEF. DWORF is a small peptide that is readily expressed when delivered by AAV. The small size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leaves additional room in the AAV capsid to include optimized combinations or promoters and regulatory elements to tailor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expression levels. In addition, published studies have shown that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expression is lower in failing human hearts compared to non-diseased hearts.</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figure below shows expression analyses in human HF tissue. DWORF mRNA is reduced in failing hearts whereas atrial natriuretic peptide (NPPA) mRNA, a marker of congestive HF, is significantly increased in failing hearts.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133985</wp:posOffset>
            </wp:positionV>
            <wp:extent cx="1148715" cy="1423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4871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 xml:space="preserve">One therapeutic hypothesis is that restoring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expression to normal levels, through treatment with a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therapy, may normalize calcium flux in CMs and increase contractile strength in DCM patients as well as the broader HFrEF patient population. In addition, DCM patients carrying PLN mutations have mutant PLN peptides that inhibit SERCA2a and decrease contraction.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therapy produces DWORF peptides that directly compete with mutant PLN peptides by preferentially binding with SERCA2a, which can increase muscle contraction, potentially resulting in halting or even reversal of disease progression.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Our DWORF program, illustrated below, is currently at the candidate selection stage with multiple constructs under consideration.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expression is limited to the CM through use of a novel CM-specific promoter. Our intended product candidate will use an AAV capsid with high tropism for the heart, either AAV9 or a novel proprietary capsid developed through our capsid engineering capabilities, to deliver the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We are exploring different ROAs including systemic (IV) or delivery directly to the heart through an infusion catheter.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134620</wp:posOffset>
            </wp:positionV>
            <wp:extent cx="5314950" cy="22885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1495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i w:val="1"/>
          <w:iCs w:val="1"/>
          <w:color w:val="auto"/>
        </w:rPr>
        <w:t>Results in DCM (with MLP KO model)</w:t>
      </w:r>
      <w:r>
        <w:rPr>
          <w:rFonts w:ascii="Arial" w:cs="Arial" w:eastAsia="Arial" w:hAnsi="Arial"/>
          <w:sz w:val="18"/>
          <w:szCs w:val="18"/>
          <w:color w:val="auto"/>
        </w:rPr>
        <w:t>: Overexpression of</w:t>
      </w:r>
      <w:r>
        <w:rPr>
          <w:rFonts w:ascii="Arial" w:cs="Arial" w:eastAsia="Arial" w:hAnsi="Arial"/>
          <w:sz w:val="18"/>
          <w:szCs w:val="18"/>
          <w:i w:val="1"/>
          <w:iCs w:val="1"/>
          <w:color w:val="auto"/>
        </w:rPr>
        <w:t xml:space="preserve"> DWORF </w:t>
      </w:r>
      <w:r>
        <w:rPr>
          <w:rFonts w:ascii="Arial" w:cs="Arial" w:eastAsia="Arial" w:hAnsi="Arial"/>
          <w:sz w:val="18"/>
          <w:szCs w:val="18"/>
          <w:color w:val="auto"/>
        </w:rPr>
        <w:t>has led to improvements in multiple parameters in mouse models of DCM.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co-founder Eric Olson, Ph.D. has demonstrated that overexpression of </w:t>
      </w:r>
      <w:r>
        <w:rPr>
          <w:rFonts w:ascii="Arial" w:cs="Arial" w:eastAsia="Arial" w:hAnsi="Arial"/>
          <w:sz w:val="18"/>
          <w:szCs w:val="18"/>
          <w:i w:val="1"/>
          <w:iCs w:val="1"/>
          <w:color w:val="auto"/>
        </w:rPr>
        <w:t>DWORF</w:t>
      </w:r>
      <w:r>
        <w:rPr>
          <w:rFonts w:ascii="Arial" w:cs="Arial" w:eastAsia="Arial" w:hAnsi="Arial"/>
          <w:sz w:val="18"/>
          <w:szCs w:val="18"/>
          <w:color w:val="auto"/>
        </w:rPr>
        <w:t xml:space="preserve"> in a transgenic (Tg) model leads to improvements in heart size, normalization of wall thickness and also improvements in EF, as demonstrated in the Muscle Lim Protein (MLP) KO mouse model of DCM, a model considered representative of the broader DCM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21856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8604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addition to improvement in heart function, as shown in the figure below, Tg DWORF overexpression also prevents muscle cell disarray and fibrosis in the MLP KO model of DCM.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4085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8604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Treatment with AAV:DWORF constructs has shown similar improvements in heart remodeling following treatment. As shown below, experiments conducted in the lab of Eric Olson demonstrated improvements in heart remodeling with an AAV:DWORF construct in the MLP KO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104775</wp:posOffset>
            </wp:positionV>
            <wp:extent cx="2237105" cy="29832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23710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also demonstrated improvement in the same MLP KO model using our proprietary AAV:DWORF constructs. We have developed multiple proprietary promoters that drive multiple different levels of expression. As shown below, AAV:DWORF constructs containing these promoters (TNP-CM2, TNP-CM4, and TNP-CM7) improved in EF relative to a saline control in the MLP KO mouse model of DCM, with improvements in EF as high as approximately 14% achieved with constructs containing the TNP-CM4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144780</wp:posOffset>
            </wp:positionV>
            <wp:extent cx="4457700" cy="24860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4577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Results in DCM (with PLN Mutant Models)</w:t>
      </w:r>
      <w:r>
        <w:rPr>
          <w:rFonts w:ascii="Arial" w:cs="Arial" w:eastAsia="Arial" w:hAnsi="Arial"/>
          <w:sz w:val="18"/>
          <w:szCs w:val="18"/>
          <w:color w:val="auto"/>
        </w:rPr>
        <w:t>: Overexpression of</w:t>
      </w:r>
      <w:r>
        <w:rPr>
          <w:rFonts w:ascii="Arial" w:cs="Arial" w:eastAsia="Arial" w:hAnsi="Arial"/>
          <w:sz w:val="18"/>
          <w:szCs w:val="18"/>
          <w:i w:val="1"/>
          <w:iCs w:val="1"/>
          <w:color w:val="auto"/>
        </w:rPr>
        <w:t xml:space="preserve"> DWORF </w:t>
      </w:r>
      <w:r>
        <w:rPr>
          <w:rFonts w:ascii="Arial" w:cs="Arial" w:eastAsia="Arial" w:hAnsi="Arial"/>
          <w:sz w:val="18"/>
          <w:szCs w:val="18"/>
          <w:color w:val="auto"/>
        </w:rPr>
        <w:t>has also demonstrated meaningful improvements in mouse models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PLN mutant DCM. In experiments conducted in the lab of Eric Olson, mice with PLN R9C mutations are characterized by strong PLN inhibition of the SERCA2a calcium pump, resulting in decreased calcium flux, reduced heart muscle contraction, and decreased heart function. Tg overexpression of </w:t>
      </w:r>
      <w:r>
        <w:rPr>
          <w:rFonts w:ascii="Arial" w:cs="Arial" w:eastAsia="Arial" w:hAnsi="Arial"/>
          <w:sz w:val="18"/>
          <w:szCs w:val="18"/>
          <w:i w:val="1"/>
          <w:iCs w:val="1"/>
          <w:color w:val="auto"/>
        </w:rPr>
        <w:t xml:space="preserve">DWORF </w:t>
      </w:r>
      <w:r>
        <w:rPr>
          <w:rFonts w:ascii="Arial" w:cs="Arial" w:eastAsia="Arial" w:hAnsi="Arial"/>
          <w:sz w:val="18"/>
          <w:szCs w:val="18"/>
          <w:color w:val="auto"/>
        </w:rPr>
        <w:t>has been shown, as illustrated below, to improve fibrosis and heart remodeling in animals six months of age and improve survival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genetic model of 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145415</wp:posOffset>
            </wp:positionV>
            <wp:extent cx="3017520" cy="21088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1752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60"/>
          </w:cols>
          <w:pgMar w:left="320" w:top="459" w:right="5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205740</wp:posOffset>
            </wp:positionV>
            <wp:extent cx="3985895" cy="45345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985895"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We have tested different AAV:DWORF constructs in both healthy and disease mouse models and have not observed any safety signals at clinically relevant levels of </w:t>
      </w:r>
      <w:r>
        <w:rPr>
          <w:rFonts w:ascii="Arial" w:cs="Arial" w:eastAsia="Arial" w:hAnsi="Arial"/>
          <w:sz w:val="18"/>
          <w:szCs w:val="18"/>
          <w:i w:val="1"/>
          <w:iCs w:val="1"/>
          <w:color w:val="auto"/>
        </w:rPr>
        <w:t>DWORF</w:t>
      </w:r>
      <w:r>
        <w:rPr>
          <w:rFonts w:ascii="Arial" w:cs="Arial" w:eastAsia="Arial" w:hAnsi="Arial"/>
          <w:sz w:val="18"/>
          <w:szCs w:val="18"/>
          <w:color w:val="auto"/>
        </w:rPr>
        <w:t xml:space="preserve"> overexpression.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Planned Clinical Development</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After selection of our product candidate, we plan to initiate IND-enabling studies. We intend to submit an IND or CTA to the FDA or EMA, respectively, no earlier than 2023. During clinical development, we plan to examine the role of AAV:DWORF in DCM as well as potentially in sub-populations of HFrEF where there is alignment between AAV:DWORF with the pathophysiology of the disease.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Reprogramming Program for HF due to Prior MI</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developing an AAV-based approach to cellular regeneration that involves converting (or reprogramming) existing CFs within the heart to turn into new CMs and to replace cells permanently lost due to MI. There are estimated to be more than four million patients in the United States living with HF due to prior MI. The loss of CMs in affected individuals permanently impairs heart contraction, leading to HF and potentially fatal arrhythmias, and the death of approximately 5% to 10% of MI survivors within the first year. There are currently no approved treatments that address the underlying loss of heart tissue. The potential utility of our unique approach to creating new CMs was first demonstrated by our co-founder Deepak Srivastava, M.D. We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 xml:space="preserve">have discovered a proprietary combination of three genes that can drive robust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reprogramming of CFs to CMs when delivered together in a single AAV capsid. Based on publicly available information to date, we believe our results in a pig model of HF due to prior MI represent the first-ever successful demonstration of the potential benefit of this approach in a human-sized heart. This program is currently at the candidate selection stage.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HF due to prior MI</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CAD is the single most common cause of HF. CAD is often associated with an MI, in which blood flow to a section of the heart, usually the LV, becomes limited, causing the cells in that section of the heart, including CMs and CFs, to die. The heart cannot replace the lost CMs while the CFs multiply significantly, resulting in scar tissue formation and stiffening of the LV walls, leading to progressive and irreversible cardiovascular remodeling. As a result, the heart continues to lose its ability to pump as strongly and may fail over time. In addition to HF, these patients also have a persistent risk of arrhythmias and increased likelihood of a second heart attack or sudden death.</w:t>
      </w:r>
    </w:p>
    <w:p>
      <w:pPr>
        <w:spacing w:after="0" w:line="17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the United States, greater than 800,000 people have a heart attack every year; of these approximately 200,000 already had a prior heart attack. Approximately 20% of patients age 45 and older will have another heart attack within five years of their first one. Despite advances in treatment options, mortality due to heart attack is still high; data from the U.S. National Vital Statistics Reports shows the median life expectancy among individuals aged 65 to 69 who have had a heart attack is just 8.3 years as compared to 18.7 years among those who have not.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known therapies that address the loss of CMs associated with MI and the resulting morbidity and mortality.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Direct In Vivo Reprogramming of Resident CFs to Create CMs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Cellular reprogramming is the process of converting cells of one type into another cell type. Shinya Yamanaka and John Gurdon won the Nobel Prize for their discovery that cells in the body can be reprogrammed to become stem cells, called iPSCs, capable of developing into any other type of cell in the body using a combination of four transcriptional factors. Since then, researchers have also found other combinations of factors capable of directly converting cells from one type to another without first going through the iPSC state. Dr. Srivastava, one of our co-founders and a member of our board of directors, was the first to demonstrate direct reprogramming of CFs into CMs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creating the potential for a new approach to cardiac regeneration.</w:t>
      </w:r>
    </w:p>
    <w:p>
      <w:pPr>
        <w:spacing w:after="0" w:line="19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 xml:space="preserve">Building on this pioneering work, we have developed a novel AAV-based therapy for direct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reprogramming of resident CFs into CMs to replace the CMs lost due to an MI. Our goal is to convert the CFs into new CMs to help repair the heart after an MI, and ultimately slow down, stabilize or even potentially reverse the progression to HF. Our approach leverages substantial in-house advances in our reprogramming factors, capsid engineering, regulatory elements, and drug delivery to translate cardiac reprogramming science towards clinically relevant solutions.</w:t>
      </w:r>
    </w:p>
    <w:p>
      <w:pPr>
        <w:spacing w:after="0" w:line="2" w:lineRule="exact"/>
        <w:rPr>
          <w:sz w:val="20"/>
          <w:szCs w:val="20"/>
          <w:color w:val="auto"/>
        </w:rPr>
      </w:pPr>
    </w:p>
    <w:p>
      <w:pPr>
        <w:ind w:left="1080" w:right="80" w:hanging="532"/>
        <w:spacing w:after="0" w:line="295"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Reprogramming factors</w:t>
      </w:r>
      <w:r>
        <w:rPr>
          <w:rFonts w:ascii="Arial" w:cs="Arial" w:eastAsia="Arial" w:hAnsi="Arial"/>
          <w:sz w:val="16"/>
          <w:szCs w:val="16"/>
          <w:color w:val="auto"/>
        </w:rPr>
        <w:t>. Through extensive</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screening efforts in actual human CFs, we identified a unique combination of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genes encoding Myocardin, ASCL1, and miR-133 that together can drive robust direct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reprogramming of CFs to CMs, and that we have designed to fit into a single AAV. We use the term reprogramming factors to refer to such combination of genes and any other combinations of genes that when delivered together in a single AAV into CFs, result in the direct reprogramming of the CFs into CMs.</w:t>
      </w:r>
    </w:p>
    <w:p>
      <w:pPr>
        <w:spacing w:after="0" w:line="66" w:lineRule="exact"/>
        <w:rPr>
          <w:rFonts w:ascii="Arial" w:cs="Arial" w:eastAsia="Arial" w:hAnsi="Arial"/>
          <w:sz w:val="16"/>
          <w:szCs w:val="16"/>
          <w:color w:val="auto"/>
        </w:rPr>
      </w:pPr>
    </w:p>
    <w:p>
      <w:pPr>
        <w:ind w:left="1080" w:right="80" w:hanging="532"/>
        <w:spacing w:after="0" w:line="286" w:lineRule="auto"/>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Capsid engineering</w:t>
      </w:r>
      <w:r>
        <w:rPr>
          <w:rFonts w:ascii="Arial" w:cs="Arial" w:eastAsia="Arial" w:hAnsi="Arial"/>
          <w:sz w:val="17"/>
          <w:szCs w:val="17"/>
          <w:color w:val="auto"/>
        </w:rPr>
        <w:t>. While AAV9 can be used to target CMs, it does not sufficiently transduce CFs. We have discovered a novel capsid,</w:t>
      </w:r>
      <w:r>
        <w:rPr>
          <w:rFonts w:ascii="Arial" w:cs="Arial" w:eastAsia="Arial" w:hAnsi="Arial"/>
          <w:sz w:val="17"/>
          <w:szCs w:val="17"/>
          <w:i w:val="1"/>
          <w:iCs w:val="1"/>
          <w:color w:val="auto"/>
        </w:rPr>
        <w:t xml:space="preserve"> </w:t>
      </w:r>
      <w:r>
        <w:rPr>
          <w:rFonts w:ascii="Arial" w:cs="Arial" w:eastAsia="Arial" w:hAnsi="Arial"/>
          <w:sz w:val="17"/>
          <w:szCs w:val="17"/>
          <w:color w:val="auto"/>
        </w:rPr>
        <w:t>TNC-CF1, which has a higher transduction efficiency for human CFs as compared to currently known AAV serotypes. Initial data suggest this novel capsid may also be less susceptible to neutralizing antibodies compared to known serotypes.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5" w:lineRule="auto"/>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Regulatory elements</w:t>
      </w:r>
      <w:r>
        <w:rPr>
          <w:rFonts w:ascii="Arial" w:cs="Arial" w:eastAsia="Arial" w:hAnsi="Arial"/>
          <w:sz w:val="17"/>
          <w:szCs w:val="17"/>
          <w:color w:val="auto"/>
        </w:rPr>
        <w:t>. We have pursued rigorous, iterative optimization efforts to create proprietary reprogramming products.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optimized Myocardin and cassette regulatory elements to both decrease cassette size and improve reprogramming efficiency. After extensive exploration of single and double promoter strategies, we have selected the CAG promoter to drive robust expression of our reprogramming factors. We limit expression of our reprogramming factors in mature CMs by including a miR-208 binding site that decreases reprogramming factor expression in mature CMs after differentiation from fibroblasts.</w:t>
      </w:r>
    </w:p>
    <w:p>
      <w:pPr>
        <w:spacing w:after="0" w:line="81" w:lineRule="exact"/>
        <w:rPr>
          <w:rFonts w:ascii="Arial" w:cs="Arial" w:eastAsia="Arial" w:hAnsi="Arial"/>
          <w:sz w:val="17"/>
          <w:szCs w:val="17"/>
          <w:color w:val="auto"/>
        </w:rPr>
      </w:pPr>
    </w:p>
    <w:p>
      <w:pPr>
        <w:ind w:left="1080" w:right="12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Drug delivery</w:t>
      </w:r>
      <w:r>
        <w:rPr>
          <w:rFonts w:ascii="Arial" w:cs="Arial" w:eastAsia="Arial" w:hAnsi="Arial"/>
          <w:sz w:val="18"/>
          <w:szCs w:val="18"/>
          <w:color w:val="auto"/>
        </w:rPr>
        <w:t>. We are developing, in conjunction with leaders in interventional cardiology, a proprietary percutaneous endomyocardial</w:t>
      </w:r>
      <w:r>
        <w:rPr>
          <w:rFonts w:ascii="Arial" w:cs="Arial" w:eastAsia="Arial" w:hAnsi="Arial"/>
          <w:sz w:val="18"/>
          <w:szCs w:val="18"/>
          <w:i w:val="1"/>
          <w:iCs w:val="1"/>
          <w:color w:val="auto"/>
        </w:rPr>
        <w:t xml:space="preserve"> </w:t>
      </w:r>
      <w:r>
        <w:rPr>
          <w:rFonts w:ascii="Arial" w:cs="Arial" w:eastAsia="Arial" w:hAnsi="Arial"/>
          <w:sz w:val="18"/>
          <w:szCs w:val="18"/>
          <w:color w:val="auto"/>
        </w:rPr>
        <w:t>injection catheter (TND-INJ1) to inject and deliver our gene therapies around scars in the heart in a non-surgical, minimally-invasive procedure. Many potential sites for future clinical studies have experience with endomyocardial injection catheters through previous and ongoing cell therapy studies.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schematic below summarizes the components of our intended reprogramming gene therapy product candidate and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183515</wp:posOffset>
            </wp:positionV>
            <wp:extent cx="5160645" cy="22371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6064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40"/>
          </w:cols>
          <w:pgMar w:left="320" w:top="459" w:right="5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We have conducted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to optimize our direct reprogramming approach</w:t>
      </w:r>
      <w:r>
        <w:rPr>
          <w:rFonts w:ascii="Arial" w:cs="Arial" w:eastAsia="Arial" w:hAnsi="Arial"/>
          <w:sz w:val="18"/>
          <w:szCs w:val="18"/>
          <w:i w:val="1"/>
          <w:iCs w:val="1"/>
          <w:color w:val="auto"/>
        </w:rPr>
        <w:t>.</w:t>
      </w:r>
      <w:r>
        <w:rPr>
          <w:rFonts w:ascii="Arial" w:cs="Arial" w:eastAsia="Arial" w:hAnsi="Arial"/>
          <w:sz w:val="18"/>
          <w:szCs w:val="18"/>
          <w:color w:val="auto"/>
        </w:rPr>
        <w:t xml:space="preserve"> Our most advanced results have been achieved primarily with two different constructs, TN1-002 and TN1-006. A summary of certain preclinical data supporting the Reprogramming program in general and TN1-002 in particular was presented at the ASGCT conference in 2020.</w:t>
      </w:r>
    </w:p>
    <w:p>
      <w:pPr>
        <w:spacing w:after="0" w:line="211" w:lineRule="exact"/>
        <w:rPr>
          <w:sz w:val="20"/>
          <w:szCs w:val="20"/>
          <w:color w:val="auto"/>
        </w:rPr>
      </w:pPr>
    </w:p>
    <w:p>
      <w:pPr>
        <w:ind w:left="1080" w:hanging="532"/>
        <w:spacing w:after="0" w:line="25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Results from in vitro conversion of human CFs</w:t>
      </w:r>
      <w:r>
        <w:rPr>
          <w:rFonts w:ascii="Arial" w:cs="Arial" w:eastAsia="Arial" w:hAnsi="Arial"/>
          <w:sz w:val="18"/>
          <w:szCs w:val="18"/>
          <w:color w:val="auto"/>
        </w:rPr>
        <w:t>. Our reprogramming approach has been optimized</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in adult human CFs.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extensive iterative experiments to compare the relative efficiency of various constructs to convert CFs to CMs. CM-specific markers like cTnT and a-Actinin are measured to determine the proportion of cells that have been converted from CFs to CMs. The figure below illustrates the results from such an experiment, demonstrating how our TN1-006 construct can convert approximately 40% of human CFs to 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-8255</wp:posOffset>
            </wp:positionV>
            <wp:extent cx="4406265" cy="51689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406265" cy="516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9"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Results from rodent disease models</w:t>
      </w:r>
      <w:r>
        <w:rPr>
          <w:rFonts w:ascii="Arial" w:cs="Arial" w:eastAsia="Arial" w:hAnsi="Arial"/>
          <w:sz w:val="17"/>
          <w:szCs w:val="17"/>
          <w:color w:val="auto"/>
        </w:rPr>
        <w:t>. We have demonstrated durable and dose-dependent improvement in EF in both mouse and rat models</w:t>
      </w:r>
      <w:r>
        <w:rPr>
          <w:rFonts w:ascii="Arial" w:cs="Arial" w:eastAsia="Arial" w:hAnsi="Arial"/>
          <w:sz w:val="17"/>
          <w:szCs w:val="17"/>
          <w:i w:val="1"/>
          <w:iCs w:val="1"/>
          <w:color w:val="auto"/>
        </w:rPr>
        <w:t xml:space="preserve"> </w:t>
      </w:r>
      <w:r>
        <w:rPr>
          <w:rFonts w:ascii="Arial" w:cs="Arial" w:eastAsia="Arial" w:hAnsi="Arial"/>
          <w:sz w:val="17"/>
          <w:szCs w:val="17"/>
          <w:color w:val="auto"/>
        </w:rPr>
        <w:t>of HF following an induced MI. In our rat model, TN1-006 was injected directly around the scar area formed two weeks after an induced MI. The figure below demonstrates dose-dependent improvement in EF, with an approximately 10% improvement in EF achieved at the highest dose compared to controls that was sustained up to the end of the experiment at 29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134620</wp:posOffset>
            </wp:positionV>
            <wp:extent cx="3223260" cy="32746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2326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20"/>
          </w:cols>
          <w:pgMar w:left="320" w:top="459" w:right="5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9"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Results from pig disease model</w:t>
      </w:r>
      <w:r>
        <w:rPr>
          <w:rFonts w:ascii="Arial" w:cs="Arial" w:eastAsia="Arial" w:hAnsi="Arial"/>
          <w:sz w:val="17"/>
          <w:szCs w:val="17"/>
          <w:color w:val="auto"/>
        </w:rPr>
        <w:t>. We have demonstrated durable improvement in EF in a pig model of HF following an induced MI. In a pig</w:t>
      </w:r>
      <w:r>
        <w:rPr>
          <w:rFonts w:ascii="Arial" w:cs="Arial" w:eastAsia="Arial" w:hAnsi="Arial"/>
          <w:sz w:val="17"/>
          <w:szCs w:val="17"/>
          <w:i w:val="1"/>
          <w:iCs w:val="1"/>
          <w:color w:val="auto"/>
        </w:rPr>
        <w:t xml:space="preserve"> </w:t>
      </w:r>
      <w:r>
        <w:rPr>
          <w:rFonts w:ascii="Arial" w:cs="Arial" w:eastAsia="Arial" w:hAnsi="Arial"/>
          <w:sz w:val="17"/>
          <w:szCs w:val="17"/>
          <w:color w:val="auto"/>
        </w:rPr>
        <w:t>model, TN1-002 was injected directly around the scar area formed 28 days after an induced MI. The figure below demonstrates approximately 10% improvement in EF compared to each animal’s own pre-dose baseline and more than 11% improvement compared to control-treated animals that remained sustained until the end of the experiment at nine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134620</wp:posOffset>
            </wp:positionV>
            <wp:extent cx="4320540" cy="36601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20540"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100" w:right="60"/>
        <w:spacing w:after="0" w:line="301" w:lineRule="auto"/>
        <w:rPr>
          <w:sz w:val="20"/>
          <w:szCs w:val="20"/>
          <w:color w:val="auto"/>
        </w:rPr>
      </w:pPr>
      <w:r>
        <w:rPr>
          <w:rFonts w:ascii="Arial" w:cs="Arial" w:eastAsia="Arial" w:hAnsi="Arial"/>
          <w:sz w:val="16"/>
          <w:szCs w:val="16"/>
          <w:color w:val="auto"/>
        </w:rPr>
        <w:t>We believe these data compare favorably to published efficacy data for other cell and gene therapy interventions in large animal models. Very few previous therapeutic attempts have achieved meaningful improvement in EF compared to pre-dose baseline in large animal models, with typical improvements, when observed, of less than 5%. From an assessment of the published literature, including a meta-analysis of multiple therapeutics in HFrEF, we believe that each 5% increase in EF is expected to reduce mortality by approximately 15%.</w:t>
      </w:r>
    </w:p>
    <w:p>
      <w:pPr>
        <w:spacing w:after="0" w:line="49" w:lineRule="exact"/>
        <w:rPr>
          <w:sz w:val="20"/>
          <w:szCs w:val="20"/>
          <w:color w:val="auto"/>
        </w:rPr>
      </w:pPr>
    </w:p>
    <w:p>
      <w:pPr>
        <w:ind w:left="1100"/>
        <w:spacing w:after="0" w:line="291" w:lineRule="auto"/>
        <w:rPr>
          <w:sz w:val="20"/>
          <w:szCs w:val="20"/>
          <w:color w:val="auto"/>
        </w:rPr>
      </w:pPr>
      <w:r>
        <w:rPr>
          <w:rFonts w:ascii="Arial" w:cs="Arial" w:eastAsia="Arial" w:hAnsi="Arial"/>
          <w:sz w:val="16"/>
          <w:szCs w:val="16"/>
          <w:color w:val="auto"/>
        </w:rPr>
        <w:t>This pig model is known to have high variability in disease progression among individual animals. In order to confirm that the results obtained with TN1-002 reflected true improvements in heart function, we conducted extensive additional analysis of other parameters, including heart size (for example, LV diameter and volume during systole and diastole), measures of cardiac output (for example, stroke volume), measures of heart injury (for example, troponin levels), and final scar size at the level of individual animals. As shown in the figure below, our analysis revealed high heterogeneity in the change in absolute EF% among individual animal responses to TN1-002 from a decline of -2% to improvement of +24%, and that seven out of ten treated animals were considered “responders” (based on EF% increase of greater than 5% over pre-dose baseline) while three out of ten were considered “non-responders”.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205740</wp:posOffset>
            </wp:positionV>
            <wp:extent cx="3154680" cy="3437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15468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00" w:right="20"/>
        <w:spacing w:after="0" w:line="263" w:lineRule="auto"/>
        <w:rPr>
          <w:sz w:val="20"/>
          <w:szCs w:val="20"/>
          <w:color w:val="auto"/>
        </w:rPr>
      </w:pPr>
      <w:r>
        <w:rPr>
          <w:rFonts w:ascii="Arial" w:cs="Arial" w:eastAsia="Arial" w:hAnsi="Arial"/>
          <w:sz w:val="18"/>
          <w:szCs w:val="18"/>
          <w:color w:val="auto"/>
        </w:rPr>
        <w:t>Further analysis of responder animals as compared to non-responder animals demonstrated responders generally had improvement in most parameters that were internally consistent and suggestive of positive heart remodeling. By comparison, the pattern of these additional parameters was not internally consistent among non-responders.</w:t>
      </w:r>
    </w:p>
    <w:p>
      <w:pPr>
        <w:spacing w:after="0" w:line="76"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The figure below demonstrates the expected inverse correlation of the degree of EF improvement of responders to the change in heart size, as measured by LV end systolic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133985</wp:posOffset>
            </wp:positionV>
            <wp:extent cx="4123055" cy="24174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12305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Further analysis of heart samples from responder as compared to non-responder animals from this study revealed that responder animals had significantly higher measurable levels of the TN1-002 vector and the reprogramming factors than the non-responder animals. This provides additional support that the improvements in EF results seen in this experiment were a direct result of the delivery and expression of reprogramming factors by our AAV capsid.</w:t>
      </w:r>
    </w:p>
    <w:p>
      <w:pPr>
        <w:spacing w:after="0" w:line="187" w:lineRule="exact"/>
        <w:rPr>
          <w:sz w:val="20"/>
          <w:szCs w:val="20"/>
          <w:color w:val="auto"/>
        </w:rPr>
      </w:pPr>
    </w:p>
    <w:p>
      <w:pPr>
        <w:ind w:left="1100" w:right="160"/>
        <w:spacing w:after="0" w:line="308" w:lineRule="auto"/>
        <w:rPr>
          <w:sz w:val="20"/>
          <w:szCs w:val="20"/>
          <w:color w:val="auto"/>
        </w:rPr>
      </w:pPr>
      <w:r>
        <w:rPr>
          <w:rFonts w:ascii="Arial" w:cs="Arial" w:eastAsia="Arial" w:hAnsi="Arial"/>
          <w:sz w:val="17"/>
          <w:szCs w:val="17"/>
          <w:color w:val="auto"/>
        </w:rPr>
        <w:t>The figures below illustrate that the level of AAV transduction and transgene expression was observed to be higher in samples obtained from responders compared to non-responders to TN1-002 in the study of reprogramming in the pig model of HF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3300095" cy="40462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00095"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00" w:right="280"/>
        <w:spacing w:after="0" w:line="263" w:lineRule="auto"/>
        <w:rPr>
          <w:sz w:val="20"/>
          <w:szCs w:val="20"/>
          <w:color w:val="auto"/>
        </w:rPr>
      </w:pPr>
      <w:r>
        <w:rPr>
          <w:rFonts w:ascii="Arial" w:cs="Arial" w:eastAsia="Arial" w:hAnsi="Arial"/>
          <w:sz w:val="18"/>
          <w:szCs w:val="18"/>
          <w:color w:val="auto"/>
        </w:rPr>
        <w:t>Our preclinical findings to date provide direction to our ongoing candidate selection efforts. We continue to seek ways to ensure more consistent delivery and expression of our reprogramming factors to CFs, including with the use of novel capsids and novel delivery methods.</w:t>
      </w:r>
    </w:p>
    <w:p>
      <w:pPr>
        <w:spacing w:after="0" w:line="211" w:lineRule="exact"/>
        <w:rPr>
          <w:sz w:val="20"/>
          <w:szCs w:val="20"/>
          <w:color w:val="auto"/>
        </w:rPr>
      </w:pPr>
    </w:p>
    <w:p>
      <w:pPr>
        <w:ind w:left="1080" w:right="22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To date, no negative safety findings have been associated with either TN1-002 or TN1-006 in</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experiments in rat and pig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including clinical findings, histopathology, assessment of arrhythmia, and other measures.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Planned Clinical Development</w:t>
      </w:r>
    </w:p>
    <w:p>
      <w:pPr>
        <w:spacing w:after="0" w:line="11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have received feedback from the FDA through an INTERACT (INitial Targeted Engagement for Regulatory Advice on CBER producTs) review to inform the design of our future preclinical studies. After selection of our product candidate, we plan to initiate IND-enabling studies. We intend to submit an IND or CTA to the FDA or EMA, respectively, no earlier than 2023.</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20"/>
          </w:cols>
          <w:pgMar w:left="320" w:top="459" w:right="5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development plan is anticipated to include patients with advanced HF due to prior MI who meet qualifications for a heart transplant or LVAD as well as a broader patient population with severe ischemic cardiomyopathy. In the future, we also may explore potential for development in other forms of HF caused by a loss of CMs, but not involving a myocardial infarction.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Pipeline Expansion Opportunities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the versatility of our three product platforms and our related differentiated capabilities enables us to rapidly expand our portfolio beyond the initial areas of focus. In addition to the named programs in our current pipeline, there are several programs emerging from each of our platforms that are intended to address rare genetic cardiomyopathies as well as more prevalent forms of heart disease. We continue to research, discover and evaluate new programs arising from our three product platforms. We also continue to explore opportunities to collaborate with leading academic and biopharmaceutical organizations with complementary science and capabilities that share our bold vision for the development of next-generation therapies to benefit individuals and families fighting heart disease.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Third Party Agreements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License Agreement with The Board of Regents of the University of Texas System on behalf of UTSW</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licensed intellectual property from UTSW in a license agreement effective January 10, 2020 with regard to our DWORF program. We entered into the license agreement with The Board of Regents of the University of Texas System on behalf of UTSW for a worldwide license to develop and commercialize products covered by the UTSW-licensed intellectual property relating to therapeutics overexpressing the peptide named DWORF for all uses. Our license under the license agreement is exclusive with respect to the UTSW patent rights licensed thereunder and non-exclusive with respect to the UTSW tangible materials provided thereunder. All of the DWORF gene therapy product candidates currently in our pipeline rely upon the license granted to us under this agreement. Such license is subject to (a) certain non-commercial rights reserved by UTSW and (b) certain rights retained by the U.S. government, including so called march-in rights.</w:t>
      </w:r>
    </w:p>
    <w:p>
      <w:pPr>
        <w:spacing w:after="0" w:line="17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Under the license agreement, we are obligated to make milestone payments to UTSW aggregating up to $2.75 million upon the achievement of specified development and regulatory approval milestones and up to $12 million upon the achievement of specified sales milestones, in each case, for products covered by the UTSW licensed patent rights. We are also obligated to pay single-digit royalties to UTSW based on net sales by us or our affiliates and sublicensees of products covered by the UTSW licensed patent rights. In addition, in the event we grant a sublicense or an option to obtain a sublicense under the UTSW licensed patent rights, we are obligated to pay UTSW a specified portion of the income we receive therefrom. Further, in the event we undergo a change of control, we may be obligated to make a payment to UTSW of up to $3 million.</w:t>
      </w:r>
    </w:p>
    <w:p>
      <w:pPr>
        <w:spacing w:after="0" w:line="16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Our royalty obligations with respect to each product covered by UTSW licensed patent rights in a country extend until the latest of expiration of the last-to-expire patent claim licensed from UTSW covering the product in the country, the exclusivity term covering the product in the country and a specified number of years after the first commercial sale of the product in the country.</w:t>
      </w:r>
    </w:p>
    <w:p>
      <w:pPr>
        <w:spacing w:after="0" w:line="18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Under the license agreement, we are obligated to use a certain level of effort to develop and commercialize one or more products covered by the UTSW licensed patent rights and to achieve certain development or regulatory approval milestones within set times, subject to certain extensions and required payments for such extensions.</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UTSW has the right to terminate the license agreement for our uncured material breach of the license agreement, including if we fail to use a certain level of effort to achieve specified development or regulatory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approval milestones within specified timeframes, or if we unsuccessfully challenge the validity of the UTSW licensed patent rights or for certain events related to our bankruptcy. We have the right to terminate the agreement at any time.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intellectual property. We believe our three product platforms, scientific know-how, five core internal capabilities, and experience provides us with competitive advantages. However, we face substantial competition from many different sources, including large and specialty pharmaceutical companies and biotechnology companies, academic research institutions and governmental agencies, and public and private research institutions. Any product candidate we develop and commercialize will have to compete with existing therapies as well as therapies currently in development and that may be developed in the future.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Due to the depth and diversity of our pipeline, we may face competition from a variety of companies, including:</w:t>
      </w:r>
    </w:p>
    <w:p>
      <w:pPr>
        <w:spacing w:after="0" w:line="127" w:lineRule="exact"/>
        <w:rPr>
          <w:sz w:val="20"/>
          <w:szCs w:val="20"/>
          <w:color w:val="auto"/>
        </w:rPr>
      </w:pPr>
    </w:p>
    <w:p>
      <w:pPr>
        <w:ind w:left="1080" w:right="500" w:hanging="532"/>
        <w:spacing w:after="0" w:line="266"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General cardiovascular drug development: </w:t>
      </w:r>
      <w:r>
        <w:rPr>
          <w:rFonts w:ascii="Arial" w:cs="Arial" w:eastAsia="Arial" w:hAnsi="Arial"/>
          <w:sz w:val="18"/>
          <w:szCs w:val="18"/>
          <w:color w:val="auto"/>
        </w:rPr>
        <w:t>Companies known to have approved products and active drug development efforts for</w:t>
      </w:r>
      <w:r>
        <w:rPr>
          <w:rFonts w:ascii="Arial" w:cs="Arial" w:eastAsia="Arial" w:hAnsi="Arial"/>
          <w:sz w:val="18"/>
          <w:szCs w:val="18"/>
          <w:b w:val="1"/>
          <w:bCs w:val="1"/>
          <w:color w:val="auto"/>
        </w:rPr>
        <w:t xml:space="preserve"> </w:t>
      </w:r>
      <w:r>
        <w:rPr>
          <w:rFonts w:ascii="Arial" w:cs="Arial" w:eastAsia="Arial" w:hAnsi="Arial"/>
          <w:sz w:val="18"/>
          <w:szCs w:val="18"/>
          <w:color w:val="auto"/>
        </w:rPr>
        <w:t>cardiovascular disease include but are not limited to AstraZeneca, Bayer, Bristol Myers Squibb, Cytokinetics, Eli Lilly, Johnson &amp; Johnson/Janssen, Maze Therapeutics, Merck, Novartis, and Novo Nordisk;</w:t>
      </w:r>
    </w:p>
    <w:p>
      <w:pPr>
        <w:spacing w:after="0" w:line="81" w:lineRule="exact"/>
        <w:rPr>
          <w:rFonts w:ascii="Arial" w:cs="Arial" w:eastAsia="Arial" w:hAnsi="Arial"/>
          <w:sz w:val="18"/>
          <w:szCs w:val="18"/>
          <w:color w:val="auto"/>
        </w:rPr>
      </w:pPr>
    </w:p>
    <w:p>
      <w:pPr>
        <w:ind w:left="1080" w:right="140" w:hanging="532"/>
        <w:spacing w:after="0" w:line="266"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Gene Therapy platform: </w:t>
      </w:r>
      <w:r>
        <w:rPr>
          <w:rFonts w:ascii="Arial" w:cs="Arial" w:eastAsia="Arial" w:hAnsi="Arial"/>
          <w:sz w:val="18"/>
          <w:szCs w:val="18"/>
          <w:color w:val="auto"/>
        </w:rPr>
        <w:t>Companies known to be pursuing gene therapy approaches for the heart include but are not limited to 4D</w:t>
      </w:r>
      <w:r>
        <w:rPr>
          <w:rFonts w:ascii="Arial" w:cs="Arial" w:eastAsia="Arial" w:hAnsi="Arial"/>
          <w:sz w:val="18"/>
          <w:szCs w:val="18"/>
          <w:b w:val="1"/>
          <w:bCs w:val="1"/>
          <w:color w:val="auto"/>
        </w:rPr>
        <w:t xml:space="preserve"> </w:t>
      </w:r>
      <w:r>
        <w:rPr>
          <w:rFonts w:ascii="Arial" w:cs="Arial" w:eastAsia="Arial" w:hAnsi="Arial"/>
          <w:sz w:val="18"/>
          <w:szCs w:val="18"/>
          <w:color w:val="auto"/>
        </w:rPr>
        <w:t>Molecular Therapeutics, Bayer, Bristol Myers Squibb, BioMarin Pharmaceutical, DiNAQOR, Nuevocor, Precigen, Renova Therapeutics, Renovacor, Rocket Pharmaceuticals, Sardicor, Stride Bio, and uniQure;</w:t>
      </w:r>
    </w:p>
    <w:p>
      <w:pPr>
        <w:spacing w:after="0" w:line="81" w:lineRule="exact"/>
        <w:rPr>
          <w:rFonts w:ascii="Arial" w:cs="Arial" w:eastAsia="Arial" w:hAnsi="Arial"/>
          <w:sz w:val="18"/>
          <w:szCs w:val="18"/>
          <w:color w:val="auto"/>
        </w:rPr>
      </w:pPr>
    </w:p>
    <w:p>
      <w:pPr>
        <w:ind w:left="1080" w:right="120" w:hanging="532"/>
        <w:spacing w:after="0" w:line="266"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Cellular Regeneration platform: </w:t>
      </w:r>
      <w:r>
        <w:rPr>
          <w:rFonts w:ascii="Arial" w:cs="Arial" w:eastAsia="Arial" w:hAnsi="Arial"/>
          <w:sz w:val="18"/>
          <w:szCs w:val="18"/>
          <w:color w:val="auto"/>
        </w:rPr>
        <w:t>Companies known to be pursuing approaches to cellular regeneration for the heart include but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AstraZeneca, Bayer, BioCardia, Cardior Pharmaceuticals, Jaan Biotherapeutics, Khloris Biosciences, Mesoblast, Mogrify, Sana Biotechnologies and Xylocor Therapeutics; and</w:t>
      </w:r>
    </w:p>
    <w:p>
      <w:pPr>
        <w:spacing w:after="0" w:line="81" w:lineRule="exact"/>
        <w:rPr>
          <w:rFonts w:ascii="Arial" w:cs="Arial" w:eastAsia="Arial" w:hAnsi="Arial"/>
          <w:sz w:val="18"/>
          <w:szCs w:val="18"/>
          <w:color w:val="auto"/>
        </w:rPr>
      </w:pPr>
    </w:p>
    <w:p>
      <w:pPr>
        <w:ind w:left="1080" w:hanging="532"/>
        <w:spacing w:after="0" w:line="282"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Precision Medicine platform: </w:t>
      </w:r>
      <w:r>
        <w:rPr>
          <w:rFonts w:ascii="Arial" w:cs="Arial" w:eastAsia="Arial" w:hAnsi="Arial"/>
          <w:sz w:val="18"/>
          <w:szCs w:val="18"/>
          <w:color w:val="auto"/>
        </w:rPr>
        <w:t>Companies known to be pursuing approaches to drug discovery for the heart using disease models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iPSC-CMs include but are not limited to DiNAQOR and Tara Biosystems.</w:t>
      </w:r>
    </w:p>
    <w:p>
      <w:pPr>
        <w:spacing w:after="0" w:line="166"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cannot predict whether other therapies may be developed that demonstrate greater efficacy, and we may have direct and substantial competition from such therapies in the future. We expect to face increasing competition as new, more effective treatments enter the market and further advancements in technologies are made. We expect market adoption of any treatments that we develop and commercialize to be dependent on, among other things, efficacy, safety, delivery, price and the availability of reimbursement from government and other third-party payors.</w:t>
      </w:r>
    </w:p>
    <w:p>
      <w:pPr>
        <w:spacing w:after="0" w:line="15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 as well as in acquiring technologies complementary to, or necessary for, our product candidates.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success depends in part on our ability to obtain and maintain intellectual property protection for our product candidates, technology and know-how, to operate without infringing, misappropriating or otherwise violating the intellectual property or other the proprietary rights of others and to prevent others from infringing, misappropriating or otherwise violating our intellectual property or other proprietary rights. To protect our intellectual property rights, we primarily rely on patent and trade secret laws, confidentiality procedures, and employee disclosure and invention assignment agreements. Our policy is to seek to protect our proprietary position by, among other methods, pursuing patent applications in the United States and in certain jurisdictions outside of the United States related to our proprietary technology, inventions, improvements and product candidates that are important to the development and implementation of our business. Our patent portfolio is intended to cover our product candidates and components thereof, their methods of use and processes for their manufacture, our proprietary reagents and assays and any other inventions that are commercially important to our business. The development of our product candidates and technology is at an early stage and consequently, our patent portfolio is also at an early stage. We have in-licensed one issued U.S. patent, own one issued U.S. patent, and own one allowed U.S. patent application relating to our technology and product candidates. Many of our and our licensors’ patent applications are either at the provisional stage or at an early stage in prosecution. We cannot be sure that any patents will be granted with respect to any of our pending patent applications or with respect to any patent applications filed by us in the future, nor can we be sure that any patents that may be granted to us in the future will be commercially useful in protecting our technology and product candidates.</w:t>
      </w:r>
    </w:p>
    <w:p>
      <w:pPr>
        <w:spacing w:after="0" w:line="184"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Our owned and exclusively licensed patent portfolio covers various aspects of our programs and technology, including our small-molecule compounds, gene delivery vectors, and gene therapy programs. Further details on certain segments of our patent portfolio are included below.</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 Therapy Platform</w:t>
      </w:r>
    </w:p>
    <w:p>
      <w:pPr>
        <w:spacing w:after="0" w:line="117"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i w:val="1"/>
          <w:iCs w:val="1"/>
          <w:color w:val="auto"/>
        </w:rPr>
        <w:t>MYBPC3</w:t>
      </w:r>
      <w:r>
        <w:rPr>
          <w:rFonts w:ascii="Arial" w:cs="Arial" w:eastAsia="Arial" w:hAnsi="Arial"/>
          <w:sz w:val="17"/>
          <w:szCs w:val="17"/>
          <w:color w:val="auto"/>
        </w:rPr>
        <w:t>: With regard to our MYBPC3 program, as of July 1, 2021, we solely own two pending Patent Cooperation Treaty (PCT) patent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applications and one pending U.S. patent application which the USPTO has allowed and which we expect to issue as a U.S. patent in due course. Any U.S. or foreign patents issued from national stage filings of the PCT patent applications are expected to expire in 2041, assuming payment of all appropriate maintenance, renewal, annuity or other governmental fees and that national phase entries are timely made based upon the pending PCT applications, and without taking potential patent term extensions or adjustments into account. The pending U.S. provisional patent applications cover various aspects of our MYBPC3 lead products, including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expression vectors, recombinant AAV (rAAV) virions, rAAV viral genomes, expression cassettes, and methods of using such compositions for therapeutic indications.</w:t>
      </w:r>
    </w:p>
    <w:p>
      <w:pPr>
        <w:spacing w:after="0" w:line="17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PKP2</w:t>
      </w:r>
      <w:r>
        <w:rPr>
          <w:rFonts w:ascii="Arial" w:cs="Arial" w:eastAsia="Arial" w:hAnsi="Arial"/>
          <w:sz w:val="17"/>
          <w:szCs w:val="17"/>
          <w:color w:val="auto"/>
        </w:rPr>
        <w:t>: With regard to our PKP2 program, as of July 1, 2021, we solely own three pending U.S. provisional patent applications. Patents claiming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priority to these three U.S. provisional patent applications, if issued, are expected to expire between 2041 and 2042, assuming payment of all appropriate maintenance, renewal, annuity or other governmental fees and without taking potential patent term extensions or adjustments into account. These provisional patent applications are related to proprietary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expression vectors and methods of use.</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DWORF</w:t>
      </w:r>
      <w:r>
        <w:rPr>
          <w:rFonts w:ascii="Arial" w:cs="Arial" w:eastAsia="Arial" w:hAnsi="Arial"/>
          <w:sz w:val="16"/>
          <w:szCs w:val="16"/>
          <w:color w:val="auto"/>
        </w:rPr>
        <w:t>: With regard to our DWORF program, as of July 1, 2021, we exclusively license one U.S. patent and one pending U.S. patent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UTSW (the UT Patents). The U.S. patent is expected to expire, and the pending U.S. patent application, if issued, is expected to expire, in 2037, assuming payment of all appropriate maintenance, renewal, annuity or other governmental fees and without taking potential patent term extensions or adjustments into account. The UT Patents covers methods of enhancing activity of the SERCA pump using the DWORF peptide and using such methods to treat heart disease. Furthermore, we solely own a pending U.S. provisional patent application related to proprietary vectors and methods of use. Patents claiming priority to this U.S. provisional patent application, if issued, are expected to expire in 2041, assuming payment of all appropriate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maintenance, renewal, annuity or other governmental fees, and without taking potential patent term extensions or adjustments into account.</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Cellular Regeneration Platform</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With respect to our Cellular Regeneration platform, as of July 1, 2021, we solely own three patent families directed to product candidates in our Reprogramming program, including two pending PCT patent applications, one issued U.S. patent, one pending non-provisional U.S. patent application and nine foreign counterparts of these patent applications. Any U.S. or foreign patents issued from national stage filings of the PCT patent applications are expected to expire between 2039 and 2041, assuming payment of all appropriate maintenance, renewal, annuity or other governmental fees and that national phase entries are timely made based upon the pending PCT applications, and without taking potential patent term extensions or adjustments into account. The three patent families cover various aspects of our Reprogramming program, including gene delivery vectors, methods of treating a heart condition, engineered myocardin proteins, vectors encoding engineered myocardins, and methods of use. Additionally, we solely own a fourth patent family that is directed to AAV-based gene vectors for cardiac cell transduction, with one pending international PCT patent application. Any U.S. or foreign patents issued from national stage filings of this PCT patent application are expected to expire in 2040, assuming payment of all appropriate maintenance, renewal, annuity or other governmental fees and that national phase entries are timely made based upon the pending PCT applications, and without taking potential patent term extensions or adjustments into account.</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Precision Medicine Platform</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With regard to our HDAC6i program, as of July 1, 2021, we solely own two pending PCT patent applications and four pending U.S. provisional patent applications. Any U.S. or foreign patents issued from national stage filings of these PCT patent applications are expected to expire in 2040, assuming payment of all appropriate maintenance, renewal, annuity or other governmental fees and that national phase entries are timely made based upon the pending PCT applications, and without taking potential patent term extensions or adjustments into account. Our patent applications cover our lead HDAC6i compounds and various analogs.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addition to our reliance on patent protection for our technology and product candidates, 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most-advanced programs as well as vector technologies widely applicable to potential AAV therapies. However, trade secrets can be difficult to protect. We seek to protect our trade secrets, proprietary technology and processes, in part, by entering into confidentiality and invention assignment agreements with our employees, consultants, scientific advisors, contractors and other third parties. However, we cannot guarantee that we have entered into such agreements with each party that has or may have had access to our trade secrets or proprietary information or has been involved in the development of intellectual property. Additionally, these agreements may be breached and we may not have adequate remedies for any breach. Furthermore, third parties may independently develop substantially equivalent proprietary information and techniques or otherwise gain access to our trade secrets or disclose our technology. As a result, we may not be able to meaningfully protect our trade secrets. We also seek to preserve the integrity and confidentiality of our data and trade secrets by maintaining physical security of our premises and physical and electronic security of our information technology systems. However, such security measures may be breached and we may not have adequate remedies for such breaches.</w:t>
      </w:r>
    </w:p>
    <w:p>
      <w:pPr>
        <w:spacing w:after="0" w:line="168" w:lineRule="exact"/>
        <w:rPr>
          <w:sz w:val="20"/>
          <w:szCs w:val="20"/>
          <w:color w:val="auto"/>
        </w:rPr>
      </w:pPr>
    </w:p>
    <w:p>
      <w:pPr>
        <w:jc w:val="center"/>
        <w:ind w:left="420" w:right="460"/>
        <w:spacing w:after="0" w:line="449" w:lineRule="auto"/>
        <w:rPr>
          <w:sz w:val="20"/>
          <w:szCs w:val="20"/>
          <w:color w:val="auto"/>
        </w:rPr>
      </w:pPr>
      <w:r>
        <w:rPr>
          <w:rFonts w:ascii="Arial" w:cs="Arial" w:eastAsia="Arial" w:hAnsi="Arial"/>
          <w:sz w:val="18"/>
          <w:szCs w:val="18"/>
          <w:color w:val="auto"/>
        </w:rPr>
        <w:t>For more information regarding the risks related to our intellectual property, see “Risk Factors—Risks Related to Our Intellectual Property.” 188</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We intend to rely on our internal manufacturing capabilities for the production of drug substance for initial clinical studies of our MYBPC3 gene therapy program. Over time we intend to rely on a combination of our internal manufacturing capabilities as well as on external CDMOs for our portfolio programs as they progress through various stages of clinical development and eventually to commercialization, if approved.</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plan to fully integrate and internalize AAV manufacturing capabilities to support our initial product candidates from our Gene Therapy and Cellular Regeneration platforms. We have established an in-house Pilot Plant Operation facility that operates at the 200L scale to support all non-clinical studies including IND-enabling efficacy, pharmacology and toxicology studies. This facility is compliant with Good Laboratory Practice (GLP) regulations and can produce materials sufficient for large animal studies including pigs and NHPs. Our initial production at this scale has been at yields and with full to empty capsid ratios that compare favorably to industry standards.</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have initiated construction of a dedicated cGMP facility for drug product manufacturing in the San Francisco Bay Area that we expect will be operational in the first half of 2022. The facility will initially produce drug product at the 1000L scale to support first-in-human studies for our MYBPC3 program. The facility will use a modular pod design that will support scale-out and scale-up of manufacturing capacity in response to evolving needs.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to our internal cGMP manufacturing capabilities, we have also negotiated and entered into master service agreements with two CDMOs for additional capacity and risk mitigation. Additionally, we will rely on third parties for certain manufacturing related release assays, for which we intend to secure dual-sourced capacity for risk mitigation.</w:t>
      </w:r>
    </w:p>
    <w:p>
      <w:pPr>
        <w:spacing w:after="0" w:line="184"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To optimize our use of resources and utilize extensive experience in small molecule manufacturing, we intend to work with CDMOs for our small molecule programs. We intend to initiate cGMP manufacturing for our HDAC6 inhibitor program, TYA-11631, before the end of 2021.</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biologic and small molecule therapeutic products. Generally, before a new therapeutic product can be marketed, considerable data demonstrating a biologic candidate’s quality, safety, purity and potency, or a small molecule candidate’s quality, safety and efficacy, must be obtained, organized into a format specific for each regulatory authority, submitted for review and approved by the regulatory authority. For biologic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Biologic and Small Molecule Drug Product Development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the United States, the FDA regulates small molecule and biologic therapeutic products under the Food, Drug and Cosmetic Act (FDCA) and the Public Health Service Act (PHSA). Biopharmaceuticals, including both small molecule and biologic products,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8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Biologics must be licensed by the FDA through a biologics license application (BLA), and small molecule products must be approved by the FDA through a new drug application (NDA), before they may be legally marketed in the United States. The process generally involves the following:</w:t>
      </w:r>
    </w:p>
    <w:p>
      <w:pPr>
        <w:spacing w:after="0" w:line="29" w:lineRule="exact"/>
        <w:rPr>
          <w:sz w:val="20"/>
          <w:szCs w:val="20"/>
          <w:color w:val="auto"/>
        </w:rPr>
      </w:pPr>
    </w:p>
    <w:p>
      <w:pPr>
        <w:ind w:left="1080" w:right="2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GLP requirements;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at each clinical trial site before each trial may be initiated;</w:t>
      </w:r>
    </w:p>
    <w:p>
      <w:pPr>
        <w:spacing w:after="0" w:line="75"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GCP requirements and other clinical trial-related regulations to establish the safety and potency or efficacy of the investigational product for each proposed indication;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Submission to the FDA of a BLA or NDA;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or NDA to accept the filing for review;</w:t>
      </w:r>
    </w:p>
    <w:p>
      <w:pPr>
        <w:spacing w:after="0" w:line="130"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Satisfactory completion of a FDA pre-approval inspection of the manufacturing facility or facilities where biologic or small molecule product will be produced to assess compliance with cGMP requirements to assure that the facilities, methods and controls are adequate to preserve the biologic’s identity, strength, purity, potency, and quality controls, or the small molecule product’s identity, chemistry, and quality controls;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Potential FDA audit of the preclinical study and/or clinical trial sites that generated the data in support of the BLA or NDA;</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Satisfactory completion of other studies required by the FDA, including immunogenicity, carcinogenicity, genotoxicity, and stability studies;</w:t>
      </w:r>
    </w:p>
    <w:p>
      <w:pPr>
        <w:spacing w:after="0" w:line="75"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FDA review and approval of the BLA or NDA, including consideration of the views of any FDA advisory committee, prior to any commercial marketing or sale of the biologic or small molecular therapeutic in the United States;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data required to support a BLA or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Studies and IND</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Preclinical studies include laboratory evaluation of product biochemistry, formulation and stability,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the potential for toxicity and to establish a rationale for therapeutic use for supporting subsequent clinical testing. The conduct of preclinical studies is subject to federal regulations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requirements, including GLP regulations for safety/toxicology studies. An IND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8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or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Clinical trials in the United States generally are conducted in three sequential phases, known as Phase 1, Phase 2 and Phase 3, and may overlap.</w:t>
      </w:r>
    </w:p>
    <w:p>
      <w:pPr>
        <w:spacing w:after="0" w:line="154" w:lineRule="exact"/>
        <w:rPr>
          <w:sz w:val="20"/>
          <w:szCs w:val="20"/>
          <w:color w:val="auto"/>
        </w:rPr>
      </w:pPr>
    </w:p>
    <w:p>
      <w:pPr>
        <w:ind w:left="1080" w:right="300" w:hanging="532"/>
        <w:spacing w:after="0" w:line="263"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89"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89" w:lineRule="exact"/>
        <w:rPr>
          <w:rFonts w:ascii="Arial" w:cs="Arial" w:eastAsia="Arial" w:hAnsi="Arial"/>
          <w:sz w:val="18"/>
          <w:szCs w:val="18"/>
          <w:color w:val="auto"/>
        </w:rPr>
      </w:pPr>
    </w:p>
    <w:p>
      <w:pPr>
        <w:ind w:left="1080" w:right="20" w:hanging="532"/>
        <w:spacing w:after="0" w:line="279"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investigational product,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subjects and any clinically important increase in the rate of a serious suspected adverse reaction over that listed in the protocol or investigator brochure.</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or non-compliance with GCP requirements. Similarly, an IRB can suspend or terminate approval of a clinical trial at its institution if the clinical trial is not being conducted in accordance with the IRB’s requirements or if the investigational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 additional animal studies and also must develop additional information about the biochemical and physical characteristics of the investigational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16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Further, as a result of the COVID-19 pandemic, the extent and length of which are uncertain, we will be required to develop and implement additional clinical trial policies and procedures designed to help protect trial participants from the COVID-19 virus, which may include using telemedicine visits and remote monitoring of patients and clinical sites. We will also need to ensure data from our clinical studies that may be disrupted as a result of the pandemic is collected pursuant to the trial protocol and is consistent with GCPs, with any material protocol deviation reviewed and approved by the site IRB. Patients who may miss scheduled appoints, any interruption in trial drug supply, or other consequence that may result in incomplete data being generated during a trial as a result of the pandemic must be adequately documented and justified. For example, on March 18, 2020, the FDA issued a guidance, as updated subsequently by the FDA, on conducting clinical trials during the pandemic. The guidance describes a number of considerations for sponsors of clinical trials impacted by the pandemic, including the requirement to include in the clinical trial report (or as a separate document) contingency measures implemented to manage the trial and any disruption of the trial as a result of COVID-19, among others. Other industry guidance issued by the FDA during the COVID-19 pandemic includes manufacturing, supply chain, and drug and biological product inspections during the COVID-19 public health emergency; GMP considerations for responding to COVID-19 infection in employees in biopharmaceutical manufacturing; and remote interactive evaluations of drug manufacturing and bioresearch monitoring facilities, among others. If new guidance and policies are promulgated by the FDA that require changes in our clinical protocol or clinical development plans, our anticipated timelines and regulatory approval may be delayed or materially impacted.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NDA and BLA Review Process</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 BLA for a biologic product or an NDA for a small molecule drug product,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along with proposed labeling, biochemistry and manufacturing information to ensure product quality, identity, purity and other relevant data. In short, the BLA or NDA is a request for approval to market the biologic or drug product for one or more specified indications and must contain proof of safety, purity and potency for a biologic, or safety and efficacy for a small molecule drug product.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or NDA must be obtained before the product may be marketed in the United States.</w:t>
      </w:r>
    </w:p>
    <w:p>
      <w:pPr>
        <w:spacing w:after="0" w:line="166"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Under the Prescription Drug User Fee Act (PDUFA), as amended, each BLA or NDA must be accompanied by a user fee. FDA adjusts the PDUFA user fees on an annual basis. According to the FDA’s FY 2021 fee schedule, effective through September 30, 2021, the user fee for an application requiring clinical data, such as a BLA or NDA, is approximately $2.9 million. PDUFA also imposes an annual program fee for each marketed human prescription drug product ($336,432 in 2021) and an annual establishment fee on facilities used to manufacture prescription biologics or small molecular drug products. Fee waivers or reductions are available in certain circumstances, including a waiver of the application fee for the first application filed by a small business. Additionally, no user fees are assessed on BLAs or NDA for products designated as orphan drugs, unless the product also includes a non-orphan indication.</w:t>
      </w:r>
    </w:p>
    <w:p>
      <w:pPr>
        <w:spacing w:after="0" w:line="19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FDA reviews all submitted BLAs and NDAs before it accepts them for filing and may request additional information rather than accepting the BLA or NDA for filing. The FDA must make a decision on accepting a BLA or NDA for filing within 60 days of receipt. Once the submission is accepted for filing, the FDA begins an in-depth review of the BLA or NDA. Under the goals and policies agreed to by the FDA under PDUFA, the FDA has ten months, from the filing date, in which to complete its initial review of an original BLA or NDA and respond to the applicant, and six months from the filing date of an original BLA or NDA designated for priority review. The FDA does not always meet its PDUFA goal dates for standard and priority BLAs or NDAs, and the review process is often extended by FDA requests for additional information or clarification.</w:t>
      </w:r>
    </w:p>
    <w:p>
      <w:pPr>
        <w:spacing w:after="0" w:line="16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Before approving a BLA or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physicians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 BLA or NDA, it will issue an approval letter or a Complete Response Letter. An approval letter authorizes commercial marketing of the drug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or NDA identified by the FDA. The Complete Response Letter may require additional clinical data, additional pivotal Phase 3 clinical trial(s) and/ or other significant and time-consuming requirements related to clinical trials, preclinical studies or manufacturing. If a Complete Response Letter is issued, the applicant may either resubmit the BLA or NDA, addressing all of the deficiencies identified in the letter, or withdraw the application. Even if such data and information are submitted, the FDA may decide that the BLA or NDA does not satisfy the criteria for approval. Data obtained from clinical trials are not always conclusive and the FDA may interpret data differently than we interpret the same data.</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For biologic or small molecule drug products, an orphan drug designation must be requested before submitting a BLA or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6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the indication for which it is designated, it may not be entitled to orphan drug exclusivity. Orphan drug status in the European Union has similar, but not identical, requirements and benefits.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FDA has a fast-track program that is intended to expedite or facilitate the process for reviewing new drug products that meet certain criteria. Specifically, new drug products are eligible for fast-track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fast-track status any time before receiving a BLA or NDA approval, but ideally no later than the pre-BLA or pre-NDA meeting.</w:t>
      </w:r>
    </w:p>
    <w:p>
      <w:pPr>
        <w:spacing w:after="0" w:line="17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Any product submitted to the FDA for marketing, including under a fast-track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149"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product receiving accelerated approval to perform adequate and well-controlled post-marketing clinical trials. If the FDA concludes that a biologic or small molecule drug product shown to be potent or effective for the proposed indication can be safely used only if distribution or use is restricted, it may require such post-marketing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restrictions as it deems necessary to assure safe use of the product. In some cases, FDA may limit the scope of the indication. Such restrictions could have a materially adverse effect on our business and our ability to obtain profitability.</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Additionally, a drug product may be eligible for designation as a breakthrough therapy if the product is intended, alone or in combination with one or more other drug products,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Depending on other factors that impact clinical trial timelines and development, such as our ability to identify and onboard clinical sites and rates of study participant enrollment and drop-out, we may not realize all the benefits of these expedited or accelerated review programs.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Abbreviated Licensure Pathway of Biological Products as Biosimilars or Interchangeable Biosimilars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Patient Protection and Affordable Care Act (Affordable Care Act or ACA), signed into law in 2010, includes the Biologics Price Competition and Innovation Act of 2009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93" w:lineRule="exact"/>
        <w:rPr>
          <w:sz w:val="20"/>
          <w:szCs w:val="20"/>
          <w:color w:val="auto"/>
        </w:rPr>
      </w:pPr>
    </w:p>
    <w:p>
      <w:pPr>
        <w:ind w:left="1080" w:right="38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Analytical studies demonstrating that the proposed biosimilar product is highly similar to the approved product notwithstanding minor differences in clinically inactive components;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Animal studies (including the assessment of toxicity); and</w:t>
      </w:r>
    </w:p>
    <w:p>
      <w:pPr>
        <w:spacing w:after="0" w:line="130" w:lineRule="exact"/>
        <w:rPr>
          <w:rFonts w:ascii="Arial" w:cs="Arial" w:eastAsia="Arial" w:hAnsi="Arial"/>
          <w:sz w:val="18"/>
          <w:szCs w:val="18"/>
          <w:color w:val="auto"/>
        </w:rPr>
      </w:pPr>
    </w:p>
    <w:p>
      <w:pPr>
        <w:ind w:left="1080" w:right="100" w:hanging="532"/>
        <w:spacing w:after="0" w:line="342"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an application must include information demonstrating that:</w:t>
      </w:r>
    </w:p>
    <w:p>
      <w:pPr>
        <w:spacing w:after="0" w:line="131" w:lineRule="exact"/>
        <w:rPr>
          <w:sz w:val="20"/>
          <w:szCs w:val="20"/>
          <w:color w:val="auto"/>
        </w:rPr>
      </w:pPr>
    </w:p>
    <w:p>
      <w:pPr>
        <w:ind w:left="1080" w:hanging="532"/>
        <w:spacing w:after="0" w:line="342"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29" w:lineRule="exact"/>
        <w:rPr>
          <w:rFonts w:ascii="Arial" w:cs="Arial" w:eastAsia="Arial" w:hAnsi="Arial"/>
          <w:sz w:val="16"/>
          <w:szCs w:val="16"/>
          <w:color w:val="auto"/>
        </w:rPr>
      </w:pPr>
    </w:p>
    <w:p>
      <w:pPr>
        <w:ind w:left="1080" w:right="280" w:hanging="532"/>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condition or conditions of use prescribed, recommended or suggested in the labeling for the proposed biosimilar product have been previously approved for the reference product;</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route of administration, the dosage form and the strength of the proposed biosimilar product are the same as those for the reference product; and</w:t>
      </w:r>
    </w:p>
    <w:p>
      <w:pPr>
        <w:spacing w:after="0" w:line="75"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facility in which the biological product is manufactured, processed, packed or held meets standards designed to assure that the biological product continues to be safe, pure and potent.</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82"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proposed product is biosimilar to the reference product;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proposed product is expected to produce the same clinical result as the reference product in any given patient; and</w:t>
      </w:r>
    </w:p>
    <w:p>
      <w:pPr>
        <w:spacing w:after="0" w:line="130"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171" w:lineRule="exact"/>
        <w:rPr>
          <w:sz w:val="20"/>
          <w:szCs w:val="20"/>
          <w:color w:val="auto"/>
        </w:rPr>
      </w:pPr>
    </w:p>
    <w:p>
      <w:pPr>
        <w:jc w:val="both"/>
        <w:ind w:left="120" w:right="40" w:firstLine="440"/>
        <w:spacing w:after="0" w:line="254" w:lineRule="auto"/>
        <w:rPr>
          <w:sz w:val="20"/>
          <w:szCs w:val="20"/>
          <w:color w:val="auto"/>
        </w:rPr>
      </w:pPr>
      <w:r>
        <w:rPr>
          <w:rFonts w:ascii="Arial" w:cs="Arial" w:eastAsia="Arial" w:hAnsi="Arial"/>
          <w:sz w:val="18"/>
          <w:szCs w:val="18"/>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19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17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7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one year after the first commercial marketing of the first interchangeable product; 18 months after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resolution of a patent infringement suit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Abbreviated NDA Pathway for Generic Drug Products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Drug Price Competition and Patent Term Restoration Act of 1984, commonly known as “the Hatch-Waxman Act,” established abbreviated FDA approval procedures for drugs that are shown to be bioequivalent to drugs previously approved by the FDA through its NDA process, which are commonly referred to as the “innovator” or “reference” drugs. Approval to market and to distribute these bioequivalent drugs is obtained by filing an abbreviated NDA (ANDA) with the FDA. An ANDA is a comprehensive submission that contains, among other things, data and information pertaining to the API, drug product formulation, specifications, stability, analytical methods, manufacturing process validation data, quality control procedures and bioequivalence. Rather than demonstrating safety and effectiveness, an ANDA applicant must demonstrate that its product is bioequivalent to an approved reference drug. In certain situations, an applicant may submit an ANDA for a product with a strength or dosage form that differs from a reference drug based upon FDA approval of an ANDA Suitability Petition. The FDA will approve an ANDA Suitability Petition if it finds that the product does not raise questions of safety and efficacy requiring new clinical data. ANDAs generally cannot be submitted for products that are not bioequivalent to the referenced drug or that are labeled for a use that is not approved for the reference drug. Applicants seeking to market such products can submit an NDA under Section 505(b)(2) of the FDCA with supportive data from clinical trials.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product, including changes in indications, labeling or manufacturing processes or facilities, the applicant may be required to submit and obtain FDA approval of a new application or supplement, which may require the development of additional data or preclinical studies and clinical trials.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2" w:lineRule="exact"/>
        <w:rPr>
          <w:sz w:val="20"/>
          <w:szCs w:val="20"/>
          <w:color w:val="auto"/>
        </w:rPr>
      </w:pPr>
    </w:p>
    <w:p>
      <w:pPr>
        <w:ind w:left="5480" w:right="280" w:hanging="4932"/>
        <w:spacing w:after="0" w:line="449" w:lineRule="auto"/>
        <w:tabs>
          <w:tab w:leader="none" w:pos="107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 197</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Warning letters, or holds on post-approval 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Applications, or suspension or revocation of product license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FDA Regulation of Combination Biologic-Medical Device Products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biologic-device combination product candidate is attributable to the biologic product candidate,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79"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 combination product with a biologic product candidate as the primary mode of action generally would be reviewed and approved pursuant to the biologic approval processes under the FDCA. In reviewing the BLA application for such a product, however, FDA reviewers in the Center for Biologics Evaluation and Research could consult with their counterparts in the device center to ensure that the device component of the combination product meet applicable requirements regarding safety, effectiveness, durability and performance. In addition, under FDA regulations, combination products are subject to cGMP requirements applicable to both biologics and devices, including the Quality System (QS), regulations applicable to medical devices.</w:t>
      </w:r>
    </w:p>
    <w:p>
      <w:pPr>
        <w:spacing w:after="0" w:line="192"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may develop one or more of our biologic product candidates in combination with a novel delivery medical device, such as an injection catheter device for more precise delivery of a biologic product candidate. Regulatory review of such combination product candidate will increase the timing, cost, and the complexity of the FDA review and approval process, and subject us to additional regulations and exposure to liability. Pending discussion with the FDA, if the medical device is considered a significant risk device under the FDA’s Investigational Device Exemption (IDE) regulations, then we may be required to comply with the IDE regulations for clinical studies in addition to the IND regulations and may be required to submit both an IDE and an IND before commencing clinical testing of the combination product. We cannot provide any assurance regarding how FDA will regulate our combination product, or if we will be successful in obtaining approval for any combination product.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60"/>
          </w:cols>
          <w:pgMar w:left="320" w:top="459" w:right="5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510(k) clearance process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twelve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164"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 novo classification process</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Obtaining FDA marketing authorization, de novo down-classification, or approval for medical devices is expensive and uncertain, and may take several years, and generally requires significant scientific and clinical data.</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PMA approval process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System Regulation (QSR), which imposes extensive testing, control, documentation, and other QA and GMP requirements.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the United States in addition to the FDA, including the Centers for Medicare &amp; Medicaid Services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For example, in the United States, sales, marketing and scientific and 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left="120" w:right="280" w:firstLine="440"/>
        <w:spacing w:after="0" w:line="273" w:lineRule="auto"/>
        <w:rPr>
          <w:sz w:val="20"/>
          <w:szCs w:val="20"/>
          <w:color w:val="auto"/>
        </w:rPr>
      </w:pPr>
      <w:r>
        <w:rPr>
          <w:rFonts w:ascii="Arial" w:cs="Arial" w:eastAsia="Arial" w:hAnsi="Arial"/>
          <w:sz w:val="17"/>
          <w:szCs w:val="17"/>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78"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changes to our manufacturing arrangements; additions or modifications to product labeling; the recall or discontinuation of our products; or additional record-keeping requirements. If any such changes were to be imposed, they could adversely affect the operation of our business.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Data Privacy and Security Laws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the United States, there are a broad variety of laws, rules, regulations and standards relating to privacy, data protection and information security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 We will continue to monitor and assess the impact of these state laws, which may impose substantial penalties for violations, impose significant costs for investigation and compliance, allow private class-action litigation and carry significant potential liability for our business. For more information, see “Risk Factors— Risks Related to Regulatory Approval and Other Legal Compliance Matters—We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 BLA or NDA plus the time between the submission date of a BLA or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 or NDA. However, there can be no assurance that our pending patent applications will issue or that we will benefit from any patent term extension or favorable adjustments to the terms of any patents we may own or in-license in the future.</w:t>
      </w:r>
    </w:p>
    <w:p>
      <w:pPr>
        <w:spacing w:after="0" w:line="17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FDCA provides a five-year period of non-patent marketing exclusivity 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w:t>
      </w:r>
    </w:p>
    <w:p>
      <w:pPr>
        <w:spacing w:after="0" w:line="166"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European Union will be identical. In the meantime, Clinical Trials Directive 2001/20/EC continues to govern all clinical trials performed in the European Union.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 Drug Review and Approval</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pacing w:after="0" w:line="89" w:lineRule="exact"/>
        <w:rPr>
          <w:sz w:val="20"/>
          <w:szCs w:val="20"/>
          <w:color w:val="auto"/>
        </w:rPr>
      </w:pPr>
    </w:p>
    <w:p>
      <w:pPr>
        <w:ind w:left="1080" w:right="20" w:hanging="532"/>
        <w:spacing w:after="0" w:line="255"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Community MA is issued by the European Commission through the Centralized Procedure, based on the opinion of the Committee for Medicinal Products for Human Use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63" w:lineRule="auto"/>
        <w:rPr>
          <w:sz w:val="20"/>
          <w:szCs w:val="20"/>
          <w:color w:val="auto"/>
        </w:rPr>
      </w:pPr>
      <w:r>
        <w:rPr>
          <w:rFonts w:ascii="Arial" w:cs="Arial" w:eastAsia="Arial" w:hAnsi="Arial"/>
          <w:sz w:val="18"/>
          <w:szCs w:val="18"/>
          <w:color w:val="auto"/>
        </w:rPr>
        <w:t>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89" w:lineRule="exact"/>
        <w:rPr>
          <w:sz w:val="20"/>
          <w:szCs w:val="20"/>
          <w:color w:val="auto"/>
        </w:rPr>
      </w:pPr>
    </w:p>
    <w:p>
      <w:pPr>
        <w:ind w:left="1080" w:hanging="532"/>
        <w:spacing w:after="0" w:line="269" w:lineRule="auto"/>
        <w:tabs>
          <w:tab w:leader="none" w:pos="10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82"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Data Privacy and Security Laws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Outside of the United States, legal requirements relating to the collection, storage, processing, and transfer of personal data continue to evolve. For example, in the EU, the GDPR requires data controllers to implement more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and regulations in the EU, including those of EU member states, relating to privacy and data protection. We are also subject to the UK GDPR, a version of the GDPR as implemented into UK law. If our efforts to comply with GDPR or other applicable foreign laws, rules and regulations are not successful, or are perceived to be unsuccessful, it could adversely affect our business. For more information, see “Risk Factors—Risks Related to Regulatory Approval and Other Legal Compliance Matters—We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8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19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CMS has proposed to expand Medicaid rebate liability to the territories of the United States as well.</w:t>
      </w:r>
    </w:p>
    <w:p>
      <w:pPr>
        <w:spacing w:after="0" w:line="181"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9"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it will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4"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in order to control the prices of medicinal products for human use. A member state may approve a specific price for the medicinal product or it may instead adopt a system of direct or indirect controls on the profitability of the company placing the medicinal product in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unable to predict the future course of federal or state healthcare legislation in U.S. or foreign legislation directed at containing or lowering the cost of healthcare and prescription drug prices. These and any further changes in the law or regulatory framework that reduce our revenue or increase our costs could have a material and adverse effect on our business, financial condition and results of operations. It is also possible that additional governmental action will be taken to address the COVID-19 pandemic. The continuing efforts of the government, insurance companies, managed care organizations, and other payors of healthcare services and medical products to contain or reduce costs of healthcare and/or impose price controls may adversely affect the demand for our product candidates, if approved, and our ability to achieve or maintain profitability.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of June 30, 2021, we had more than 85 full-time employees, with approximately 47 engaged in research and development activities and approximately 25 engaged in manufacturing activities. None of our employees are represented by a labor union or covered under a collective bargaining agreement. We consider our relationship with our employees to be good, in part as measured by relatively high scores from employees surveys and our relatively low turnover.</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120" w:right="560" w:firstLine="440"/>
        <w:spacing w:after="0" w:line="286" w:lineRule="auto"/>
        <w:rPr>
          <w:sz w:val="20"/>
          <w:szCs w:val="20"/>
          <w:color w:val="auto"/>
        </w:rPr>
      </w:pPr>
      <w:r>
        <w:rPr>
          <w:rFonts w:ascii="Arial" w:cs="Arial" w:eastAsia="Arial" w:hAnsi="Arial"/>
          <w:sz w:val="17"/>
          <w:szCs w:val="17"/>
          <w:color w:val="auto"/>
        </w:rPr>
        <w:t>Our corporate headquarters are in South San Francisco, where we lease a facility containing approximately 32,370 square feet of office and laboratory space located at 171 Oyster Point Blvd., 5</w:t>
      </w:r>
      <w:r>
        <w:rPr>
          <w:rFonts w:ascii="Arial" w:cs="Arial" w:eastAsia="Arial" w:hAnsi="Arial"/>
          <w:sz w:val="14"/>
          <w:szCs w:val="14"/>
          <w:color w:val="auto"/>
        </w:rPr>
        <w:t>th</w:t>
      </w:r>
      <w:r>
        <w:rPr>
          <w:rFonts w:ascii="Arial" w:cs="Arial" w:eastAsia="Arial" w:hAnsi="Arial"/>
          <w:sz w:val="17"/>
          <w:szCs w:val="17"/>
          <w:color w:val="auto"/>
        </w:rPr>
        <w:t xml:space="preserve"> Floor, South San Francisco, CA 94080. The lease expires on May 31, 2025, unless earlier terminated in accordance with the lease, and we may renew the lease term for two additional five-year periods.</w:t>
      </w:r>
    </w:p>
    <w:p>
      <w:pPr>
        <w:spacing w:after="0" w:line="165"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We also have subleased space at another facility in South San Francisco containing approximately 24,000 square feet of additional office and laboratory space located at 131 Oyster Point Blvd, 4</w:t>
      </w:r>
      <w:r>
        <w:rPr>
          <w:rFonts w:ascii="Arial" w:cs="Arial" w:eastAsia="Arial" w:hAnsi="Arial"/>
          <w:sz w:val="15"/>
          <w:szCs w:val="15"/>
          <w:color w:val="auto"/>
        </w:rPr>
        <w:t>th</w:t>
      </w:r>
      <w:r>
        <w:rPr>
          <w:rFonts w:ascii="Arial" w:cs="Arial" w:eastAsia="Arial" w:hAnsi="Arial"/>
          <w:sz w:val="18"/>
          <w:szCs w:val="18"/>
          <w:color w:val="auto"/>
        </w:rPr>
        <w:t xml:space="preserve"> Floor, South San Francisco, CA 94080. The sublease expires on November 30, 2021, unless earlier terminated in accordance with the sublease.</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also have a leased space at a facility in Union City containing additional manufacturing and office space located at 33498 Central Avenue, Union City, CA 94587. The lease expires ten years and three months following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date the premises is delivered by the landlord in the required condition, unless earlier terminated in accordance with the lease. We may renew the lease term for one additional five-year period.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believe that these existing facilities are adequate for our current needs and that suitable additional or alternative space will be available in the future on commercially reasonable terms, if required.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0980"/>
          </w:cols>
          <w:pgMar w:left="320" w:top="459" w:right="5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names and positions of our executive officers, key employees, and directors and their ages as of June 30, 2021:</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12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520" w:type="dxa"/>
            <w:vAlign w:val="bottom"/>
          </w:tcPr>
          <w:p>
            <w:pPr>
              <w:spacing w:after="0"/>
              <w:rPr>
                <w:sz w:val="14"/>
                <w:szCs w:val="14"/>
                <w:color w:val="auto"/>
              </w:rPr>
            </w:pP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color w:val="auto"/>
              </w:rPr>
              <w:t>Faraz Ali, M.B.A.</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Chief Executive Officer, Secretary and Director</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Hoey, Ph.D.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Scientific Officer</w:t>
            </w:r>
          </w:p>
        </w:tc>
      </w:tr>
      <w:tr>
        <w:trPr>
          <w:trHeight w:val="284"/>
        </w:trPr>
        <w:tc>
          <w:tcPr>
            <w:tcW w:w="4480" w:type="dxa"/>
            <w:vAlign w:val="bottom"/>
            <w:gridSpan w:val="2"/>
          </w:tcPr>
          <w:p>
            <w:pPr>
              <w:spacing w:after="0"/>
              <w:rPr>
                <w:sz w:val="20"/>
                <w:szCs w:val="20"/>
                <w:color w:val="auto"/>
              </w:rPr>
            </w:pPr>
            <w:r>
              <w:rPr>
                <w:rFonts w:ascii="Arial" w:cs="Arial" w:eastAsia="Arial" w:hAnsi="Arial"/>
                <w:sz w:val="18"/>
                <w:szCs w:val="18"/>
                <w:color w:val="auto"/>
              </w:rPr>
              <w:t>Leone D. Patterson, M.B.A.</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Chief Financial and Business Officer</w:t>
            </w:r>
          </w:p>
        </w:tc>
      </w:tr>
      <w:tr>
        <w:trPr>
          <w:trHeight w:val="67"/>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Whittemore (Whit) Tingley, M.D., Ph.D.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Kee-Hong Kim, Ph.D.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Manufacturing/Technical Operations</w:t>
            </w: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color w:val="auto"/>
              </w:rPr>
              <w:t>Matthew Pollman, M.D.</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Vice President of Clinical Development</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Vora, Ph.D., M.B.A.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Portfolio and Program Management</w:t>
            </w:r>
          </w:p>
        </w:tc>
      </w:tr>
      <w:tr>
        <w:trPr>
          <w:trHeight w:val="284"/>
        </w:trPr>
        <w:tc>
          <w:tcPr>
            <w:tcW w:w="4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67"/>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Casdin, M.B.A.(1)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color w:val="auto"/>
              </w:rPr>
              <w:t>Jin-Long Chen, Ph.D.(3)</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V. Goeddel, Ph.D.(3)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color w:val="auto"/>
              </w:rPr>
              <w:t>JeenJoo (JJ) Kang, Ph.D.(1)</w:t>
            </w:r>
          </w:p>
        </w:tc>
        <w:tc>
          <w:tcPr>
            <w:tcW w:w="2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Deepak Srivastava, M.D.(3)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4"/>
        </w:trPr>
        <w:tc>
          <w:tcPr>
            <w:tcW w:w="4480" w:type="dxa"/>
            <w:vAlign w:val="bottom"/>
            <w:gridSpan w:val="2"/>
          </w:tcPr>
          <w:p>
            <w:pPr>
              <w:spacing w:after="0"/>
              <w:rPr>
                <w:sz w:val="20"/>
                <w:szCs w:val="20"/>
                <w:color w:val="auto"/>
              </w:rPr>
            </w:pPr>
            <w:r>
              <w:rPr>
                <w:rFonts w:ascii="Arial" w:cs="Arial" w:eastAsia="Arial" w:hAnsi="Arial"/>
                <w:sz w:val="18"/>
                <w:szCs w:val="18"/>
                <w:color w:val="auto"/>
              </w:rPr>
              <w:t>Catherine Stehman-Breen, M.D.(2)</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T. Walsh, M.B.A.(1)(2)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4"/>
        </w:trPr>
        <w:tc>
          <w:tcPr>
            <w:tcW w:w="4480" w:type="dxa"/>
            <w:vAlign w:val="bottom"/>
            <w:gridSpan w:val="2"/>
          </w:tcPr>
          <w:p>
            <w:pPr>
              <w:spacing w:after="0"/>
              <w:rPr>
                <w:sz w:val="20"/>
                <w:szCs w:val="20"/>
                <w:color w:val="auto"/>
              </w:rPr>
            </w:pPr>
            <w:r>
              <w:rPr>
                <w:rFonts w:ascii="Arial" w:cs="Arial" w:eastAsia="Arial" w:hAnsi="Arial"/>
                <w:sz w:val="18"/>
                <w:szCs w:val="18"/>
                <w:color w:val="auto"/>
              </w:rPr>
              <w:t>R. Sanders (Sandy) Williams, M.D.(2)</w:t>
            </w:r>
          </w:p>
        </w:tc>
        <w:tc>
          <w:tcPr>
            <w:tcW w:w="24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Member of the corporate governance and nominating committee.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b w:val="1"/>
          <w:bCs w:val="1"/>
          <w:i w:val="1"/>
          <w:iCs w:val="1"/>
          <w:color w:val="auto"/>
        </w:rPr>
        <w:t xml:space="preserve">Faraz Ali, M.B.A. </w:t>
      </w:r>
      <w:r>
        <w:rPr>
          <w:rFonts w:ascii="Arial" w:cs="Arial" w:eastAsia="Arial" w:hAnsi="Arial"/>
          <w:sz w:val="16"/>
          <w:szCs w:val="16"/>
          <w:color w:val="auto"/>
        </w:rPr>
        <w:t>has served as our Chief Executive Officer and Secretary since June 2018 and as a member of our board of directors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2018. Prior to joining us, Mr. Ali was Chief Business Officer at REGENXBIO, a public biotechnology company, from February 2016 to January 2018. From May 2011 to February 2016, Mr. Ali was Vice President, Global Commercial Development and External Affairs at bluebird bio, a public biotechnology company. From August 2001 to November 2010, Mr. Ali held various roles at Genzyme, including Head of U.S. Marketing and Strategic Planning for the rare disease business unit. Prior to Genzyme, Mr. Ali served in leadership roles at GE Corporate and GE Healthcare. Mr. Ali holds a B.S. in Electrical Engineering from Stanford University and an M.B.A. with distinction from Harvard Business School.</w:t>
      </w:r>
    </w:p>
    <w:p>
      <w:pPr>
        <w:spacing w:after="0" w:line="16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believe Mr. Ali is qualified to serve on our board of directors because of the perspective and experience he brings as our Chief Executive Officer, his experience in leadership and corporate development positions in the biotechnology industry and with companies focused on gene therapies and therapies for rare and orphan diseases, and his educational background.</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Timothy Hoey, Ph.D. </w:t>
      </w:r>
      <w:r>
        <w:rPr>
          <w:rFonts w:ascii="Arial" w:cs="Arial" w:eastAsia="Arial" w:hAnsi="Arial"/>
          <w:sz w:val="18"/>
          <w:szCs w:val="18"/>
          <w:color w:val="auto"/>
        </w:rPr>
        <w:t>has served as our Chief Scientific Officer since August 2017. From 2005 to June 2017, he held various roles at OncoMed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Pharmaceuticals, a public biotechnology company, including as the Senior Vice-President, Cancer Biology and co-Chief Scientific Officer from January 2016 to June 2017. From 1993 to 2005, Dr. Hoey served in various roles at Tularik, a public biopharmaceutical company acquired by Amgen in 2004, including as Director, Biology Department at both Tularik and Amgen. Dr. Hoey received a B.S. in Biology from the University of Michigan and a Ph.D. in Biological Sciences from Columbia University.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b w:val="1"/>
          <w:bCs w:val="1"/>
          <w:i w:val="1"/>
          <w:iCs w:val="1"/>
          <w:color w:val="auto"/>
        </w:rPr>
        <w:t xml:space="preserve">Leone D. Patterson, M.B.A. </w:t>
      </w:r>
      <w:r>
        <w:rPr>
          <w:rFonts w:ascii="Arial" w:cs="Arial" w:eastAsia="Arial" w:hAnsi="Arial"/>
          <w:sz w:val="17"/>
          <w:szCs w:val="17"/>
          <w:color w:val="auto"/>
        </w:rPr>
        <w:t>began serving as our Chief Financial and Business Officer in June 2021. Prior to joining us, Ms. Patterson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President and Chief Financial Officer of Adverum Biotechnologies, a public biotechnology company, from February 2021 to June 2021, and as its President from December 2019 to June 2021. She also served as Adverum’s Chief Financial Officer from June 2016 to April 2019, as its Chief Executive Officer from May 2018 to June 2020, and as a member of its board of directors from October 2018 to June 2020. From March 2015 to June 2016, Ms. Patterson served as the Chief Financial Officer of Diadexus, a public diagnostics company. Diadexus voluntarily filed for Chapter 7 bankruptcy in June 2016 while Ms. Patterson was its Chief Financial Officer. Before that, she was Vice President and Chief Financial Officer of Transcept Pharmaceuticals, a private biopharmaceutical company, from June 2012 until it was acquired by Paratek Pharmaceuticals in October 2014. From November 2010 to June 2012, Ms. Patterson served as Vice President and Global Corporate Controller of NetApp. From July 2007 to November 2010, Ms. Patterson was Vice President of Finance at Exelixis. Before Exelixis, Ms. Patterson served as Vice President of Global Business Planning and Analysis of the Vaccines and Diagnostics Division of Novartis AG, from April 2006 to July 2007. From 1999 to 2006, she held various positions, including Vice President, Corporate Controller, at Chiron (now part of Novartis). From 1989 to 1999, Ms. Patterson worked in the audit practice of accounting firm KPMG, where she held various positions including Senior Manager. Ms. Patterson currently serves on the board of directors and as the Chair of the audit committee of Nkarta, a public biotechnology company, and Eliem Therapeutics, a private biotechnology company. Ms. Patterson holds a B.S. in Business Administration and Accounting from Chapman University and an Executive M.B.A. from St. Mary’s College. Ms. Patterson is also a Certified Public Accountant (inactive status).</w:t>
      </w:r>
    </w:p>
    <w:p>
      <w:pPr>
        <w:spacing w:after="0" w:line="18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 xml:space="preserve">Whittemore (Whit) Tingley, M.D., Ph.D. </w:t>
      </w:r>
      <w:r>
        <w:rPr>
          <w:rFonts w:ascii="Arial" w:cs="Arial" w:eastAsia="Arial" w:hAnsi="Arial"/>
          <w:sz w:val="17"/>
          <w:szCs w:val="17"/>
          <w:color w:val="auto"/>
        </w:rPr>
        <w:t>has served as our Chief Medical Officer since December 2018. Before joining us, he served as the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Clinical Research, Cardiology, at Cytokinetics, a public biotechnology company, from September 2017 to December 2018. From 2009 to September 2017, Dr. Tingley held various medical director and group medical director roles at Genentech. Before that, Dr. Tingley was adjunct assistant professor of medicine in the cardiology division at the University of California, San Francisco, and was an attending cardiologist in the UCSF Cardiology Faculty Practice. Dr. Tingley earned a B.A. degree from Brown University and an M.D. and a Ph.D. from the Johns Hopkins University School of Medicine. He completed internship and residency programs at the Johns Hopkins Hospital, a cardiology fellowship at University of California, San Francisco and post-doctoral research at Gladstone Institutes.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Employees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Kee-Hong Kim, Ph.D. </w:t>
      </w:r>
      <w:r>
        <w:rPr>
          <w:rFonts w:ascii="Arial" w:cs="Arial" w:eastAsia="Arial" w:hAnsi="Arial"/>
          <w:sz w:val="17"/>
          <w:szCs w:val="17"/>
          <w:color w:val="auto"/>
        </w:rPr>
        <w:t>has served as our Senior Vice President, Manufacturing/Technical Operations since October 2018. Before joining us,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the Senior Vice President, Technical Operations of Agilis Biotherapeutics, a private biotechnology company, from September 2017 to August 2018. From February 2016 to August 2017, Dr. Kim was a Director at Shire, a public biopharmaceutical company, first as the head of gene therapy process development then as the global CMC lead of gene therapy. From April 2015 to January 2016, Dr. Kim ran his own biopharmaceutical consulting firm. Before that, he served as the Director of Process Development at Avalanche Biotechnologies from March 2013 to April 2015. Earlier in his career, Dr. Kim also served as a Senior Process Development Engineer at Dendreon Corp and held various leadership roles at several technical organizations including Aeras TB Foundation and Walter Reed Army Medical Center. He received a Ph.D. in biochemical engineering from Colorado State University and completed his post-doctoral training at Cornell University.</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Matthew Pollman, M.D. </w:t>
      </w:r>
      <w:r>
        <w:rPr>
          <w:rFonts w:ascii="Arial" w:cs="Arial" w:eastAsia="Arial" w:hAnsi="Arial"/>
          <w:sz w:val="18"/>
          <w:szCs w:val="18"/>
          <w:color w:val="auto"/>
        </w:rPr>
        <w:t>has served as our Senior Vice President, Clinical Development since June 2021, and previously he was as a consultant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company from October 2018 to June 2021. Dr. Pollman currently serves as a member of the board of directors of NaviGate Cardiac Structures, a private medical device company, and Perfusion Solutions, a private medical supply company. He has also served on the External Selection Committee of NIH Center for Accelerated Innovations at Cleveland Clinic since September 2013. Prior to joining us, he served as the Executive Vice President of NaviGate Cardiac Structures, a private medical device company, from June 2016 to June 2021. In addition, he served as the Chief Medical Officer of Juventas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Therapeutics, a private biotechnology company, from June 2016 to January 2019, and as a member of the board of directors of Juventas Therapeutics from June 2008 to January 2019. Prior to that, Dr. Pollman was the Chairman of Guided Interventions, a private medical device company from August 2013 to May 2017. From July 2008 to July 2013, he served as a Founder, President, and Chief Scientific Officer of CV Ingenuity, a private medical device company. Earlier in his career, he served on the faculty at Harvard Medical School and Morehouse School of Medicine, as the Medical Director, Research and Development at Abbott, a public medical device company, and as Director of the New Ventures Group at Guidant Corporation, a public medical device company, until its acquisition by Abbott. Dr. Pollman earned a B.S from Southwestern Adventist University, and an M.S. and M.D. from Loma Linda University, and completed his medical training at University of California San Francisco, Stanford University, and Brigham and Women’s Hospital.</w:t>
      </w:r>
    </w:p>
    <w:p>
      <w:pPr>
        <w:spacing w:after="0" w:line="1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 xml:space="preserve">Jay Vora, Ph.D., M.B.A. </w:t>
      </w:r>
      <w:r>
        <w:rPr>
          <w:rFonts w:ascii="Arial" w:cs="Arial" w:eastAsia="Arial" w:hAnsi="Arial"/>
          <w:sz w:val="17"/>
          <w:szCs w:val="17"/>
          <w:color w:val="auto"/>
        </w:rPr>
        <w:t>has served as our Senior Vice President, Portfolio and Program Management since November 2020. From November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to October 2020, Dr. Vora served as Head of Alliance Management at Sangamo Therapeutics, a public biotechnology company, and program leader on one of Sangamo’s gene therapy programs. Before then, he was the Vice President of Program and Alliance Management at REGENXBIO from November 2015 to May 2017, where he supported multiple AAV-based gene therapy programs. Prior to that, Dr. Vora held roles in product development and program management at BioMarin and Chiron Corporation and worked in management consulting at PRTM. Dr. Vora earned a B.S. in pharmacy from University of Mumbai, an M.S. in medicinal chemistry from the University of Cincinnati, an M.B.A. from the Haas School of Business at the University of California, Berkeley, and a Ph.D. in Pharmaceutical Sciences from Northeastern University.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Eli Casdin, M.B.A. </w:t>
      </w:r>
      <w:r>
        <w:rPr>
          <w:rFonts w:ascii="Arial" w:cs="Arial" w:eastAsia="Arial" w:hAnsi="Arial"/>
          <w:sz w:val="16"/>
          <w:szCs w:val="16"/>
          <w:color w:val="auto"/>
        </w:rPr>
        <w:t>has served as a member of our board of directors since August 2019 and as a member of our audit committee since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Since founding Casdin Capital LLC in 2011, Mr. Casdin has served as its Chief Investment Officer. Mr. Casdin has served as Chief Executive Officer and a director of CM Life Sciences, Inc., CM Life Sciences II Inc., and CM Life Sciences III Inc., respectively, since July 2020, December 2020, and January 2021, all blank check companies. Mr. Casdin also served as a director of Exact Science, a public biotechnology company, from October 2017 to September 2020. From 2007 to July 2011, Mr. Casdin served as a Vice President and Analyst at Alliance Bernstein, with a focus on the life science and healthcare industries. Mr. Casdin was an Associate at Bear Stearns in 2007, and an Analyst at Cooper Hill Partners, one of the earliest biotechnology-focused investment firms, from 2003 to 2006. Mr. Casdin earned a B.S. from Columbia University and an M.B.A. from Columbia Business School and he currently serves on the Columbia University School of General Studies Board of Directors.</w:t>
      </w:r>
    </w:p>
    <w:p>
      <w:pPr>
        <w:spacing w:after="0" w:line="16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We believe Mr. Casdin is qualified to serve on our board because his extensive expertise and experience analyzing and investing in the life sciences industry.</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Jin-Long Chen, Ph.D. </w:t>
      </w:r>
      <w:r>
        <w:rPr>
          <w:rFonts w:ascii="Arial" w:cs="Arial" w:eastAsia="Arial" w:hAnsi="Arial"/>
          <w:sz w:val="16"/>
          <w:szCs w:val="16"/>
          <w:color w:val="auto"/>
        </w:rPr>
        <w:t>has served as member of our board of directors since October 2016. Dr. Chen is the founder of NGM Biopharmaceuticals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has served as a member of the NGM board of directors and as Chief Scientific Officer since January 2008. He was also NGM’s President until November 2014. Previously, Dr. Chen held various positions at Amgen, most recently as Vice President, Metabolic Disorders. Prior to joining Amgen when Amgen acquired Tularik in 2004, Dr. Chen served as Vice President of Biology at Tularik. Dr. Chen received a B.S. in nutrition and food science from Fu-Jen Catholic University and a Ph.D. in molecular and cell biology from the University of California, Berkeley.</w:t>
      </w:r>
    </w:p>
    <w:p>
      <w:pPr>
        <w:spacing w:after="0" w:line="16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believe Dr. Chen is qualified to serve on our board because of his extensive medical research experience, and his experience as a founder, executive, and director of a public biopharmaceutical company.</w:t>
      </w:r>
    </w:p>
    <w:p>
      <w:pPr>
        <w:spacing w:after="0" w:line="170"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David V. Goeddel, Ph.D. </w:t>
      </w:r>
      <w:r>
        <w:rPr>
          <w:rFonts w:ascii="Arial" w:cs="Arial" w:eastAsia="Arial" w:hAnsi="Arial"/>
          <w:sz w:val="16"/>
          <w:szCs w:val="16"/>
          <w:color w:val="auto"/>
        </w:rPr>
        <w:t>has served as a member of our board of directors since August 2016 and as a member of our compensation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December 2018. Dr. Goeddel has served as a Managing Partner of The Column Group, a venture capital firm, since 2007. Dr. Goeddel is a member of the board of directors at NGM Biopharmaceuticals, a public biopharmaceutical company. Additionally, Dr. Goeddel serves on the board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of directors for A2 Biotherapeutics (Chairman), Surrozen and Hexagon Bio (Chairman), all privately held biopharmaceutical companies. Dr. Goeddel co-founded Tularik in November 1991, was Vice President of Research until 1996, and served as Chief Executive Officer from 1996 until 2004. He then served as Amgen’s first Senior Vice President until May 2006. Prior to Tularik, he was the first scientist hired by Genentech, and from 1978 to 1993 served in various positions, including Fellow, Staff Scientist and Director of Molecular Biology. His pioneering work in the fields of gene cloning and expression of human proteins was the basis for five marketed therapeutics developed by Genentech, including human insulin, human growth hormone, interferon-alpha, interferon-gamma and tissue plasminogen activator. Dr. Goeddel has received numerous scientific awards including the Scheele Medal, the Eli Lilly Award in Biological Chemistry, the Inventor of the Year Award, the Jacob Heskel Gabbay Award, the Howley Prize for Arthritis Research and the Warren Alpert Foundation Prize. He is a member of the National Academy of Sciences and the American Academy of Arts and Sciences. He holds a B.A. in chemistry from the University of California, San Diego and a Ph.D. in biochemistry from the University of Colorado.</w:t>
      </w:r>
    </w:p>
    <w:p>
      <w:pPr>
        <w:spacing w:after="0" w:line="16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believe Dr. Goeddel is qualified to serve on our board of directors because of his experience serving as a board member of public and private life sciences companies, his experience as a founder and Chief Executive Officer of a public biopharmaceutical company, his depth of knowledge and substantial experience as a research scientist, his extensive experience in investing in diverse biotechnology companies and his experience as a public company board member, including within the biotechnology industry.</w:t>
      </w:r>
    </w:p>
    <w:p>
      <w:pPr>
        <w:spacing w:after="0" w:line="18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JeenJoo (JJ) Kang, Ph.D. </w:t>
      </w:r>
      <w:r>
        <w:rPr>
          <w:rFonts w:ascii="Arial" w:cs="Arial" w:eastAsia="Arial" w:hAnsi="Arial"/>
          <w:sz w:val="16"/>
          <w:szCs w:val="16"/>
          <w:color w:val="auto"/>
        </w:rPr>
        <w:t>has served as a member of our board of directors since August 2016. Dr. Kang has also served as a member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since December 2018, as a member of our audit committee since September 2019, and as our President, Treasurer and Secretary from August 2016 to June 2018. Dr. Kang has served as a Venture Partner at The Column Group since 2020, and prior to that served as an Associate beginning in 2015, then as a Partner from 2019 to 2020. She has served as the Chief Executive Officer of Appia Bio, a private biotechnology company, since July 2020. Previously, she worked at FibroGen in project management and corporate strategy from 2005 to 2009. Dr. Kang earned a B.A. in Chemistry from Harvard University and a Ph.D. in chemical biology at the California Institute of Technology.</w:t>
      </w:r>
    </w:p>
    <w:p>
      <w:pPr>
        <w:spacing w:after="0" w:line="16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believe Dr. Kang is qualified to serve on our board of directors due to her educational background and her experience in investing in the life sciences industry.</w:t>
      </w:r>
    </w:p>
    <w:p>
      <w:pPr>
        <w:spacing w:after="0" w:line="170" w:lineRule="exact"/>
        <w:rPr>
          <w:sz w:val="20"/>
          <w:szCs w:val="20"/>
          <w:color w:val="auto"/>
        </w:rPr>
      </w:pPr>
    </w:p>
    <w:p>
      <w:pPr>
        <w:ind w:left="120" w:right="280" w:firstLine="440"/>
        <w:spacing w:after="0" w:line="290" w:lineRule="auto"/>
        <w:rPr>
          <w:sz w:val="20"/>
          <w:szCs w:val="20"/>
          <w:color w:val="auto"/>
        </w:rPr>
      </w:pPr>
      <w:r>
        <w:rPr>
          <w:rFonts w:ascii="Arial" w:cs="Arial" w:eastAsia="Arial" w:hAnsi="Arial"/>
          <w:sz w:val="16"/>
          <w:szCs w:val="16"/>
          <w:b w:val="1"/>
          <w:bCs w:val="1"/>
          <w:i w:val="1"/>
          <w:iCs w:val="1"/>
          <w:color w:val="auto"/>
        </w:rPr>
        <w:t xml:space="preserve">Deepak Srivastava, M.D. </w:t>
      </w:r>
      <w:r>
        <w:rPr>
          <w:rFonts w:ascii="Arial" w:cs="Arial" w:eastAsia="Arial" w:hAnsi="Arial"/>
          <w:sz w:val="16"/>
          <w:szCs w:val="16"/>
          <w:color w:val="auto"/>
        </w:rPr>
        <w:t>has served as a member of our board of directors since October 2016. Dr. Srivastava has been a consultant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since September 2016 and Chairman of our Scientific Advisory Board since October 2016. Dr. Srivastava has been President of Gladstone Institutes since January 2018. He is currently the Younger Family Professor and a senior investigator at the Gladstone Institute of Cardiovascular Disease and director of the Roddenberry Stem Cell Center. Since 2005, Dr. Srivastava has been a professor in the Departments of Pediatrics and Biochemistry and Biophysics at UC San Francisco, and he is the Wilma and Adeline Pirag Distinguished Professor in pediatric developmental cardiology. He is the immediate past-president of the International Society for Stem Cell Research. Dr. Srivastava is a member of the American Academy of Arts and Sciences and the National Academy of Medicine. He received a B.S. from Rice University and an M.D. from the University of Texas. He trained in pediatrics at the University of California, San Francisco, and in pediatric cardiology at Harvard Medical School.</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We believe Dr. Srivastava is qualified to serve on our board because of his scientific and educational background and his extensive expertise in the cardiovascular field and as a co-Founder of the company with specific expertise in the science of using direct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reprogramming approach to cellular regeneration.</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Catherine Stehman-Breen, M.D. </w:t>
      </w:r>
      <w:r>
        <w:rPr>
          <w:rFonts w:ascii="Arial" w:cs="Arial" w:eastAsia="Arial" w:hAnsi="Arial"/>
          <w:sz w:val="17"/>
          <w:szCs w:val="17"/>
          <w:color w:val="auto"/>
        </w:rPr>
        <w:t>has served as a member of our board of directors since June 2020. Beginning in December 2020, Dr. Stehman-Breen has served as the Chief Executive Officer and a member of the board of directors of Chroma Medicine, a private biotechnology company. From July 2019 to December 2020, Dr. Stehman-Breen served as Chief Development Officer of Obsidian Therapeutics, a private biotechnology company. Since March 2018, she has served as an entrepreneur-in-residence at Atlas Ventures, a venture capital</w:t>
      </w:r>
    </w:p>
    <w:p>
      <w:pPr>
        <w:spacing w:after="0" w:line="10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91" w:lineRule="auto"/>
        <w:rPr>
          <w:sz w:val="20"/>
          <w:szCs w:val="20"/>
          <w:color w:val="auto"/>
        </w:rPr>
      </w:pPr>
      <w:r>
        <w:rPr>
          <w:rFonts w:ascii="Arial" w:cs="Arial" w:eastAsia="Arial" w:hAnsi="Arial"/>
          <w:sz w:val="16"/>
          <w:szCs w:val="16"/>
          <w:color w:val="auto"/>
        </w:rPr>
        <w:t>firm. Dr. Stehman-Brown serves as a director of Generation Bio, a public biotechnology company. Dr. Stehman-Breen also serves a member of the board of directors of Dyne Therapeutics, a public biotechnology company. She also previously served as Dyne’s Chief Medical Officer from March</w:t>
      </w:r>
    </w:p>
    <w:p>
      <w:pPr>
        <w:ind w:left="120"/>
        <w:spacing w:after="0" w:line="288" w:lineRule="auto"/>
        <w:rPr>
          <w:sz w:val="20"/>
          <w:szCs w:val="20"/>
          <w:color w:val="auto"/>
        </w:rPr>
      </w:pPr>
      <w:r>
        <w:rPr>
          <w:rFonts w:ascii="Arial" w:cs="Arial" w:eastAsia="Arial" w:hAnsi="Arial"/>
          <w:sz w:val="16"/>
          <w:szCs w:val="16"/>
          <w:color w:val="auto"/>
        </w:rPr>
        <w:t>2018 to July 2019. From April 2018 to July 2019, Dr. Stehman-Breen served as Chief Medical Officer Disarm Therapeutics, a private biotechnology company. From March 2017 to December 2017, she served as Chief Medical Officer of Sarepta Therapeutics, a public biopharmaceutical company. Before that, she served as Vice President, Clinical Development and Regulatory Affairs at Regeneron Pharmaceuticals, a public biotechnology company, from January 2015 to March 2017. From 2003 to 2015, she held senior leadership roles at Amgen including Vice President, Global Development, leading the neuroscience, nephrology and bone therapeutic areas. Dr. Stehman-Breen earned a B.A. in biology and psychology from Colby College, an M.S. in epidemiology from the University of Washington, where she also completed her residency and fellowship training, and an M.D. from the University of Chicago in 1990. Dr. Stehman-Breen spent six years as a faculty member in the Division of Nephrology at the University of Washington.</w:t>
      </w:r>
    </w:p>
    <w:p>
      <w:pPr>
        <w:spacing w:after="0" w:line="16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believe Dr. Stehman-Breen is qualified to serve on our board based on her medical expertise, her experience with clinical development and regulatory affairs in many therapeutics areas, her expertise as an executive in the biotechnology industry and her experience as a public company board member, including within the biotechnology industry.</w:t>
      </w:r>
    </w:p>
    <w:p>
      <w:pPr>
        <w:spacing w:after="0" w:line="18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b w:val="1"/>
          <w:bCs w:val="1"/>
          <w:i w:val="1"/>
          <w:iCs w:val="1"/>
          <w:color w:val="auto"/>
        </w:rPr>
        <w:t xml:space="preserve">Jeffrey T. Walsh, M.B.A. </w:t>
      </w:r>
      <w:r>
        <w:rPr>
          <w:rFonts w:ascii="Arial" w:cs="Arial" w:eastAsia="Arial" w:hAnsi="Arial"/>
          <w:sz w:val="17"/>
          <w:szCs w:val="17"/>
          <w:color w:val="auto"/>
        </w:rPr>
        <w:t>has served as a member of our board of directors since March 2020 and as a member of our audit committee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2020. Since 2011, Mr. Walsh has served in various roles at bluebird bio, including most recently as Strategic Advisor from January 2020 to April 2021, and previously as Chief Operating Officer, Chief Financial Officer, and Chief Strategy Officer. From 2008 to 2011, Mr. Walsh served as Chief Business Officer of Taligen Therapeutics, Inc. until it was acquired by Alexion Pharmaceuticals, Inc. Mr. Walsh started his career at SmithKline Beecham Corporation in finance and worldwide business development roles from 1987 to 1995. He subsequently held senior business development, finance, sales and operations roles at Allscripts Healthcare Solutions Inc. from 1995 to 1998, PathoGenesis Corp. from 1998 to 2000, EXACT Sciences Corporation from 2000 to 2004, and Inotek Pharmaceuticals Corp. from 2004 to 2008. He received a B.A. in sociology and economics from Yale University and an M.B.A. from the Kellogg Graduate School of Management at Northwestern University.</w:t>
      </w:r>
    </w:p>
    <w:p>
      <w:pPr>
        <w:spacing w:after="0" w:line="178"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We believe that Mr. Walsh’s qualifications to serve on our board of directors include his leadership and management experience in the biotechnology industry and his experience in finance and business development and strategic planning as an executive officer at multiple healthcare companies.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i w:val="1"/>
          <w:iCs w:val="1"/>
          <w:color w:val="auto"/>
        </w:rPr>
        <w:t xml:space="preserve">R. Sanders (Sandy) Williams, M.D. </w:t>
      </w:r>
      <w:r>
        <w:rPr>
          <w:rFonts w:ascii="Arial" w:cs="Arial" w:eastAsia="Arial" w:hAnsi="Arial"/>
          <w:sz w:val="16"/>
          <w:szCs w:val="16"/>
          <w:color w:val="auto"/>
        </w:rPr>
        <w:t>has served as a member of our board of directors since October 2016 and as a member of our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since December 2018. Dr. Williams has served as the President Emeritus of Gladstone Institutes, a non-profit biomedical research enterprise since January 2018 and previously served as its President from November 2009 to December 2017. Dr. Williams also served as the Chief Executive Officer of Gladstone Foundation, a not-for-profit organization supporting Gladstone Institutes from January 2016 to December 2018. Since January 2018, Dr. Williams has served as Professor of Medicine and Senior Advisor for International Strategy at Duke University and, beginning in February 2021, is acting as its Interim Vice President for Research and Innovation. Dr. Williams has also served as a Professor of Medicine at the University of California, San Francisco since 2010. From 2010 to 2017, Dr. Williams was the President and the Robert W. and Linda L. Mahley Distinguished Professor of Medicine of Gladstone Institutes. Prior to this, Dr. Williams served in various roles, including as Dean and Senior Vice Chancellor of the Duke University School of Medicine, from 2001 to 2010. He was the founding Dean of the Duke-NUS Graduate Medical School, Singapore, from 2003 to 2008 and served on its Governing Board from 2003 to 2010. From 1990 to 2001, Dr. Williams was Chief of Cardiology and Director of the Ryburn Center for Molecular Cardiology at the University of Texas, Southwestern Medical Center. Dr. Williams is a member of the board of directors of the Laboratory Corporation of America Holdings, a public diagnostic technologies company, serving on the audit committee and chairing the quality and compliance committee. Dr. Williams also serves as a member of the board of directors of Amgen,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Inc., a biotechnology company, serving as a member of the governance and nominating and corporate responsibility and compliance committees. Dr. Williams was elected to the National Academy of Medicine in 2002. Dr. Williams received an A.B. from Princeton University and an M.D. from Duke University.</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We believe Dr. Williams is qualified to serve on our board because of his scientific and educational background, his extensive expertise in the cardiovascular field, and his experience as a public company board member, including within the biotechnology industry.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 and Bankruptcy</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There are no material legal proceedings to which any of our directors is a party adverse to us or in which any such person has a material interest adverse to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board of directors currently consists of nine members. After the completion of this offering, the number of directors will be fixed from time to time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8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71" w:lineRule="exact"/>
        <w:rPr>
          <w:sz w:val="20"/>
          <w:szCs w:val="20"/>
          <w:color w:val="auto"/>
        </w:rPr>
      </w:pPr>
    </w:p>
    <w:p>
      <w:pPr>
        <w:ind w:left="1080" w:hanging="532"/>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Class I directors will be David V. Goeddel, Jeffrey T. Walsh, and R. Sanders (Sandy) Williams, and their terms will expire at the annual meeting of stockholders to be held in 2022;</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Class II directors will be Eli Casdin, Jin-Long Chen, and Catherine Stehman-Brown, and their terms will expire at the annual meeting of stockholders to be held in 2023; and</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Class III directors will be Faraz Ali, JeenJoo (JJ) Kang, and Deepak Srivastava, and their terms will expire at the annual meeting of stockholders to be held in 2024.</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 third of our directors.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Upon the completion of this offering, our common stock will be listed on Nasdaq Global Select Market. Under the rules of Nasdaq Stock Market LLC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compensation committee members must also satisfy the independence criteria set forth in Rule 10A-3 and Rule 10C-1, respectively,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92"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Eli Casdin, Jin-Long Chen, David V. Goeddel, JeenJoo (JJ) Kang, Deepak Srivastava, Catherine Stehman-Breen, Jeffrey T. Walsh, and R. Sanders (Sandy) Williams representing eight of our nine directors, do not have a relationship that would interfere with the exercise of independent judgment in carrying out the responsibilities of a director and</w:t>
      </w:r>
    </w:p>
    <w:p>
      <w:pPr>
        <w:spacing w:after="0" w:line="4" w:lineRule="exact"/>
        <w:rPr>
          <w:sz w:val="20"/>
          <w:szCs w:val="20"/>
          <w:color w:val="auto"/>
        </w:rPr>
      </w:pPr>
    </w:p>
    <w:p>
      <w:pPr>
        <w:ind w:left="120"/>
        <w:spacing w:after="0"/>
        <w:tabs>
          <w:tab w:leader="none" w:pos="6800" w:val="left"/>
        </w:tabs>
        <w:rPr>
          <w:sz w:val="20"/>
          <w:szCs w:val="20"/>
          <w:color w:val="auto"/>
        </w:rPr>
      </w:pPr>
      <w:r>
        <w:rPr>
          <w:rFonts w:ascii="Arial" w:cs="Arial" w:eastAsia="Arial" w:hAnsi="Arial"/>
          <w:sz w:val="17"/>
          <w:szCs w:val="17"/>
          <w:color w:val="auto"/>
        </w:rPr>
        <w:t>that each of these directors is “independent” as that term is defined under the rules of</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board of directors is currently chaired by David V. Goeddel. As a general policy, our board of directors believes that separation of the positions of Chair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Ali serves as our Chief Executive Officer while Dr. Goeddel serves as the Chair of our board of directors but is not an officer. We currently expect and intend the positions of Chair of our board of directors and Chief Executive Officer to continue to be held by two individuals in the future.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members of our audit committee are Eli Casdin, JeenJoo (JJ) Kang, and Jeffrey T. Walsh. Mr. Walsh is the chair of our audit committee and is an audit committee financial expert, as that term is defined under the SEC rules implementing Section 407 of the Sarbanes-Oxley Act of 2002, and possesses financial sophistication, as defined under the rules of Nasdaq. Our audit committee will oversee our corporate accounting and financial reporting process and assist our board of directors in monitoring our financial systems. Our audit committee will also:</w:t>
      </w:r>
    </w:p>
    <w:p>
      <w:pPr>
        <w:spacing w:after="0" w:line="77"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30" w:lineRule="exact"/>
        <w:rPr>
          <w:rFonts w:ascii="Arial" w:cs="Arial" w:eastAsia="Arial" w:hAnsi="Arial"/>
          <w:sz w:val="18"/>
          <w:szCs w:val="18"/>
          <w:color w:val="auto"/>
        </w:rPr>
      </w:pPr>
    </w:p>
    <w:p>
      <w:pPr>
        <w:jc w:val="both"/>
        <w:ind w:left="1080" w:right="200" w:hanging="532"/>
        <w:spacing w:after="0" w:line="263"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 and monitor conflicts of interest situations, and approve or prohibit any involvement in matters that may involve a conflict of interest or taking of a corporate opportunity;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audit committee operates under a written charter, which satisfies the applicable rules of the SEC and the listing standards of the Nasdaq Stock Market LLC.</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members of our compensation committee are Catherine Stehman-Brown, Jeffrey T. Walsh, and R. Sanders (Sandy) Williams. Dr. Williams is the chair of our compensation committee. Our compensation committee will oversee our compensation policies, plans and benefits programs. The compensation committee will also:</w:t>
      </w:r>
    </w:p>
    <w:p>
      <w:pPr>
        <w:spacing w:after="0" w:line="89" w:lineRule="exact"/>
        <w:rPr>
          <w:sz w:val="20"/>
          <w:szCs w:val="20"/>
          <w:color w:val="auto"/>
        </w:rPr>
      </w:pPr>
    </w:p>
    <w:p>
      <w:pPr>
        <w:ind w:left="5480" w:right="2680" w:hanging="4932"/>
        <w:spacing w:after="0" w:line="449" w:lineRule="auto"/>
        <w:tabs>
          <w:tab w:leader="none" w:pos="107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 214</w:t>
      </w:r>
    </w:p>
    <w:p>
      <w:pPr>
        <w:sectPr>
          <w:pgSz w:w="11900" w:h="16838" w:orient="portrait"/>
          <w:cols w:equalWidth="0" w:num="1">
            <w:col w:w="11080"/>
          </w:cols>
          <w:pgMar w:left="32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 and approve compensation for our executive officers and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Our compensation committee operates under a written charter, which satisfies the applicable rules of the SEC and the listing standards of the Nasdaq Stock Market LLC.</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members of our corporate governance and nominating committee are Jin-Long Chen, David V. Goeddel, and Deepak Srivastava. Dr. Srivastava is the chair of our corporate governance and nominating committee. Our corporate governance and nominating committee will oversee and assist our board of directors in reviewing and recommending nominees for election as directors. Specifically, the corporate governance and nominating committee will:</w:t>
      </w:r>
    </w:p>
    <w:p>
      <w:pPr>
        <w:spacing w:after="0" w:line="92" w:lineRule="exact"/>
        <w:rPr>
          <w:sz w:val="20"/>
          <w:szCs w:val="20"/>
          <w:color w:val="auto"/>
        </w:rPr>
      </w:pPr>
    </w:p>
    <w:p>
      <w:pPr>
        <w:ind w:left="1080" w:right="300" w:hanging="532"/>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corporate governance and nominating committee operates under a written charter, which satisfies the applicable rules of the SEC and the listing standards of the Nasdaq Stock Market LLC.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Prior to this offering, we had not implemented a formal policy with respect to compensation payable to our non-employee directors. We reimburse our directors for expenses associated with attending meetings of our board of directors and its committees.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2020. In addition, in June 2021, Mr. Walsh was awarded an option to purchase 10,000 shares of our common stock.</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760" w:type="dxa"/>
            <w:vAlign w:val="bottom"/>
            <w:vMerge w:val="restart"/>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w:t>
            </w:r>
          </w:p>
        </w:tc>
        <w:tc>
          <w:tcPr>
            <w:tcW w:w="18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760" w:type="dxa"/>
            <w:vAlign w:val="bottom"/>
            <w:vMerge w:val="continue"/>
          </w:tcPr>
          <w:p>
            <w:pPr>
              <w:spacing w:after="0"/>
              <w:rPr>
                <w:sz w:val="15"/>
                <w:szCs w:val="15"/>
                <w:color w:val="auto"/>
              </w:rPr>
            </w:pPr>
          </w:p>
        </w:tc>
        <w:tc>
          <w:tcPr>
            <w:tcW w:w="136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u w:val="single" w:color="auto"/>
                <w:color w:val="auto"/>
                <w:w w:val="91"/>
              </w:rPr>
              <w:t>Awards($</w:t>
            </w:r>
            <w:r>
              <w:rPr>
                <w:rFonts w:ascii="Arial" w:cs="Arial" w:eastAsia="Arial" w:hAnsi="Arial"/>
                <w:sz w:val="14"/>
                <w:szCs w:val="14"/>
                <w:b w:val="1"/>
                <w:bCs w:val="1"/>
                <w:color w:val="auto"/>
                <w:w w:val="91"/>
              </w:rPr>
              <w:t>)(1)</w:t>
            </w:r>
          </w:p>
        </w:tc>
        <w:tc>
          <w:tcPr>
            <w:tcW w:w="182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Eli Casdin, M.B.A.</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Jin-Long Chen, Ph.D.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V. Goeddel, Ph.D.</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JeenJoo (JJ) Kang, Ph.D.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Deepak Srivastava, M.D.</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75,000(2)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Catherine Stehman-Breen, M.D.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151,983</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151,983</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T. Walsh, M.B.A.</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142,713</w:t>
            </w:r>
          </w:p>
        </w:tc>
        <w:tc>
          <w:tcPr>
            <w:tcW w:w="18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142,713</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R. Sanders (Sandy) Williams, M.D.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40" w:hanging="424"/>
        <w:spacing w:after="0" w:line="263"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the award as calculated in accordance with ASC 718. The assumptions used in calculating the grant date fair value of the award disclosed in this column are set forth in Note 2 to our audited financial statements included elsewhere in this prospectus.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40"/>
        <w:spacing w:after="0" w:line="258" w:lineRule="auto"/>
        <w:rPr>
          <w:sz w:val="20"/>
          <w:szCs w:val="20"/>
          <w:color w:val="auto"/>
        </w:rPr>
      </w:pPr>
      <w:r>
        <w:rPr>
          <w:rFonts w:ascii="Arial" w:cs="Arial" w:eastAsia="Arial" w:hAnsi="Arial"/>
          <w:sz w:val="18"/>
          <w:szCs w:val="18"/>
          <w:color w:val="auto"/>
        </w:rPr>
        <w:t>These amounts do not correspond to the actual value that may be recognized by the named executive officers upon vesting of the applicable awards.</w:t>
      </w:r>
    </w:p>
    <w:p>
      <w:pPr>
        <w:spacing w:after="0" w:line="1"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amount disclosed relates to compensation paid under the Company’s consulting agreement with Dr. Srivastava.</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In June 2021, our board of directors adopted, and in July 2021 our stockholders approved, a new compensation policy for our non-employee directors that became effective as of the date of the effectiveness of the registration statement of which this prospectus forms a part. This policy was developed with input from our compensation committee’s independent compensation consultant, Compensia, regarding practices and compensation levels at comparable companies. It is designed to attract, retain and reward our non-employee directors.</w:t>
      </w:r>
    </w:p>
    <w:p>
      <w:pPr>
        <w:spacing w:after="0" w:line="17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Under this director compensation policy, each non-employee director will receive cash and equity compensation for his or her services as a member of our board of directors, as described below. We also will reimburse our non-employee directors for reasonable, customary and documented travel expenses to meetings of our board of directors or its committees.</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director compensation policy includes a maximum annual limit of $500,000 of cash compensation and equity awards that may be paid, issued or granted to a non-employee director in any fiscal year. For purposes of these limitations, the value of an equity award is based on its grant date fair value. Any cash compensation paid or equity awards granted to a person for his or her services as an employee, for his or her services as a consultant (other than as a non-employee director), or prior to the date of the effectiveness of the registration statement of which this prospectus forms a part will not count for purposes of the limitation. The maximum limit does not reflect the intended size of any potential compensation or equity awards to our non-employee directors.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Following the completion of this offering, each non-employee director will be paid an annual cash retainer of $35,000. In addition, each non-employee director who serves as chair or chair or member of a committee will be entitled to receive the following cash compensation under the policy for his or her services: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Board Chair:</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20,000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Audit Committee Member:</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w:t>
            </w:r>
          </w:p>
        </w:tc>
      </w:tr>
    </w:tbl>
    <w:p>
      <w:pPr>
        <w:spacing w:after="0" w:line="187"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The above-listed fees for service as chair or members of committees are payable in addition to the non-employee director retainer. Each non-employee director who serves as a committee chair will receive only the additional annual cash fee as the chair of the committee, and not the additional annual fee as a member of the committee. All cash payments to non-employee directors are paid quarterly in arrears on a prorated basis.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Initial Award. </w:t>
      </w:r>
      <w:r>
        <w:rPr>
          <w:rFonts w:ascii="Arial" w:cs="Arial" w:eastAsia="Arial" w:hAnsi="Arial"/>
          <w:sz w:val="18"/>
          <w:szCs w:val="18"/>
          <w:color w:val="auto"/>
        </w:rPr>
        <w:t>Each person who first becomes a non-employee director after the effective date of the director compensation policy will receive,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trading day on or after the date that the person first becomes a non-employee director, an initial award (the Initial Award) of stock options to purchase shares of our common stock with grant date fair value equal to $320,000. The Initial Award will be scheduled to vest in equal installments as to one thirty-sixth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directors and also an employee, then becoming a non-employee director due to termination of employment will not entitle the person to an Initial Award.</w:t>
      </w:r>
    </w:p>
    <w:p>
      <w:pPr>
        <w:spacing w:after="0" w:line="24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Annual Award. </w:t>
      </w:r>
      <w:r>
        <w:rPr>
          <w:rFonts w:ascii="Arial" w:cs="Arial" w:eastAsia="Arial" w:hAnsi="Arial"/>
          <w:sz w:val="18"/>
          <w:szCs w:val="18"/>
          <w:color w:val="auto"/>
        </w:rPr>
        <w:t>Each non-employee director who has served continuously as a non-employee director for no less than 6 months as of the date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our stockholders occurring following the effective date of our non-employee director compensation policy will receive, on the first trading day immediately after the date of each annual meeting, an annual award (the Annual Award) of stock options to purchase shares of our common stock with grant date fair value equal to $160,000. Each Annual Award will be scheduled to vest in full upon the first anniversary of the date of grant or, if earlier, the day immediately before the date of the next annual meeting of the Company that occurs after the Annual Award’s grant date, subject to continued services to us through the applicable vesting date.</w:t>
      </w:r>
    </w:p>
    <w:p>
      <w:pPr>
        <w:spacing w:after="0" w:line="192"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our change in control, as defined in our 2021 Plan (or its successor plan, as applicable), each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then outstanding equity awards covering shares of our common stock will accelerate vesting in full, provided that he or she remains a non-employee director through the date of our change in control.</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i w:val="1"/>
          <w:iCs w:val="1"/>
          <w:color w:val="auto"/>
        </w:rPr>
        <w:t xml:space="preserve">Other Award Terms. </w:t>
      </w:r>
      <w:r>
        <w:rPr>
          <w:rFonts w:ascii="Arial" w:cs="Arial" w:eastAsia="Arial" w:hAnsi="Arial"/>
          <w:sz w:val="17"/>
          <w:szCs w:val="17"/>
          <w:color w:val="auto"/>
        </w:rPr>
        <w:t>Each Initial Award and Annual Award will be granted under our 2021 Equity Incentive Plan (or its successor plan, as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Non-Employee Director Equity Awards</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In June 2021, our board of directors approved an option grant to Jeffrey T. Walsh to provide him additional incentives to remain with us and to promote further alignment between his interests and those of our stockholders. The number of shares subject to the option grant is 10,000 and the exercise price per share is $9.36. The grant is subject to the terms and conditions of the 2016 Plan and form of option agreement thereunder, and will vest as to 1/12th of the total shares subject to the grant each month following the vesting commencement date, subject to Mr. Walsh’s continued service with us, and further subject to vesting acceleration under certain circumstances as described under “—Non-Employee Director Compensation Policy.”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 of the members of our board of directors who serve on our compensation committee is or has been an officer or employee of our company.</w:t>
      </w:r>
    </w:p>
    <w:p>
      <w:pPr>
        <w:spacing w:after="0" w:line="140"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In June 2021, our board of directors adopted a written code of business conduct and ethics that applies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www.tenayatherapeutics.com.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named executive officers for 2020, which consist of our principal executive officer and the next two most highly compensated executive officers during 2020, are:</w:t>
      </w:r>
    </w:p>
    <w:p>
      <w:pPr>
        <w:spacing w:after="0" w:line="76"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Faraz Ali, M.B.A., Chief Executive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Timothy Hoey, Ph.D., Chief Scientific Officer;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Whittemore (Whit) Tingley, M.D., Ph.D., Chief Medical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regarding the compensation of our named executive officers for the year ended December 31,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Salary</w:t>
            </w: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Bonus</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7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60" w:type="dxa"/>
            <w:vAlign w:val="bottom"/>
          </w:tcPr>
          <w:p>
            <w:pPr>
              <w:spacing w:after="0"/>
              <w:rPr>
                <w:sz w:val="15"/>
                <w:szCs w:val="15"/>
                <w:color w:val="auto"/>
              </w:rPr>
            </w:pPr>
          </w:p>
        </w:tc>
        <w:tc>
          <w:tcPr>
            <w:tcW w:w="900" w:type="dxa"/>
            <w:vAlign w:val="bottom"/>
          </w:tcPr>
          <w:p>
            <w:pPr>
              <w:jc w:val="right"/>
              <w:ind w:right="279"/>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Faraz Ali, M.B.A.</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425,000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126,500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197,500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1,300</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750,300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500" w:type="dxa"/>
            <w:vAlign w:val="bottom"/>
            <w:gridSpan w:val="2"/>
          </w:tcPr>
          <w:p>
            <w:pPr>
              <w:spacing w:after="0"/>
              <w:rPr>
                <w:sz w:val="20"/>
                <w:szCs w:val="20"/>
                <w:color w:val="auto"/>
              </w:rPr>
            </w:pPr>
            <w:r>
              <w:rPr>
                <w:rFonts w:ascii="Arial" w:cs="Arial" w:eastAsia="Arial" w:hAnsi="Arial"/>
                <w:sz w:val="18"/>
                <w:szCs w:val="18"/>
                <w:color w:val="auto"/>
              </w:rPr>
              <w:t>Timothy Hoey, Ph.D.</w:t>
            </w:r>
          </w:p>
        </w:tc>
        <w:tc>
          <w:tcPr>
            <w:tcW w:w="900" w:type="dxa"/>
            <w:vAlign w:val="bottom"/>
            <w:gridSpan w:val="3"/>
          </w:tcPr>
          <w:p>
            <w:pPr>
              <w:ind w:left="26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375,000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95,000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46,800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3,557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520,357</w:t>
            </w:r>
          </w:p>
        </w:tc>
        <w:tc>
          <w:tcPr>
            <w:tcW w:w="0" w:type="dxa"/>
            <w:vAlign w:val="bottom"/>
          </w:tcPr>
          <w:p>
            <w:pPr>
              <w:spacing w:after="0"/>
              <w:rPr>
                <w:sz w:val="1"/>
                <w:szCs w:val="1"/>
                <w:color w:val="auto"/>
              </w:rPr>
            </w:pPr>
          </w:p>
        </w:tc>
      </w:tr>
      <w:tr>
        <w:trPr>
          <w:trHeight w:val="230"/>
        </w:trPr>
        <w:tc>
          <w:tcPr>
            <w:tcW w:w="55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Scientific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Whittemore (Whit) Tingley, M.D., Ph.D.</w:t>
            </w:r>
          </w:p>
        </w:tc>
        <w:tc>
          <w:tcPr>
            <w:tcW w:w="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371,000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467,520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59"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the award as calculated in accordance with ASC 718. The assumptions used in calculating the grant date fair value of the award disclosed in this column are set forth in Note 2 to our audited financial statements included elsewhere in this prospectus. These amounts do not correspond to the actual value that may be recognized by the named executive officers upon vesting of the applicable awards.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concerning outstanding equity awards held by each of our named executive officers as of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Number of</w:t>
            </w:r>
          </w:p>
        </w:tc>
        <w:tc>
          <w:tcPr>
            <w:tcW w:w="13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Shares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Stock that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that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Grant</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Options</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Options</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60" w:type="dxa"/>
            <w:vAlign w:val="bottom"/>
            <w:gridSpan w:val="2"/>
            <w:vMerge w:val="continue"/>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Have Not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Expiration</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Vested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3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Date(1)</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260" w:type="dxa"/>
            <w:vAlign w:val="bottom"/>
          </w:tcPr>
          <w:p>
            <w:pPr>
              <w:spacing w:after="0"/>
              <w:rPr>
                <w:sz w:val="13"/>
                <w:szCs w:val="13"/>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0" w:type="dxa"/>
            <w:vAlign w:val="bottom"/>
          </w:tcPr>
          <w:p>
            <w:pPr>
              <w:spacing w:after="0"/>
              <w:rPr>
                <w:sz w:val="1"/>
                <w:szCs w:val="1"/>
                <w:color w:val="auto"/>
              </w:rPr>
            </w:pPr>
          </w:p>
        </w:tc>
      </w:tr>
      <w:tr>
        <w:trPr>
          <w:trHeight w:val="20"/>
        </w:trPr>
        <w:tc>
          <w:tcPr>
            <w:tcW w:w="3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Faraz Ali, M.B.A.</w:t>
            </w:r>
          </w:p>
        </w:tc>
        <w:tc>
          <w:tcPr>
            <w:tcW w:w="2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9/6/2018</w:t>
            </w:r>
          </w:p>
        </w:tc>
        <w:tc>
          <w:tcPr>
            <w:tcW w:w="26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425,000(4)</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0.66</w:t>
            </w:r>
          </w:p>
        </w:tc>
        <w:tc>
          <w:tcPr>
            <w:tcW w:w="26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9/5/2028</w:t>
            </w:r>
          </w:p>
        </w:tc>
        <w:tc>
          <w:tcPr>
            <w:tcW w:w="2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vMerge w:val="continue"/>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3/10/2020</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7,812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33,854(5)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3/9/2030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Timothy Hoey, Ph.D.</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9/17/2017</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0.42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9/16/2027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27,778(6)</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156,668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2/6/2019</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33,333(7)</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2/5/2029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2/7/2020</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2,291</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7,708(5)</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2.70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2/6/2030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Whittemore (Whit) Tingley, M.D., Ph.D.</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12/10/2018</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75,000(8)</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12/9/2028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Each of the outstanding equity awards was granted pursuant to our Amended and Restated 2016 Equity Incentive Plan (the 2016 Plan).</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This column represents the fair market value of a share of our common stock on the date of grant, as determined by our board of directors.</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8"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This column represents the fair market value of a share of our common stock as of December 31, 2020, the market value has been calculated based on an estimated per-share common stock value of $5.64 per share as of December 31, 2020.</w:t>
      </w:r>
    </w:p>
    <w:p>
      <w:pPr>
        <w:spacing w:after="0" w:line="1"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1/5th of the shares subject to this option vested on the first anniversary of the vesting commencement date and 1/60th of the shares vest monthly thereafter, subject to the optionee’s continued status as a service provider through each vest date. All of the shares underlying this option are subject to an early exercise provision.</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1/48th of the shares subject to this option vest monthly after the grant date, subject to the optionee’s continued status as a service provider through each vest date.</w:t>
      </w:r>
    </w:p>
    <w:p>
      <w:pPr>
        <w:ind w:left="540" w:right="240" w:hanging="424"/>
        <w:spacing w:after="0" w:line="250"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shares were acquired pursuant to an early exercise provision and remain subject to our repurchase right in accordance with the vesting schedule of the exercised option. 1/4th of the total number of shares subject to the option vested on August 14, 2018 and 1/48th of the total number of shares subject to the option vest monthly thereafter, subject to the optionee’s continued status as a service provider through each vest date.</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1/48th of the shares subject to this option vest monthly after the grant date, subject to the optionee’s continued status as a service provider through each vest date. All of the shares underlying this option are subject to an early exercise provision.</w:t>
      </w:r>
    </w:p>
    <w:p>
      <w:pPr>
        <w:ind w:left="540" w:right="180" w:hanging="424"/>
        <w:spacing w:after="0" w:line="255"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1/4th of the shares subject to this option vested on the first anniversary of the vesting commencement date and 1/48th of the shares vest monthly thereafter, subject to the optionee’s continued status as a service provider through each vest date. All of the shares underlying this option are subject to an early exercise provision.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Executive Officer Equity Awards</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January 2021, our compensation committee approved option grants to Dr. Hoey covering 16,666 shares and to Dr. Tingley covering 25,000 shares, in each case, at an exercise price per share of $5.64. In February 2021, our board of directors approved an option grant to Mr. Ali covering 416,666 shares at an exercise price per share of $5.64. In June 2021, our board of directors approved option grants to Mr. Ali covering 166,666 shares and to Dr. Tingley covering 108,333 shares, in each case, at an exercise price per share of $9.36. These grants were made to provide them additional incentives to remain with us and to promote further alignment between their interests and those of our stockholders. In July 2021, our board of directors approved a new hire option grant to Ms. Patterson covering 354,166 shares at an exercise price per share of $10.56.</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These grants are subject to the terms and conditions of the 2016 Plan and form of option agreement thereunder, and the grants to Mr. Ali,</w:t>
      </w:r>
    </w:p>
    <w:p>
      <w:pPr>
        <w:spacing w:after="0" w:line="35"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Dr. Hoey, and Dr. Tingley vest as to 1/48th of the total shares subject to the grant each month following the vesting commencement date, and the grant to Ms. Patterson vests as to 25% on the one-year anniversary of Ms. Patterson’s start date and as to 1/48th of the total shares subject to the grant each month following such anniversary date, in each case subject to the executive officer’s continued service with us, and further subject to vesting acceleration under certain circumstances as described under “—Potential payments upon termination or change in control.”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Employment Arrangements</w:t>
      </w:r>
    </w:p>
    <w:p>
      <w:pPr>
        <w:spacing w:after="0" w:line="121"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Each of our current executive officers has executed our standard form of confidential information, invention assignment and arbitration agreement.</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have entered into an employment offer letter agreement with each of our named executive officers in connection with his or her employment with us. These offer letters provide for “at will” employment.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Faraz Ali, M.B.A.</w:t>
      </w:r>
    </w:p>
    <w:p>
      <w:pPr>
        <w:spacing w:after="0" w:line="11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have entered into a confirmatory employment letter with Mr. Ali, our Chief Executive Officer. The confirmatory employment letter has no specific term and provides for at-will employment. Mr. Ali’s current annual base salary is $475,000 and his annual target bonus is 35% of his annual base salary.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Timothy Hoey, Ph.D.</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have entered into a confirmatory employment letter with Dr. Hoey, our Chief Scientific Officer. The confirmatory employment letter has no specific term and provides for at-will employment. Dr. Hoey’s current annual base salary is $385,000 and his annual target bonus is 30% of his annual base salary.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Leone D. Patterson, M.B.A.</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have entered into an employment letter with Ms. Patterson, our Chief Financial and Business Officer. Ms. Patterson began employment in June 2021. The employment letter has no specific term and provides for at-will employment. Ms. Patterson’s current annual base salary is $400,000 and her annual target bonus is 30% of her annual base salary.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Whittemore (Whit) Tingley, M.D., Ph.D.</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entered into a confirmatory employment letter with Dr. Tingley, our Chief Medical Officer. The confirmatory employment letter has no specific term and provides for at-will employment. Dr. Tingley’s current annual base salary is $402,000 and his annual target bonus is 30% of his annual base salary.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Executive Change in Control and Severance Plan</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June 2021, our board of directors adopted an Executive Change in Control and Severance Plan, or the Executive Severance Plan, pursuant to which our named executive officers and certain other key employees are eligible to receive severance benefits, as specified in and subject to the employee signing a participation agreement under our Executive Severance Plan. This Executive Severance Plan was developed with input from Compensia regarding severance practices at comparable companies. It is designed to attract, retain and reward senior level employees. The Executive Severance Plan will be in lieu of any other severance payments and benefits to which such key employee was entitled prior to signing the participation agreement.</w:t>
      </w:r>
    </w:p>
    <w:p>
      <w:pPr>
        <w:spacing w:after="0" w:line="19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Each of our named executive officers has signed a participation agreement under our Executive Severance Plan providing for the rights to the applicable payments and benefits described below.</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the event of a “qualifying termination” of the employment of a named executive officer, which generally includes a termination of employment by us for a reason other than “cause” or the named executive officer’s death or “disability” (as such terms are defined in our Executive Severance Plan), but in the case of Mr. Ali includes a termination of employment by him for “good reason” or by us for a reason other than “cause” or his death or disability, in all cases, that occurs outside the change in control period (as described below), then the named executive officer will be entitled to the following payments and benefits:</w:t>
      </w:r>
    </w:p>
    <w:p>
      <w:pPr>
        <w:spacing w:after="0" w:line="93" w:lineRule="exact"/>
        <w:rPr>
          <w:sz w:val="20"/>
          <w:szCs w:val="20"/>
          <w:color w:val="auto"/>
        </w:rPr>
      </w:pPr>
    </w:p>
    <w:p>
      <w:pPr>
        <w:ind w:left="1080" w:right="14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lump sum payment equal to nine months of the named executive officer’s annual base salary as in effect immediately prior to his or her qualifying termination of employment, or twelve months in the case of Mr. Ali; and</w:t>
      </w:r>
    </w:p>
    <w:p>
      <w:pPr>
        <w:spacing w:after="0" w:line="75" w:lineRule="exact"/>
        <w:rPr>
          <w:rFonts w:ascii="Arial" w:cs="Arial" w:eastAsia="Arial" w:hAnsi="Arial"/>
          <w:sz w:val="18"/>
          <w:szCs w:val="18"/>
          <w:color w:val="auto"/>
        </w:rPr>
      </w:pPr>
    </w:p>
    <w:p>
      <w:pPr>
        <w:ind w:left="1080" w:right="500" w:hanging="532"/>
        <w:spacing w:after="0" w:line="308" w:lineRule="auto"/>
        <w:tabs>
          <w:tab w:leader="none" w:pos="10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continued health coverage under COBRA or a lump sum payment equal to the premium cost of continued health coverage under the Consolidated Omnibus Reconciliation Act of 1985 as amended, or COBRA, for a period of twelve months.</w:t>
      </w:r>
    </w:p>
    <w:p>
      <w:pPr>
        <w:spacing w:after="0" w:line="146"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In the event of a termination of employment by the named executive officer for “good reason” or by us for a reason other than “cause” or the named executive officer’s death or disability, in each case, within a period beginning upon and ending twelve months following a “change in control” (as defined in our Executive Severance Plan), or in the case of Mr. Ali beginning three months prior to and ending 18 months following a</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00"/>
          </w:cols>
          <w:pgMar w:left="320" w:top="459"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“change in control” (such period, in either case, the “change in control period”), then the named executive officer will be entitled to the following payments and benefits:</w:t>
      </w:r>
    </w:p>
    <w:p>
      <w:pPr>
        <w:spacing w:after="0" w:line="76" w:lineRule="exact"/>
        <w:rPr>
          <w:sz w:val="20"/>
          <w:szCs w:val="20"/>
          <w:color w:val="auto"/>
        </w:rPr>
      </w:pPr>
    </w:p>
    <w:p>
      <w:pPr>
        <w:ind w:left="1080" w:right="300" w:hanging="532"/>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lump sum payment equal to 12 months of the named executive officer’s annual base salary as in effect immediately prior to his or her qualifying termination of employment;</w:t>
      </w:r>
    </w:p>
    <w:p>
      <w:pPr>
        <w:spacing w:after="0" w:line="75"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continued health coverage under COBRA or a lump sum payment equal to the cost of continued health coverage under COBRA for a period of 12 months;</w:t>
      </w:r>
    </w:p>
    <w:p>
      <w:pPr>
        <w:spacing w:after="0" w:line="75" w:lineRule="exact"/>
        <w:rPr>
          <w:rFonts w:ascii="Arial" w:cs="Arial" w:eastAsia="Arial" w:hAnsi="Arial"/>
          <w:sz w:val="18"/>
          <w:szCs w:val="18"/>
          <w:color w:val="auto"/>
        </w:rPr>
      </w:pPr>
    </w:p>
    <w:p>
      <w:pPr>
        <w:ind w:left="1080" w:right="240" w:hanging="532"/>
        <w:spacing w:after="0" w:line="342"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100% accelerated vesting of all outstanding equity awards, and, with respect to equity awards with performance-based vesting, all performance goals or other vesting criteria will be deemed achieved at 100% of target levels for the relevant performance period(s); and</w:t>
      </w:r>
    </w:p>
    <w:p>
      <w:pPr>
        <w:spacing w:after="0" w:line="29" w:lineRule="exact"/>
        <w:rPr>
          <w:rFonts w:ascii="Arial" w:cs="Arial" w:eastAsia="Arial" w:hAnsi="Arial"/>
          <w:sz w:val="16"/>
          <w:szCs w:val="16"/>
          <w:color w:val="auto"/>
        </w:rPr>
      </w:pPr>
    </w:p>
    <w:p>
      <w:pPr>
        <w:ind w:left="1080" w:right="460" w:hanging="532"/>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case of Mr. Ali, a lump sum payment equal to 100% of his target annual bonus for the year in which the qualifying termination occurs.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receipt of the payments and benefits provided for under the Executive Severance Plan described above is conditioned on the named executive officer signing and not revoking a separation and release of claims agreement and such release becoming effective and irrevocable no later than the 60th day following the named executive officer’s involuntary termination of employment, as well as continued compliance with the invention assignment and confidentiality agreement applicable to the named executive officer.</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addition, if any of the payments or benefits provided for under the Executive Severance Plan or otherwise payable to a named executive officer would constitute “parachute payments” within the meaning of Section 280G of the Code and could be subject to the related excise tax, the named executive officer will receive either full payment of such payments and benefits or such lesser amount that would result in no portion of the payments and benefits being subject to the excise tax, whichever results in the greater amount of after-tax benefits to them. The Executive Severance Plan does not require us to provide any tax gross-up payments to the named executive officers.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June 2021, our board of directors adopted, and in July 2021 our stockholders approved, our 2021 Equity Incentive Plan (2021 Plan). The 2021 Plan became effective on the business day immediately prior to the effective date of the registration statement of which this prospectus forms a part. Our 2021 Plan provides for the grant of incentive stock options, within the meaning of Section 422 of the Internal Revenue Code (the Code), to our employees and any of our parent and subsidiary corporations’ employees, and for the grant of nonstatutory stock options, restricted stock, restricted stock units, stock appreciation rights, performance units, and performance shares to our employees, directors, and consultants and our subsidiary corporations’ employees and consultants.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4,000,000 shares of our common stock are reserved for issuance pursuant to our 2021 Plan. In addition, the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reserved for issuance under our 2021 Plan will also include shares of our common stock subject to or issued pursuant to awards granted under our 2016 Plan that, after the effective date of the registration statement of which this prospectus forms a part,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is 2,430,000 shares). The number of shares available for issuance under our 2021 Plan will also include an annual increase on the first day of each fiscal year beginning with our 2022 fiscal year, equal to the least of: 4,000,000 shares; four percent (4%) of the outstanding shares of our common stock as of the last day of the immediately preceding fiscal year; or such other amount as our board of directors may determine. This annual increase will operate only until the ten year anniversary of our board’s approval of the 2021 Plan.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2021 Plan (unless the 2021 Plan has terminated). With respect to stock appreciation rights, only the net shares actually issued will cease to be available under the 2021 Plan and all remaining shares under stock appreciation rights will remain available for future grant or sale under the 2021 Plan (unless the 2021 Plan has terminated). Shares that have actually been issued under the 2021 Plan will not be returned to the 2021 Plan except if shares issued pursuant to awards of restricted stock, restricted stock units, performance shares, or performance units are repurchased by or forfeited to us due to failure to vest, such shares will become available for future grant under the 2021 Plan. Shares used to pay the exercise price of an award or satisfy the tax withholding obligations related to an award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8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one or more committees appointed by our board of directors will administer our 2021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of our board of directors will initially administer our 2021 Plan. In addition, if we determine it is desirable to qualify transactions under our 2021 Plan as exempt under Rule 16b-3 of the Exchange Act, such transactions will be structured to satisfy the requirements for exemption under Rule 16b-3. Subject to the provisions of our 2021 Plan, the administrator has the power to administer our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2021 Plan and awards granted under it, prescribe, amend and rescind rules relating to our 2021 Plan, including creating sub-plans, modify or amend each award, including but not limited to the discretionary authority to extend the post-termination exercisability period of awards,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may be granted under our 2021 Plan. The exercise price of options granted under our 2021 Plan must at least be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twelve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2021 Plan, the administrator determines the other terms of options.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may be granted under our 2021 Plan. Stock appreciation rights allow the recipient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twelve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2021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8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2021 Plan. Restricted stock awards are grants of shares of our common stock that 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terms and conditions established by the administrator. The administrator will determine the number of shares of restricted stock granted to any employee, director, or consultant and, subject to the provisions of our 2021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Restricted stock units may be granted under our 2021 Plan. Restricted stock units are bookkeeping entries representing an</w:t>
      </w:r>
      <w:r>
        <w:rPr>
          <w:rFonts w:ascii="Arial" w:cs="Arial" w:eastAsia="Arial" w:hAnsi="Arial"/>
          <w:sz w:val="17"/>
          <w:szCs w:val="17"/>
          <w:i w:val="1"/>
          <w:iCs w:val="1"/>
          <w:color w:val="auto"/>
        </w:rPr>
        <w:t xml:space="preserve"> </w:t>
      </w:r>
      <w:r>
        <w:rPr>
          <w:rFonts w:ascii="Arial" w:cs="Arial" w:eastAsia="Arial" w:hAnsi="Arial"/>
          <w:sz w:val="17"/>
          <w:szCs w:val="17"/>
          <w:color w:val="auto"/>
        </w:rPr>
        <w:t>amount equal to the fair market value of one share of our common stock. Subject to the provisions of our 2021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Performance units and performance shares</w:t>
      </w:r>
      <w:r>
        <w:rPr>
          <w:rFonts w:ascii="Arial" w:cs="Arial" w:eastAsia="Arial" w:hAnsi="Arial"/>
          <w:sz w:val="17"/>
          <w:szCs w:val="17"/>
          <w:color w:val="auto"/>
        </w:rPr>
        <w:t>. Performance units and performance shares may be granted under our 2021 Plan. Performance units</w:t>
      </w:r>
      <w:r>
        <w:rPr>
          <w:rFonts w:ascii="Arial" w:cs="Arial" w:eastAsia="Arial" w:hAnsi="Arial"/>
          <w:sz w:val="17"/>
          <w:szCs w:val="17"/>
          <w:i w:val="1"/>
          <w:iCs w:val="1"/>
          <w:color w:val="auto"/>
        </w:rPr>
        <w:t xml:space="preserve"> </w:t>
      </w:r>
      <w:r>
        <w:rPr>
          <w:rFonts w:ascii="Arial" w:cs="Arial" w:eastAsia="Arial" w:hAnsi="Arial"/>
          <w:sz w:val="17"/>
          <w:szCs w:val="17"/>
          <w:color w:val="auto"/>
        </w:rPr>
        <w:t>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8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2021 Plan generally does not allow for the transfer of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the recipient of an award may exercise an award during his or 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lifetime. If the administrator makes an award transferrable, such award will contain such additional terms and conditions as the administrator deems appropriate.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to prevent diminution or enlargement of the benefits or potential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under our 2021 Plan, the administrator will adjust the number and class of shares that may be delivered under our 2021 Plan and/or the number, class, and price of shares covered by each outstanding award and the numerical share limits set forth in our 2021 Plan.</w:t>
      </w:r>
    </w:p>
    <w:p>
      <w:pPr>
        <w:spacing w:after="0" w:line="165"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liquidation or dissolution, the administrator will notify participants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to the extent not exercised, all awards will terminate immediately prior to the consummation of such proposed transaction.</w:t>
      </w:r>
    </w:p>
    <w:p>
      <w:pPr>
        <w:spacing w:after="0" w:line="14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2021 Plan provides that in the event of a merger or change in control, as defined under our 2021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will be treated as the administrator determines, without a participant’s consent. The administrator is not required to treat all awards, all awards held by a participant or all awards of the same type similarly.</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6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Awards will be subject to any clawback policy of ours, and the administrator also may specify in an award agreement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2021 Plan, provided such action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impair the rights of any participant.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June 2021, our board of directors adopted, and in July 2021 our stockholders approved, our 2021 Employee Stock Purchase Plan (ESPP). Our ESPP became effective on the business day immediately prior to the effective date of the registration statement of which this prospectus forms a part. However, no offering period or purchase period under the ESPP will begin unless and until otherwise determined by our board of directors.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800,000 shares of our common stock will be available for sale under our ESPP. The number of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that will be available for sale under our ESPP also includes an annual increase on the first day of each fiscal year following the fiscal year in which the first offering period under the ESPP commences, equal to the least of: 800,000 shares; one percent (1%) of the outstanding shares of our common stock as of the last day of the immediately preceding fiscal year; or such other amount as our board of directors may determine. This annual increase will operate only until the ten year anniversary of our board’s approval of our ESPP.</w:t>
      </w:r>
    </w:p>
    <w:p>
      <w:pPr>
        <w:spacing w:after="0" w:line="1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ESPP administration</w:t>
      </w:r>
      <w:r>
        <w:rPr>
          <w:rFonts w:ascii="Arial" w:cs="Arial" w:eastAsia="Arial" w:hAnsi="Arial"/>
          <w:sz w:val="18"/>
          <w:szCs w:val="18"/>
          <w:color w:val="auto"/>
        </w:rPr>
        <w:t>. We expect that the compensation committee of our board of directors will administer our ESPP and will have full and</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discretionary authority to construe, interpret, and apply the terms of the ESPP, delegate ministerial duties to any of our employees,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195"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Subject to the administrator implementing an offering period, generally, all of our employees will be eligible to participate if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customarily employed by us, or any participating subsidiary or affiliate, for at least 20 hours per week and more than five months in any calendar year. The administrator, in its discretion, may, prior to an enrollment date, for all options to be granted on such enrollment date in an offering, determine that an employee who (1) has not completed at least two years of service (or a lesser period of time determined by the administrator) since his or her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Section 414(q) of the Code, or (5)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96"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However, an employee may not be granted rights to purchase shares of our common stock under our ESPP if such employee: immediately after the grant would own capital stock and/or hold outstanding options to purchase such stock possessing five percent (5%) or more of the total combined voting power or value of all classes of capital stock of ours or of any parent or subsidiary of ours; or holds rights to purchase shares of our common stock under all employee stock purchase plans of ours or any parent or subsidiary of ours that accrue at a rate that exceeds $25,000 worth of shares of our common stock for each calendar year in which such rights are outstanding at any time.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Offering and Purchase Periods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ESPP will include a component that allows us to make offerings intended to qualify under Section 423 of the Code and a component that allows us to make offerings not intended to qualify under Section 423 of the Code to designated companies, as described in the ESPP. Offering periods will begin and end on such dates as may be determined by the administrator in its discretion, in each case on a uniform and nondiscriminatory basis, and may contain one or more purchase periods. The administrator may change the duration of offering periods (including commencement dates) with respect to future offerings so long as such change is announced prior to the scheduled beginning of the first offering period affected. No offering period may last more than 27 months.</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Subject to the administrator implementing an offering period, ESPP will permit participants to purchase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through contributions (in the form of payroll deductions or otherwise to the extent permitted by the administrator) in an amount determined by the administrator, but not exceeding 15% of their eligible compensation.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Exercise of purchase right</w:t>
      </w:r>
      <w:r>
        <w:rPr>
          <w:rFonts w:ascii="Arial" w:cs="Arial" w:eastAsia="Arial" w:hAnsi="Arial"/>
          <w:sz w:val="18"/>
          <w:szCs w:val="18"/>
          <w:color w:val="auto"/>
        </w:rPr>
        <w:t>. Subject to the administrator implementing an offering period, amounts contributed and accumulated by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any offering period will be used to purchase shares of our common stock at the end of each purchase period. The purchase price of the shares will be determined by the administrator, but will be no less than 85% of the lower of the fair market value of our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A participant may not transfer rights granted under our ESPP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ESPP).</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i w:val="1"/>
          <w:iCs w:val="1"/>
          <w:color w:val="auto"/>
        </w:rPr>
        <w:t xml:space="preserve">Merger or change in control. </w:t>
      </w:r>
      <w:r>
        <w:rPr>
          <w:rFonts w:ascii="Arial" w:cs="Arial" w:eastAsia="Arial" w:hAnsi="Arial"/>
          <w:sz w:val="16"/>
          <w:szCs w:val="16"/>
          <w:color w:val="auto"/>
        </w:rPr>
        <w:t>Our ESPP will provide that in the event of a merger or change in control, as defined under our ESPP, a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6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i w:val="1"/>
          <w:iCs w:val="1"/>
          <w:color w:val="auto"/>
        </w:rPr>
        <w:t xml:space="preserve">Amendment; termination. </w:t>
      </w:r>
      <w:r>
        <w:rPr>
          <w:rFonts w:ascii="Arial" w:cs="Arial" w:eastAsia="Arial" w:hAnsi="Arial"/>
          <w:sz w:val="17"/>
          <w:szCs w:val="17"/>
          <w:color w:val="auto"/>
        </w:rPr>
        <w:t>The board will have the authority suspend or terminate our ESPP and the administrator will have the authority to amend</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except that, subject to certain exceptions described in our ESPP, no such action may adversely affect any outstanding rights to purchase shares of our common stock under our ESPP. Our ESPP automatically will terminate in 2041, unless we terminate it sooner.</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2016 Equity Incentive Plan</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Our Amended and Restated 2016 Equity Incentive Plan (2016 Plan) allows 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including employees and consultants of any of our parent or subsidiary companies. One business day prior to the effectiveness of the registration statement of which this prospectus forms a part, our 2016 Plan terminated and we will not grant any additional awards under our 2016 Plan. However, our 2016 Plan will continue to govern the terms and conditions of the outstanding awards previously granted under our 2016 Plan.</w:t>
      </w:r>
    </w:p>
    <w:p>
      <w:pPr>
        <w:spacing w:after="0" w:line="17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As of March 31, 2021, stock options covering 1,727,968 shares of our common stock were outstanding under our 2016 Plan and there were no stock appreciation rights, restricted stock awards or restricted stock units outstanding under our 2016 Plan.</w:t>
      </w:r>
    </w:p>
    <w:p>
      <w:pPr>
        <w:spacing w:after="0" w:line="170"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compensation committee has the authority, concurrent with our board of directors to administer our 2016 Plan. Different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may administer our 2016 Plan with respect to different service providers. The administrator has all authority and discretion necessary or appropriate to administer our 2016 Plan and to control its operation, including the authority to construe and interpret the terms of our 2016 Plan and the awards granted under our 2016 Plan. The administrator’s decisions are final and binding on all participants and any other persons holding awards.</w:t>
      </w:r>
    </w:p>
    <w:p>
      <w:pPr>
        <w:spacing w:after="0" w:line="15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administrator’s powers include the power to institute an exchange program (without stockholder approval) under which (1) outstanding awards are surrendered or cancelled in exchange for awards of the same type (which may have higher or lower exercise prices and different terms), awards of a different type and/or cash, (2) participants would have the opportunity to transfer any outstanding awards to a financial institution or other person or entity selected by the administrator and/or (3) the exercise price of an outstanding award is increased or reduced. The administrator’s powers also include the power to prescribe, amend and rescind rules and regulations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relating to our 2016 Plan, to modify or amend each award and to make all other determinations deemed necessary or advisable for administering our 2016 Plan.</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directors and consultants, including employees and consultants of any of our parent or subsidiary companies, are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awards, provided such consultants render bona fide services not in connection with the offer or sale of securities in a capital-raising transaction and do not directly promote or maintain a market for our securities. Only our employees or employees of our parent or subsidiary companies are eligible to receive incentive stock options.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have been granted under our 2016 Plan. Subject to the provisions of our 2016 Plan, the administrator determines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an option, the number of shares subject to an option, and the time period in which an option may be exercised.</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except as provided for in the 2016 Plan. However, an incentive stock option granted to an individual who directly or by attribution owns more than 10% of the total combined voting power of all of our classes of stock or of any our parent or subsidiary companies will have a term of no longer than five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plans of ours and any of our parent or subsidiary companies) exceeds $100,000, such options will be treated as nonstatutory stock options.</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administrator determines how a participant may pay the exercise price of an option, and the permissible methods are generally set forth in the applicable award agreement. If a participant’s status as a “service provider” (as defined in our 2016 Plan) terminates, that participant may exercise the vested portion of his or her option for the period of time stated in the applicable award agreement. Vested options generally will remain exercisable for 30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81" w:lineRule="exact"/>
        <w:rPr>
          <w:sz w:val="20"/>
          <w:szCs w:val="20"/>
          <w:color w:val="auto"/>
        </w:rPr>
      </w:pPr>
    </w:p>
    <w:p>
      <w:pPr>
        <w:ind w:left="120" w:right="500" w:firstLine="440"/>
        <w:spacing w:after="0" w:line="257"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determined otherwise by the administrator, awards may not be sold, transferred, pledged, assigned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alienated or hypothecated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or (3) as permitted by Rule 701 of the Securities Act of 1933, as amended (the Securities Act).</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If there is a dividend or other distribution (whether in the form of cash, shares, other securities or other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class of shares that may be delivered under our 2016 Plan or the number, class and price of shares covered by each outstanding award. The administrator’s determination regarding such adjustments will be final, binding and conclusive.</w:t>
      </w:r>
    </w:p>
    <w:p>
      <w:pPr>
        <w:spacing w:after="0" w:line="17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dissolution or liquidation, the administrator will notify each participant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prior to the effective date of such proposed transaction. To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080"/>
          </w:cols>
          <w:pgMar w:left="320" w:top="459" w:right="4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extent it has not been previously exercised, an award will terminate immediately prior to the consummation of such proposed action.</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Merger and change in control</w:t>
      </w:r>
      <w:r>
        <w:rPr>
          <w:rFonts w:ascii="Arial" w:cs="Arial" w:eastAsia="Arial" w:hAnsi="Arial"/>
          <w:sz w:val="17"/>
          <w:szCs w:val="17"/>
          <w:color w:val="auto"/>
        </w:rPr>
        <w:t>. In the event of our merger with or into another corporation or entity or a “change in control” (as defined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2016 Plan), each outstanding award will be treated as the administrator determines, including, without limitation, that (1) awards will be assumed, or substantially equivalent awards will be substituted, by the acquiring or succeeding corporation (or an affiliate thereof) with appropriate adjustments as to the number and kind of shares and prices; (2) upon written notice to a participant, the participant’s awards will terminate upon or immediately prior to the consummation of such merger or change in control; (3)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(4)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(5) any combination of the foregoing. The administrator will not be obligated to treat all awards, all awards a participant holds or all awards of the same type, similarly.</w:t>
      </w:r>
    </w:p>
    <w:p>
      <w:pPr>
        <w:spacing w:after="0" w:line="18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6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Our board of directors may, at any time, amend, alter, suspend or terminate our 2016 Plan in any respect,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limitation, amendment of any form of award agreement or instrument to be executed pursuant to our 2016 Plan. To the extent necessary and desirable to comply with applicable laws, we will obtain stockholder approval of any amendment to our 2016 Plan. No amendment, alteration, suspension or termination of our 2016 Plan will impair the rights of a participant, unless mutually agreed otherwise between the participant and the administrator in writing. As noted above, one business day prior to the effectiveness of the registration statement of which this prospectus forms a part, our 2016 Plan terminated, and we will not grant any additional awards under our 2016 Plan thereafter.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21" w:lineRule="exact"/>
        <w:rPr>
          <w:sz w:val="20"/>
          <w:szCs w:val="20"/>
          <w:color w:val="auto"/>
        </w:rPr>
      </w:pPr>
    </w:p>
    <w:p>
      <w:pPr>
        <w:ind w:left="120" w:right="800" w:firstLine="440"/>
        <w:spacing w:after="0" w:line="311" w:lineRule="auto"/>
        <w:rPr>
          <w:sz w:val="20"/>
          <w:szCs w:val="20"/>
          <w:color w:val="auto"/>
        </w:rPr>
      </w:pPr>
      <w:r>
        <w:rPr>
          <w:rFonts w:ascii="Arial" w:cs="Arial" w:eastAsia="Arial" w:hAnsi="Arial"/>
          <w:sz w:val="16"/>
          <w:szCs w:val="16"/>
          <w:color w:val="auto"/>
        </w:rPr>
        <w:t>In June 2021, our board of directors adopted the Executive Incentive Compensation Plan (Incentive Compensation Plan). Our Incentive Compensation Plan allows our compensation committee to grant incentive awards, generally payable in cash, to employees selected by our compensation committee, including our executive officers, based upon performance goals established by our compensation committee.</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Under our Incentive Compensation Plan, our compensation committee will determine the performance goals applicable to any award, which goals may include, without limitation, goals related to research and development, regulatory milestones or regulatory-related goals, gross margin, financial milestones, new product or business development, operating margin, product release timelines or other product release milestones, publications, cash</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86" w:lineRule="auto"/>
        <w:rPr>
          <w:sz w:val="20"/>
          <w:szCs w:val="20"/>
          <w:color w:val="auto"/>
        </w:rPr>
      </w:pPr>
      <w:r>
        <w:rPr>
          <w:rFonts w:ascii="Arial" w:cs="Arial" w:eastAsia="Arial" w:hAnsi="Arial"/>
          <w:sz w:val="17"/>
          <w:szCs w:val="17"/>
          <w:color w:val="auto"/>
        </w:rPr>
        <w:t>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w:t>
      </w:r>
    </w:p>
    <w:p>
      <w:pPr>
        <w:spacing w:after="0" w:line="16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compensation committee of our board of directors will administer our Incentive Compensation Plan and will,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will not be required to establish any allocation or weighting with respect to the factors it considers.</w:t>
      </w:r>
    </w:p>
    <w:p>
      <w:pPr>
        <w:spacing w:after="0" w:line="17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Actual awards generally will be paid in cash (or its equivalent) only after they are earned, and, unless otherwise determined by the administrator, to earn an actual award a participant must be employed by us through the date the actual award is paid. The compensation committee may reserve the right to settle an actual award with a grant of an equity award under our then-current equity compensation plan, which equity award may have such terms and conditions, including vesting, as the compensation committee determines. Payment of awards will occur as soon as practicable after they are earned, but no later than the dates set forth in our Incentive Compensation Plan.</w:t>
      </w:r>
    </w:p>
    <w:p>
      <w:pPr>
        <w:spacing w:after="0" w:line="17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board of directors and our compensation committee have the authority to amend, suspend or terminate our Incentive Compensation Plan, provided such action does not impair the existing rights of any participant with respect to any earned awards.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each to be effective upon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54"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7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080"/>
          </w:cols>
          <w:pgMar w:left="320" w:top="459"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060"/>
          </w:cols>
          <w:pgMar w:left="320" w:top="459" w:right="5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92"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1080" w:right="200" w:hanging="532"/>
        <w:spacing w:after="0" w:line="342"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 Issuances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August 2019, March 2020 and August 2020, we issued and sold an aggregate of 9,259,245 shares of our Series B convertible preferred stock at a purchase price of $9.936 per share for an aggregate purchase price of approximately $92.0 million.</w:t>
      </w:r>
    </w:p>
    <w:p>
      <w:pPr>
        <w:spacing w:after="0" w:line="170"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Purchasers of our Series B convertible preferred stock include venture capital funds that beneficially own more than 5% of our outstanding capital stock and/or are represented on our board of directors. The following table presents the number of shares and total purchase price paid by these entities.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Shares of Series B</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49"/>
        </w:trPr>
        <w:tc>
          <w:tcPr>
            <w:tcW w:w="8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w:t>
            </w: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140" w:type="dxa"/>
            <w:vAlign w:val="bottom"/>
            <w:gridSpan w:val="2"/>
            <w:vMerge w:val="continue"/>
          </w:tcPr>
          <w:p>
            <w:pPr>
              <w:spacing w:after="0"/>
              <w:rPr>
                <w:sz w:val="13"/>
                <w:szCs w:val="13"/>
                <w:color w:val="auto"/>
              </w:rPr>
            </w:pPr>
          </w:p>
        </w:tc>
        <w:tc>
          <w:tcPr>
            <w:tcW w:w="16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20" w:type="dxa"/>
            <w:vAlign w:val="bottom"/>
          </w:tcPr>
          <w:p>
            <w:pPr>
              <w:spacing w:after="0"/>
              <w:rPr>
                <w:sz w:val="13"/>
                <w:szCs w:val="13"/>
                <w:color w:val="auto"/>
              </w:rPr>
            </w:pPr>
          </w:p>
        </w:tc>
        <w:tc>
          <w:tcPr>
            <w:tcW w:w="11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Casdin Partners Master Fund, L.P.(1)</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2,012,880</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19,999,995.55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SymBiosis II, LLC</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1,509,660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14,999,996.66</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The Column Group(2)</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1,006,440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9,999,997.78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560" w:hanging="424"/>
        <w:spacing w:after="0" w:line="258"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Eli Casdin, a member of our board of directors is the Chief Investment Officer of Casdin Capital LLC and the managing member of Casdin Partners GP, LLC.</w:t>
      </w:r>
    </w:p>
    <w:p>
      <w:pPr>
        <w:spacing w:after="0" w:line="1" w:lineRule="exact"/>
        <w:rPr>
          <w:rFonts w:ascii="Arial" w:cs="Arial" w:eastAsia="Arial" w:hAnsi="Arial"/>
          <w:sz w:val="18"/>
          <w:szCs w:val="18"/>
          <w:color w:val="auto"/>
        </w:rPr>
      </w:pPr>
    </w:p>
    <w:p>
      <w:pPr>
        <w:jc w:val="both"/>
        <w:ind w:left="540" w:right="160" w:hanging="424"/>
        <w:spacing w:after="0" w:line="277" w:lineRule="auto"/>
        <w:tabs>
          <w:tab w:leader="none" w:pos="5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Entities affiliated with The Column Group holding our securities are aggregated for reporting ownership information include The Column Group III, LP and The Column Group III-A, LP. David V. Goeddel, a member of our board of directors, is the Managing Partner of The Column Group, and JeenJoo (JJ) Kang, a member of our board of directors, is a Venture Partner of The Column Group.</w:t>
      </w:r>
    </w:p>
    <w:p>
      <w:pPr>
        <w:spacing w:after="0" w:line="173"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In December 2020 and January 2021, we issued and sold an aggregate of 8,526,371 shares of our Series C convertible preferred stock at a purchase price of $12.432 per share for an aggregate purchase price of approximately $106.0 million.</w:t>
      </w:r>
    </w:p>
    <w:p>
      <w:pPr>
        <w:spacing w:after="0" w:line="170"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Purchasers of our Series C convertible preferred stock include venture capital funds that beneficially own more than 5% of our outstanding capital stock and/or are represented on our board of directors. The following table presents the number of shares and total purchase price paid by these entities.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Shares of Series C</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w:t>
            </w:r>
          </w:p>
        </w:tc>
        <w:tc>
          <w:tcPr>
            <w:tcW w:w="378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60" w:type="dxa"/>
            <w:vAlign w:val="bottom"/>
            <w:gridSpan w:val="2"/>
            <w:vMerge w:val="continue"/>
          </w:tcPr>
          <w:p>
            <w:pPr>
              <w:spacing w:after="0"/>
              <w:rPr>
                <w:sz w:val="13"/>
                <w:szCs w:val="13"/>
                <w:color w:val="auto"/>
              </w:rPr>
            </w:pPr>
          </w:p>
        </w:tc>
        <w:tc>
          <w:tcPr>
            <w:tcW w:w="3780" w:type="dxa"/>
            <w:vAlign w:val="bottom"/>
          </w:tcPr>
          <w:p>
            <w:pPr>
              <w:spacing w:after="0"/>
              <w:rPr>
                <w:sz w:val="13"/>
                <w:szCs w:val="13"/>
                <w:color w:val="auto"/>
              </w:rPr>
            </w:pPr>
          </w:p>
        </w:tc>
        <w:tc>
          <w:tcPr>
            <w:tcW w:w="16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20" w:type="dxa"/>
            <w:vAlign w:val="bottom"/>
          </w:tcPr>
          <w:p>
            <w:pPr>
              <w:spacing w:after="0"/>
              <w:rPr>
                <w:sz w:val="13"/>
                <w:szCs w:val="13"/>
                <w:color w:val="auto"/>
              </w:rPr>
            </w:pPr>
          </w:p>
        </w:tc>
        <w:tc>
          <w:tcPr>
            <w:tcW w:w="11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Funds affiliated with Casdin Capital LLC(1)</w:t>
            </w:r>
          </w:p>
        </w:tc>
        <w:tc>
          <w:tcPr>
            <w:tcW w:w="37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723,938</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8,999,999.29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Funds affiliated with FMR LLC(2)</w:t>
            </w:r>
          </w:p>
        </w:tc>
        <w:tc>
          <w:tcPr>
            <w:tcW w:w="5400" w:type="dxa"/>
            <w:vAlign w:val="bottom"/>
            <w:gridSpan w:val="3"/>
          </w:tcPr>
          <w:p>
            <w:pPr>
              <w:jc w:val="right"/>
              <w:ind w:right="480"/>
              <w:spacing w:after="0"/>
              <w:rPr>
                <w:sz w:val="20"/>
                <w:szCs w:val="20"/>
                <w:color w:val="auto"/>
              </w:rPr>
            </w:pPr>
            <w:r>
              <w:rPr>
                <w:rFonts w:ascii="Arial" w:cs="Arial" w:eastAsia="Arial" w:hAnsi="Arial"/>
                <w:sz w:val="18"/>
                <w:szCs w:val="18"/>
                <w:color w:val="auto"/>
              </w:rPr>
              <w:t>1,608,750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19,999,998.65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RTW Investments, LP(3)</w:t>
            </w:r>
          </w:p>
        </w:tc>
        <w:tc>
          <w:tcPr>
            <w:tcW w:w="5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1,608,750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19,999,998.65</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SymBiosis II, LLC</w:t>
            </w:r>
          </w:p>
        </w:tc>
        <w:tc>
          <w:tcPr>
            <w:tcW w:w="5400" w:type="dxa"/>
            <w:vAlign w:val="bottom"/>
            <w:gridSpan w:val="3"/>
          </w:tcPr>
          <w:p>
            <w:pPr>
              <w:jc w:val="right"/>
              <w:ind w:right="480"/>
              <w:spacing w:after="0"/>
              <w:rPr>
                <w:sz w:val="20"/>
                <w:szCs w:val="20"/>
                <w:color w:val="auto"/>
              </w:rPr>
            </w:pPr>
            <w:r>
              <w:rPr>
                <w:rFonts w:ascii="Arial" w:cs="Arial" w:eastAsia="Arial" w:hAnsi="Arial"/>
                <w:sz w:val="18"/>
                <w:szCs w:val="18"/>
                <w:color w:val="auto"/>
              </w:rPr>
              <w:t>482,625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5,999,998.14</w:t>
            </w:r>
          </w:p>
        </w:tc>
        <w:tc>
          <w:tcPr>
            <w:tcW w:w="0" w:type="dxa"/>
            <w:vAlign w:val="bottom"/>
          </w:tcPr>
          <w:p>
            <w:pPr>
              <w:spacing w:after="0"/>
              <w:rPr>
                <w:sz w:val="1"/>
                <w:szCs w:val="1"/>
                <w:color w:val="auto"/>
              </w:rPr>
            </w:pPr>
          </w:p>
        </w:tc>
      </w:tr>
      <w:tr>
        <w:trPr>
          <w:trHeight w:val="350"/>
        </w:trPr>
        <w:tc>
          <w:tcPr>
            <w:tcW w:w="5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80" w:type="dxa"/>
            <w:vAlign w:val="bottom"/>
          </w:tcPr>
          <w:p>
            <w:pPr>
              <w:jc w:val="right"/>
              <w:ind w:right="2410"/>
              <w:spacing w:after="0"/>
              <w:rPr>
                <w:sz w:val="20"/>
                <w:szCs w:val="20"/>
                <w:color w:val="auto"/>
              </w:rPr>
            </w:pPr>
            <w:r>
              <w:rPr>
                <w:rFonts w:ascii="Arial" w:cs="Arial" w:eastAsia="Arial" w:hAnsi="Arial"/>
                <w:sz w:val="18"/>
                <w:szCs w:val="18"/>
                <w:color w:val="auto"/>
              </w:rPr>
              <w:t>231</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80" w:hanging="424"/>
        <w:spacing w:after="0" w:line="255"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Entities affiliated with Casdin Capital LLC holding our securities are aggregated for reporting ownership information include Casdin Partners Master Fund, L.P. and Casdin Private Growth Equity Fund, L.P. Eli Casdin, a member of our board of directors is the Chief Investment Officer of Casdin Capital LLC and the managing member of Casdin Partners GP, LLC.</w:t>
      </w:r>
    </w:p>
    <w:p>
      <w:pPr>
        <w:spacing w:after="0" w:line="2" w:lineRule="exact"/>
        <w:rPr>
          <w:rFonts w:ascii="Arial" w:cs="Arial" w:eastAsia="Arial" w:hAnsi="Arial"/>
          <w:sz w:val="18"/>
          <w:szCs w:val="18"/>
          <w:color w:val="auto"/>
        </w:rPr>
      </w:pPr>
    </w:p>
    <w:p>
      <w:pPr>
        <w:ind w:left="540" w:right="440" w:hanging="424"/>
        <w:spacing w:after="0" w:line="250"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Entities affiliated with Fidelity holding our securities are aggregate for reporting ownership information include Fidelity Advisor Series VII: Fidelity Advisor Biotechnology Fund and Fidelity Select Portfolios: Biotechnology Portfolio.</w:t>
      </w:r>
    </w:p>
    <w:p>
      <w:pPr>
        <w:ind w:left="540" w:right="200" w:hanging="424"/>
        <w:spacing w:after="0" w:line="260"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Entities affiliated with RTW Investments, LP holding our securities are aggregate for reporting ownership information include RTW Innovation Master Fund, Ltd., RTW Master Fund, Ltd., and RTW Venture Fund Limited.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On September 13, 2017, we entered into a full recourse note (the Note) with Timothy Hoey, Ph.D., our Chief Scientific Officer, pursuant to which we loaned $70,000 to cover the aggregate exercise price of Dr. Hoey’s early exercise stock option for 166,666 shares of our common stock. On June 30, 2021, the full amount of the Note was repaid.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party to an investors’ rights agreement, as amended, with certain holders of our capital stock, including entities affiliated with The Column Group III, LP, The Column Group III-A, LP, Casdin Partners Master Fund, L.P., Casdin Private Growth Equity Fund, L.P., Fidelity Advisor Series VII: Fidelity Advisor Biotechnology Fund, Fidelity Select Portfolios: Biotechnology Portfolio, RTW Master Fund, Ltd., RTW Innovation Master Fund, Ltd. and RTW Venture Fund Limited, and SymBiosis II, LLC,. Under our investors’ rights agreement, among other things,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We are party to a voting agreement, as amended, with certain holders of our capital stock, including entities affiliated with The Column Group III, LP, The Column Group III-A, LP, Casdin Partners Master Fund, L.P., Casdin Private Growth Equity Fund, L.P., Fidelity Advisor Series VII: Fidelity Advisor Biotechnology Fund, Fidelity Select Portfolios: Biotechnology Portfolio, RTW Master Fund, Ltd., RTW Innovation Master Fund, Ltd. and RTW Venture Fund Limited, SymBiosis II, LLC, JeenJoo (JJ) Kang, a member of our board directors, and Deepak Srivastava, a member of our board of directors. The parties to the voting agreement have agreed, among other things and subject to certain conditions, to vote the shares of our capital stock held by them so as to elect the following individuals as directors: (1) two individuals designated by The Column Group III, LP and/or The Column Group III-A, LP, currently JeenJoo (JJ) Kang and David V. Goeddel, (2) one individual designated by Casdin Master Fund L.P., currently Eli Casdin,</w:t>
      </w:r>
    </w:p>
    <w:p>
      <w:pPr>
        <w:spacing w:after="0" w:line="2" w:lineRule="exact"/>
        <w:rPr>
          <w:sz w:val="20"/>
          <w:szCs w:val="20"/>
          <w:color w:val="auto"/>
        </w:rPr>
      </w:pPr>
    </w:p>
    <w:p>
      <w:pPr>
        <w:ind w:left="120" w:right="20" w:hanging="4"/>
        <w:spacing w:after="0" w:line="288" w:lineRule="auto"/>
        <w:tabs>
          <w:tab w:leader="none" w:pos="37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our chief executive officer, currently Faraz Ali, and (4) five individuals designated by the holders of a majority the outstanding shares of common stock and preferred stock (voting together as a single class on an as-converted basis), currently Deepak Srivastava, R. Sanders (Sandy) Williams, Jin-Long Chen, Jeffrey T. Walsh, and Catherine Stehman-Breen. Upon the consummation of this offering, the obligations of the parties to the voting agreement to vote their shares so as to elect these nominees, as well as the other rights and obligations under the voting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at the closing of this offering.</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entered into separate indemnification agreements with each of our directors and executive officers, in addition to the indemnification provided for in our amended and restated certificate of incorporation and bylaws. The indemnification agreements and our amended restated certificate of incorporation and bylaws that will be in effect upon the closing of this offering require us to indemnify our directors, executive officers and certain controlling persons to the fullest extent permitted by Delaware law. See the section titled “Executive Compensation—Limitation of Liability and Indemnification” for additional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June 2021, our board of directors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020"/>
          </w:cols>
          <w:pgMar w:left="320" w:top="459" w:right="5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beneficial ownership of our common stock as of June 30, 2021 by:</w:t>
      </w:r>
    </w:p>
    <w:p>
      <w:pPr>
        <w:spacing w:after="0" w:line="131"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88"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have based our calculation of the percentage of beneficial ownership prior to this offering on 27,324,920 shares of our common stock outstanding as of June 30, 2021, after giving effect to the automatic conversion of all outstanding shares of our convertible preferred stock into 26,102,278 shares of our common stock immediately prior to the completion of this offering. We have based our calculation of the percentage of beneficial ownership after this offering on 39,324,920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June 30, 2021,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7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table does not reflect any potential purchases by our executive officers, directors, their affiliated entities or holders of more than 5% of our common stock in this offering. If any shares are purchased by these persons or entities, the number and percentage of shares of our common stock beneficially owned by them after this offering will differ from the amounts set forth in the following table.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Tenaya Therapeutics, Inc., 171 Oyster Point Boulevard, 5th Floor, South San Francisco, CA 94080.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Shares Beneficially</w:t>
            </w:r>
          </w:p>
        </w:tc>
        <w:tc>
          <w:tcPr>
            <w:tcW w:w="2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20" w:type="dxa"/>
            <w:vAlign w:val="bottom"/>
            <w:gridSpan w:val="2"/>
          </w:tcPr>
          <w:p>
            <w:pPr>
              <w:jc w:val="center"/>
              <w:ind w:left="613"/>
              <w:spacing w:after="0" w:line="149" w:lineRule="exact"/>
              <w:rPr>
                <w:sz w:val="20"/>
                <w:szCs w:val="20"/>
                <w:color w:val="auto"/>
              </w:rPr>
            </w:pPr>
            <w:r>
              <w:rPr>
                <w:rFonts w:ascii="Arial" w:cs="Arial" w:eastAsia="Arial" w:hAnsi="Arial"/>
                <w:sz w:val="14"/>
                <w:szCs w:val="14"/>
                <w:b w:val="1"/>
                <w:bCs w:val="1"/>
                <w:color w:val="auto"/>
                <w:w w:val="94"/>
              </w:rPr>
              <w:t>Owned</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left="613"/>
              <w:spacing w:after="0" w:line="149" w:lineRule="exact"/>
              <w:rPr>
                <w:sz w:val="20"/>
                <w:szCs w:val="20"/>
                <w:color w:val="auto"/>
              </w:rPr>
            </w:pPr>
            <w:r>
              <w:rPr>
                <w:rFonts w:ascii="Arial" w:cs="Arial" w:eastAsia="Arial" w:hAnsi="Arial"/>
                <w:sz w:val="14"/>
                <w:szCs w:val="14"/>
                <w:b w:val="1"/>
                <w:bCs w:val="1"/>
                <w:color w:val="auto"/>
                <w:w w:val="94"/>
              </w:rPr>
              <w:t>Owned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880" w:type="dxa"/>
            <w:vAlign w:val="bottom"/>
            <w:vMerge w:val="restart"/>
          </w:tcPr>
          <w:p>
            <w:pPr>
              <w:spacing w:after="0"/>
              <w:rPr>
                <w:sz w:val="14"/>
                <w:szCs w:val="14"/>
                <w:color w:val="auto"/>
              </w:rPr>
            </w:pPr>
          </w:p>
        </w:tc>
        <w:tc>
          <w:tcPr>
            <w:tcW w:w="24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4"/>
              </w:rPr>
              <w:t>Prior to this Offering</w:t>
            </w:r>
          </w:p>
        </w:tc>
        <w:tc>
          <w:tcPr>
            <w:tcW w:w="2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After this Offering</w:t>
            </w:r>
          </w:p>
        </w:tc>
        <w:tc>
          <w:tcPr>
            <w:tcW w:w="0" w:type="dxa"/>
            <w:vAlign w:val="bottom"/>
          </w:tcPr>
          <w:p>
            <w:pPr>
              <w:spacing w:after="0"/>
              <w:rPr>
                <w:sz w:val="1"/>
                <w:szCs w:val="1"/>
                <w:color w:val="auto"/>
              </w:rPr>
            </w:pPr>
          </w:p>
        </w:tc>
      </w:tr>
      <w:tr>
        <w:trPr>
          <w:trHeight w:val="148"/>
        </w:trPr>
        <w:tc>
          <w:tcPr>
            <w:tcW w:w="1620" w:type="dxa"/>
            <w:vAlign w:val="bottom"/>
            <w:tcBorders>
              <w:bottom w:val="single" w:sz="8" w:color="auto"/>
            </w:tcBorders>
            <w:vMerge w:val="continue"/>
          </w:tcPr>
          <w:p>
            <w:pPr>
              <w:spacing w:after="0"/>
              <w:rPr>
                <w:sz w:val="12"/>
                <w:szCs w:val="12"/>
                <w:color w:val="auto"/>
              </w:rPr>
            </w:pPr>
          </w:p>
        </w:tc>
        <w:tc>
          <w:tcPr>
            <w:tcW w:w="4880" w:type="dxa"/>
            <w:vAlign w:val="bottom"/>
            <w:vMerge w:val="continue"/>
          </w:tcPr>
          <w:p>
            <w:pPr>
              <w:spacing w:after="0"/>
              <w:rPr>
                <w:sz w:val="12"/>
                <w:szCs w:val="12"/>
                <w:color w:val="auto"/>
              </w:rPr>
            </w:pPr>
          </w:p>
        </w:tc>
        <w:tc>
          <w:tcPr>
            <w:tcW w:w="122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7"/>
              </w:rPr>
              <w:t>Percentage</w:t>
            </w:r>
          </w:p>
        </w:tc>
        <w:tc>
          <w:tcPr>
            <w:tcW w:w="500" w:type="dxa"/>
            <w:vAlign w:val="bottom"/>
          </w:tcPr>
          <w:p>
            <w:pPr>
              <w:spacing w:after="0"/>
              <w:rPr>
                <w:sz w:val="12"/>
                <w:szCs w:val="12"/>
                <w:color w:val="auto"/>
              </w:rPr>
            </w:pPr>
          </w:p>
        </w:tc>
        <w:tc>
          <w:tcPr>
            <w:tcW w:w="122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7"/>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5% or Greater Stockholders:</w:t>
            </w: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Entities affiliated with The Column Group(1)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9,400,290</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34.4%</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9,400,290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Casdin Group(2)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2,736,818</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2,736,818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SymBiosis II, LLC(3)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1,992,285</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7.3</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1,992,285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LLC(4)</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1,608,750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1,608,750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Entities affiliated with RTW(5)</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1,608,750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5.9</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1,608,750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Faraz Ali, M.B.A.(6)</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507,462</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1.8</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507,462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Hoey, Ph.D.(7)</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206,178</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206,178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Whittemore (Whit) Tingley, M.D., Ph.D.(8)</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83,263</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83,263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Casdin, M.B.A.(2)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2,736,818</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2,736,818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Jin-Long Chen, Ph.D.(9)</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30,000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30,000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V. Goeddel, Ph.D.(1)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9,400,290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34.4</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9,400,290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JeenJoo (JJ) Kang, Ph.D.(10)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25,000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Catherine Stehman-Breen, M.D.(11)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Deepak Srivastava, M.D.(12)</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334,721</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334,721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T. Walsh, M.B.A.(13)</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12,291</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12,291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R. Sanders (Sandy) Williams, M.D.(14)</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29,999</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29,999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All executive officers and directors as a group (12 persons)(15)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13,374,772</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13,374,772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shares of our common stock.</w:t>
      </w:r>
    </w:p>
    <w:p>
      <w:pPr>
        <w:spacing w:after="0" w:line="23" w:lineRule="exact"/>
        <w:rPr>
          <w:sz w:val="20"/>
          <w:szCs w:val="20"/>
          <w:color w:val="auto"/>
        </w:rPr>
      </w:pPr>
    </w:p>
    <w:p>
      <w:pPr>
        <w:ind w:left="540" w:right="60" w:hanging="424"/>
        <w:spacing w:after="0" w:line="250"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Consists of 4,414,720 shares held directly by The Column Group III, LP and 4,985,570 shares held directly by The Column Group III-A, LP (Column Group Funds). The Column Group III GP, LP (TCG III GP) is the general partner of each of the Column Group Funds. The managing partners of TCG III GP are David V. Goeddel, Peter Svennilson and Tim Kutzkey who may be deemed to share voting and investment power with respect to the shares, and each of whom disclaim beneficial ownership of the shares held by the Column Group Funds except to the extent of their pecuniary interests therein, if any. Dr. Goeddel is a member of our board of directors. The address of the Column Group Funds is 1 Letterman Drive, Building D, Suite DM-900, San Francisco, CA 94129.</w:t>
      </w:r>
    </w:p>
    <w:p>
      <w:pPr>
        <w:spacing w:after="0" w:line="2"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Consists of 2,374,849 shares held directly by Casdin Partners Master Fund, L.P. (CPMF) and 361,969 shares held directly by Casdin Private Growth Equity Fund, L.P. (CPGEF). Casdin Capital, LLC is the investment advisor to CPMF and CPGEF. Casdin Partners GP, LLC is the general partner of CPMF. Casdin Private Growth Equity Fund GP, LLC is the general partner of CPGEF. Eli Casdin, a member of our board of directors, is the managing member of Casdin Capital, LLC, Casdin Partners GP, LLC and Casdin Private Growth Equity Fund GP, LLC and may be deemed to have voting and investment power with respect to the shares and who disclaims beneficial ownership of the shares except to the extent of his pecuniary interests therein, if any. The address of these entities and individuals is 1350 Avenue of the Americas, Suite 2600, New York, NY 10019.</w:t>
      </w:r>
    </w:p>
    <w:p>
      <w:pPr>
        <w:spacing w:after="0" w:line="2" w:lineRule="exact"/>
        <w:rPr>
          <w:rFonts w:ascii="Arial" w:cs="Arial" w:eastAsia="Arial" w:hAnsi="Arial"/>
          <w:sz w:val="18"/>
          <w:szCs w:val="18"/>
          <w:color w:val="auto"/>
        </w:rPr>
      </w:pPr>
    </w:p>
    <w:p>
      <w:pPr>
        <w:ind w:left="540" w:right="600" w:hanging="424"/>
        <w:spacing w:after="0" w:line="250"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These shares are beneficially owned by Thomas Layton Walton. The shares are directly held by SymBiosis II, LLC over which Mr. Walton exercises sole investment power. The address of Mr. Walton is PO Box 1860, Bentonville, AR 72712.</w:t>
      </w:r>
    </w:p>
    <w:p>
      <w:pPr>
        <w:ind w:left="540" w:hanging="424"/>
        <w:spacing w:after="0"/>
        <w:tabs>
          <w:tab w:leader="none" w:pos="5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Consists of 402,187 shares held by Fidelity Advisor Series VII: Advisor Biotechnology Fund (Advisor Series VII) and 1,206,563 shares held</w:t>
      </w:r>
    </w:p>
    <w:p>
      <w:pPr>
        <w:spacing w:after="0" w:line="20" w:lineRule="exact"/>
        <w:rPr>
          <w:rFonts w:ascii="Arial" w:cs="Arial" w:eastAsia="Arial" w:hAnsi="Arial"/>
          <w:sz w:val="17"/>
          <w:szCs w:val="17"/>
          <w:color w:val="auto"/>
        </w:rPr>
      </w:pPr>
    </w:p>
    <w:p>
      <w:pPr>
        <w:ind w:left="540" w:right="60"/>
        <w:spacing w:after="0" w:line="323" w:lineRule="auto"/>
        <w:rPr>
          <w:rFonts w:ascii="Arial" w:cs="Arial" w:eastAsia="Arial" w:hAnsi="Arial"/>
          <w:sz w:val="17"/>
          <w:szCs w:val="17"/>
          <w:color w:val="auto"/>
        </w:rPr>
      </w:pPr>
      <w:r>
        <w:rPr>
          <w:rFonts w:ascii="Arial" w:cs="Arial" w:eastAsia="Arial" w:hAnsi="Arial"/>
          <w:sz w:val="16"/>
          <w:szCs w:val="16"/>
          <w:color w:val="auto"/>
        </w:rPr>
        <w:t>directly by Fidelity Select Portfolios: Biotechnology Portfolio (Select Portfolios). These accounts are managed by direct or indirect subsidiaries of FMR LLC. Abigail P. Johnson is a director, the chairman, the chief executive officer and president of FMR LLC. Members of the Johnson</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66" w:lineRule="auto"/>
        <w:rPr>
          <w:sz w:val="20"/>
          <w:szCs w:val="20"/>
          <w:color w:val="auto"/>
        </w:rPr>
      </w:pPr>
      <w:r>
        <w:rPr>
          <w:rFonts w:ascii="Arial" w:cs="Arial" w:eastAsia="Arial" w:hAnsi="Arial"/>
          <w:sz w:val="17"/>
          <w:szCs w:val="17"/>
          <w:color w:val="auto"/>
        </w:rPr>
        <w:t>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(the Fidelity Funds) advised by Fidelity Management &amp; Research Company (FMR Co.), a wholly owned subsidiary of FMR LLC, which power resides with the Fidelity Funds’ Board of Trustees. FMR Co. carries out the voting of the shares under written guidelines established by the Fidelity Funds’ Board of Trustees. The address of FMR LLC is 245 Summer Street, Boston, MA 02210.</w:t>
      </w:r>
    </w:p>
    <w:p>
      <w:pPr>
        <w:spacing w:after="0" w:line="8" w:lineRule="exact"/>
        <w:rPr>
          <w:sz w:val="20"/>
          <w:szCs w:val="20"/>
          <w:color w:val="auto"/>
        </w:rPr>
      </w:pPr>
    </w:p>
    <w:p>
      <w:pPr>
        <w:ind w:left="540" w:hanging="424"/>
        <w:spacing w:after="0" w:line="25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Consists of 1,608,750 shares in the aggregate held by RTW Innovation Master Fund, Ltd., RTW Master Fund, Ltd. and RTW Venture Fund Limited. Roderick Wong is the managing partner and chief investment officer of RTW Investments, LP and as such has sole voting and investment control over the shares. Dr. Wong disclaims beneficial ownership of the shares except to the extent of his pecuniary interest therein, if any. The address of the RTW funds is 40 10th Avenue, Floor 7, New York, NY 10014.</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Consists of 507,462 shares subject to outstanding options that are exercisable within 60 days of June 30, 2021, of which 155,833 shares may be repurchased by us, if exercised, at the original exercise price per share.</w:t>
      </w:r>
    </w:p>
    <w:p>
      <w:pPr>
        <w:ind w:left="540" w:right="500" w:hanging="424"/>
        <w:spacing w:after="0" w:line="265" w:lineRule="auto"/>
        <w:tabs>
          <w:tab w:leader="none" w:pos="5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Consists of 166,666 shares held directly by Dr. Hoey and 39,512 shares subject to outstanding options that are exercisable within 60 days of June 30, 2021, of which 11,805 shares may be repurchased by us, if exercised, at the original exercise price per share.</w:t>
      </w:r>
    </w:p>
    <w:p>
      <w:pPr>
        <w:ind w:left="540" w:right="420" w:hanging="424"/>
        <w:spacing w:after="0" w:line="25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Consists of 83,263 shares subject to outstanding options that are exercisable within 60 days of June 30, 2021, of which 25,000 shares may be repurchased by us, if exercised, at the original exercise price per share.</w:t>
      </w: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Includes 5,000 shares subject to outstanding options that are exercisable within 60 days of June 30,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Consists of 25,000 shares held directly by Dr. Kang. Excludes 9,400,290 shares held by The Column Group funds as set forth in footnote</w:t>
      </w:r>
    </w:p>
    <w:p>
      <w:pPr>
        <w:spacing w:after="0" w:line="20"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(1) above for which Dr. Kang has no voting or investment control.</w:t>
      </w:r>
    </w:p>
    <w:p>
      <w:pPr>
        <w:spacing w:after="0" w:line="9" w:lineRule="exact"/>
        <w:rPr>
          <w:rFonts w:ascii="Arial" w:cs="Arial" w:eastAsia="Arial" w:hAnsi="Arial"/>
          <w:sz w:val="17"/>
          <w:szCs w:val="17"/>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Consists of 8,750 shares subject to outstanding options that are exercisable within 60 days of June 30, 2021.</w:t>
      </w:r>
    </w:p>
    <w:p>
      <w:pPr>
        <w:spacing w:after="0" w:line="9" w:lineRule="exact"/>
        <w:rPr>
          <w:rFonts w:ascii="Arial" w:cs="Arial" w:eastAsia="Arial" w:hAnsi="Arial"/>
          <w:sz w:val="18"/>
          <w:szCs w:val="18"/>
          <w:color w:val="auto"/>
        </w:rPr>
      </w:pPr>
    </w:p>
    <w:p>
      <w:pPr>
        <w:jc w:val="both"/>
        <w:ind w:left="540" w:hanging="424"/>
        <w:spacing w:after="0" w:line="281" w:lineRule="auto"/>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Consists of 162,500 shares held directly by Dr. Srivastava and 141,666 shares held directly by Gladstone Institutes for which Dr. Srivastava serves as President and may be deemed to have voting and investment control over the shares. Dr. Srivastava disclaims beneficial ownership of the shares held by Gladstone Institutes. Also includes 30,555 shares subject to outstanding options that are exercisable within 60 days of June 30, 2021.</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Includes 12,291 shares subject to outstanding options that are exercisable within 60 days of June 30,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Consists of 29,999 shares held directly by Dr. Williams.</w:t>
      </w:r>
    </w:p>
    <w:p>
      <w:pPr>
        <w:spacing w:after="0" w:line="9" w:lineRule="exact"/>
        <w:rPr>
          <w:rFonts w:ascii="Arial" w:cs="Arial" w:eastAsia="Arial" w:hAnsi="Arial"/>
          <w:sz w:val="18"/>
          <w:szCs w:val="18"/>
          <w:color w:val="auto"/>
        </w:rPr>
      </w:pPr>
    </w:p>
    <w:p>
      <w:pPr>
        <w:ind w:left="540" w:right="440" w:hanging="424"/>
        <w:spacing w:after="0" w:line="26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Includes 686,833 shares subject to outstanding options that are exercisable within 60 days of June 30, 2021, of which 192,638 shares may be repurchased by us, if exercised, at the original exercise price per share.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Immediately prior to the completion of this offering, upon the filing of our amended and restated certificate of incorporation to be effective upon completion of this offering, our authorized capital stock will consist of 1,000,000,000 shares of common stock, par value $0.0001 per share, and 200,000,000 shares of preferred stock, par value $0.0001 per share.</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Immediately prior to the completion of this offering, all the outstanding shares of our convertible preferred stock will automatically convert into an aggregate of 26,102,278 shares of our common stock.</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Based on 27,324,727 shares of common stock outstanding as of March 31, 2021, and after giving effect to the automatic conversion of all of our outstanding convertible preferred stock into an aggregate of 26,102,278 shares of common stock immediately prior to the completion of this offering and the issuance of 12,000,000 shares of common stock in this offering, there will be 39,324,727 shares of common stock outstanding upon the completion of this offering. As of March 31, 2021, we had 82 stockholders of record.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amended and restated certificate of incorporation and amended and restated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Rights, Preferences and Privileges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Upon the completion of this offering, our board of directors will have the authority, without further action by the stockholders, to issue up to 200,000,000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Upon the completion of this offering, no shares of preferred stock will be outstanding, and we have no present plan to issue any shares of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March 31, 2021, we had outstanding options to purchase an aggregate of 1,727,968 shares of our common stock, with a weighted-average exercise price of $3.06 per share, under our 2016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After the completion of this offering, under our investors’ rights agreement, as amended, the holders of up to 26,102,278 shares of common stock or their transferees, will have the right to require us to register the offer and sale of their shares or to include their shares in any registration statement we file, in each case as described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After the completion of this offering, the holders of up to 26,102,278 shares of our common stock will be entitled to certain demand registration rights. At any time beginning after 180 days following the date hereof, the holders of at least 50% of the shares having registration rights then outstanding can request that we file a registration statement to register the offer and sale of their shares. We are only obligated to effect up to two such registrations. Each such request for registration must cover securities of which the anticipated aggregate gross proceeds, before deducting underwriting discounts and expenses, is at least $10.0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After the completion of this offering, the holders of up to 26,102,278 shares of our common stock will be entitled to certain Form S-3 registration rights. At any time after the completion of this offering when we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eligible to file a registration statement on Form S-3, any holders having these rights then outstanding can request that we register the offer and sale of their shares of our common stock on a registration statement on Form S-3 so long as the request covers securities the anticipated aggregate public offering price of which is at least $1.0 million. These stockholders may make an unlimited number of requests for registration on a registration statement on Form S-3. However, we will not be required to effect a registration on Form S-3 if we have effected two such registrations within the twelve 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 month period, for a period of up to 90 days.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After the completion of this offering, the holders of up to 26,102,278 shares of our common stock will be entitled to certain “piggyback” registration rights. If we propose to register the offer and sale of shares of our common stock under the Securities Act, the holders of these shares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solely to employee benefit plans;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pay all expenses relating to any demand registrations, Form S-3 registrations and piggyback registrations, subject to specified exceptions.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registration rights terminate upon the earliest of (i) the date that is four years after the closing of this offering; (ii) immediately prior to the closing of certain liquidation events; and (iii) as to a given holder of registration rights, the date after the closing of this offering when such holder of registration rights can sell all of such holder’s registrable securities during any 90-day period pursuant to Rule 144 promulgated under the Securities Act.</w:t>
      </w:r>
    </w:p>
    <w:p>
      <w:pPr>
        <w:spacing w:after="0" w:line="253"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58" w:lineRule="exact"/>
        <w:rPr>
          <w:sz w:val="20"/>
          <w:szCs w:val="20"/>
          <w:color w:val="auto"/>
        </w:rPr>
      </w:pPr>
    </w:p>
    <w:p>
      <w:pPr>
        <w:jc w:val="both"/>
        <w:ind w:left="120" w:right="520" w:firstLine="440"/>
        <w:spacing w:after="0" w:line="259"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contain provisions that permit our board of directors to issue, without any further vote or action by the stockholders, shares of preferred stock in one or more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amended and restated certificate of incorporation will provide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initial Class I directors shall terminate on the date of the 2022 annual meeting, the term of the initial Class II directors shall terminate on the date of the 2023 annual meeting, and the term of the initial Class III directors shall terminate on the date of the 2024 annual meeting. At each annual meeting of stockholders beginning in 2022, the class of directors whose term expires at that annual meeting will be subject to reelection for a three-year term.</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stockholders may only remove a director for cause by a vote of no less than a majority of the shares present in person or by proxy at the meeting and entitled to vote.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stockholders do not have the right to cumulate votes in the election of directors.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amended and restated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860" w:firstLine="440"/>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Delaware General Corporation Law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issuances without stockholder approval, except as required by the listing standards of the Nasdaq Stock Market LLC,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amended and restated bylaws will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 See the section titled “Risk factors—Our amended and restated bylaws that will become effective upon the closing of this offering provide that the Court of Chancery of the State of Delaware and the federal district courts of the United States of America will be the exclusive forum for substantially all disputes between us and our stockholders, which could limit our stockholders’ ability to obtain a favorable judicial forum for disputes with us or our directors, officers or employees.”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are governed by Section 203 of the DGCL. Subject to certain exceptions, Section 203 of the DGCL prohibits a public Delaware corporation from engaging in a business combination (as defined in such section)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080"/>
          </w:cols>
          <w:pgMar w:left="320" w:top="459"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(1) by persons who are directors and also officers of such corporation and (2)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8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each investor’s investment may be adversely affected to the extent we pay the costs of settlement and damage awards against directors and officers pursuant to these indemnification provisions.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“TNYA.”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Upon completion of this offering, the transfer agent and registrar for our common stock will be Computershare Trust Company, N.A. The transfer agent and registrar’s address is 150 Royall Street, Canton, Massachusetts 02021.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Prior to this offering, there has been no public market for our common stock, and although our common stock has been approved for listing on the Nasdaq Global Select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6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Upon completion of this offering, based on our shares outstanding as of March 31, 2021, and after giving effect to the conversion of all outstanding shares of our convertible preferred stock, 39,324,727 shares of our common stock will be outstanding, or 41,124,727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w:t>
      </w:r>
    </w:p>
    <w:p>
      <w:pPr>
        <w:spacing w:after="0" w:line="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93"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the shares of our common stock that will be deemed “restricted securities” will be available for sale in the public market following the completion of this offering as follows:</w:t>
      </w:r>
    </w:p>
    <w:p>
      <w:pPr>
        <w:spacing w:after="0" w:line="89"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shares will be eligible for sale on the date of this prospectus; and</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27,324,727 shares will be eligible for sale upon expiration of the lock-up agreements and market stand-off provisions described below, following the date that is 180 days after the date of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Our officers, directors and substantially all of our securityholders have entered into market stand-off agreements with us. We, our officers, directors and substantially all of our securityholders have also entered into lock-up agreements with the underwriters, subject to certain exceptions, not to dispose of or hedge any common stock or securities convertible into or exchangeable for shares of common stock during the period from the date of this prospectus continuing through the date 180 days after the date of this prospectus, except with the prior consent of Morgan Stanley &amp; Co. LLC, Cowen and Company LLC, and Piper Sandler &amp; Co. See the section titled “Underwriters” for additional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other conditions of Rule 144. Rule 144 also provides that a stockholder who is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deemed to have been one of our affiliates at any time during the preceding 90 days and who has beneficially owned the shares of our common stock proposed to be sold for at least six months is entitled to sell such shares in reliance upon Rule 144 within any three month period beginning 90 days after the date of this prospectus a number of such shares that does not exceed the greater of the following:</w:t>
      </w:r>
    </w:p>
    <w:p>
      <w:pPr>
        <w:spacing w:after="0" w:line="89" w:lineRule="exact"/>
        <w:rPr>
          <w:sz w:val="20"/>
          <w:szCs w:val="20"/>
          <w:color w:val="auto"/>
        </w:rPr>
      </w:pPr>
    </w:p>
    <w:p>
      <w:pPr>
        <w:ind w:left="1080" w:right="20" w:hanging="532"/>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1% of the number of shares of our capital stock then outstanding, which will equal 393,247 shares immediately after the completion of this offering, assuming no exercise by the underwriters of their option to purchase additional shares; or</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such sale.</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After the completion of this offering, the holders of up to 26,102,278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See the section titled “Description of Capital Stock—Registration Rights” for a description of these registration rights.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following is a summary of the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7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and does not address tax considerations applicable to an investor’s particular circumstances or to investors that may be subject to special tax rules, including, without limitation:</w:t>
      </w:r>
    </w:p>
    <w:p>
      <w:pPr>
        <w:spacing w:after="0" w:line="89"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such for U.S. federal income tax purposes), other pass-through entities, and investors therein;</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option or otherwise as compensation;</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if a partnership (or an entity or arrangement classified as a partnership for U.S. federal income tax purposes) holds our common stock, the tax treatment of a partner in such partnership or other entity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314"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or local, non-U.S. or other taxing jurisdiction or under any applicable tax treaty.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that, for U.S. federal income tax purposes, is not a partnership (including any entity or arrangement treated as a partnership and the equity holders therein) or:</w:t>
      </w:r>
    </w:p>
    <w:p>
      <w:pPr>
        <w:spacing w:after="0" w:line="52"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jc w:val="both"/>
        <w:ind w:left="1080" w:right="200" w:hanging="532"/>
        <w:spacing w:after="0" w:line="263"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that has one or more U.S. persons who have the authority to control all substantial decisions of the trust or (ii) that has made a valid election under applicable Treasury Regulations to be treated as a U.S.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As described in the section titled “Dividend Policy,” we have never declared or paid cash dividends on our capital stock, and we do not anticipate paying any cash dividends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16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Subject to the discussions below on effectively connected income and in the subsections titled “—Backup Withholding and Information Reporting” and “—Foreign Account Tax Compliance Act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with a properly executed IRS Form W-8BEN or W-8BEN-E or other appropriate version of IRS Form W-8 certifying qualification for the reduced rate. If you are eligible for a reduced rate of U.S. federal withholding tax pursuant to an income tax treaty, you may obtain a refund of any excess amounts withheld by filing an appropriate claim for refund with the IRS. If you hold our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19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Dividends received by you that are treated as effectively connected with your conduct of a U.S. trade or business (and, if required by an applicable income tax treaty, are attributable to a permanent establishment or fixed base maintained by you in the United States) are generally exempt from the</w:t>
      </w:r>
    </w:p>
    <w:p>
      <w:pPr>
        <w:ind w:left="120" w:right="20"/>
        <w:spacing w:after="0" w:line="271" w:lineRule="auto"/>
        <w:rPr>
          <w:sz w:val="20"/>
          <w:szCs w:val="20"/>
          <w:color w:val="auto"/>
        </w:rPr>
      </w:pPr>
      <w:r>
        <w:rPr>
          <w:rFonts w:ascii="Arial" w:cs="Arial" w:eastAsia="Arial" w:hAnsi="Arial"/>
          <w:sz w:val="17"/>
          <w:szCs w:val="17"/>
          <w:color w:val="auto"/>
        </w:rPr>
        <w:t>30% U.S. federal withholding tax, subject to the discussion below in the subsections titled “—Backup Withholding and Information Reporting” and “— Foreign Account Tax Compliance Act (FATCA).” In order to obtain this exemption, you must provide us with a properly executed IRS Form W-8ECI or applicable successor form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Subject to the discussion in the subsections titled “—Backup Withholding and Information Reporting,” and “—Foreign Account Tax Compliance Act (FATCA),” you generally will not be required to pay U.S. federal income tax on any gain realized upon the sale or other disposition of our common stock unless:</w:t>
      </w:r>
    </w:p>
    <w:p>
      <w:pPr>
        <w:spacing w:after="0" w:line="89" w:lineRule="exact"/>
        <w:rPr>
          <w:sz w:val="20"/>
          <w:szCs w:val="20"/>
          <w:color w:val="auto"/>
        </w:rPr>
      </w:pPr>
    </w:p>
    <w:p>
      <w:pPr>
        <w:ind w:left="1080" w:right="2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75" w:lineRule="exact"/>
        <w:rPr>
          <w:rFonts w:ascii="Arial" w:cs="Arial" w:eastAsia="Arial" w:hAnsi="Arial"/>
          <w:sz w:val="18"/>
          <w:szCs w:val="18"/>
          <w:color w:val="auto"/>
        </w:rPr>
      </w:pPr>
    </w:p>
    <w:p>
      <w:pPr>
        <w:ind w:left="1080" w:right="120" w:hanging="532"/>
        <w:spacing w:after="0" w:line="275" w:lineRule="auto"/>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(USRPHC), for U.S. federal income tax purposes at any time within the shorter of the five-year period preceding your disposition of, or your holding period for, our common stock, unless our common stock is regularly traded on an established securities market and you hold no more than 5% of our outstanding common stock, directly, indirectly and constructively, at all times, during the shorter of the five-year period ending on the date of the taxable disposition or your holding period for our common stock.</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If we are a USRPHC and either our common stock is not regularly traded on an established securities market or you hold, or are treated as holding, more than 5% of our outstanding common stock, directly or indirectly, during the applicable testing period, you will generally be taxed on any gain in the same manner as gain that is effectively connected with the conduct of a U.S. trade or business, except that the branch profits tax generally will not apply. If we are a USRPHC and our common stock is not regularly traded on an established securities market, your proceeds received on the disposition of shares will also generally be subject to withholding at a rate of 15%. You are encouraged to consult your own tax advisors regarding the possible consequences to you if we are, or were to become, a USRPHC.</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you are a non-U.S. holder described in the first bullet above, you will be required to pay tax on the gain derived from the sale (net of certain deductions and credits) under the same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on such gain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Payments of dividends on or of proceeds from the disposition of our common stock made to you may also be subject to backup withholding at a current rate of 24% unless you establish an exemption, for example, by properly certifying your non-U.S. status on a properly completed IRS Form W-8BEN or W-8BEN-E or another appropriate version of IRS Form W-8. Notwithstanding the foregoing, backup withholding may apply if either we or our paying agent has actual knowledge, or reason to know, that you are a U.S. person.</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Foreign Account Tax Compliance Act, Treasury Regulations issued thereunder and official IRS guidance (collectively FATCA), generally impose a U.S. federal withholding tax of 30% on dividends on, and, subject to the discussion of certain proposed Treasury Regulations below,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discussion of certain proposed Treasury Regulations below,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withholding tax, including under the exemptions described above. Under certain circumstances, you might be eligible for refunds or credits of such taxes. An intergovernmental agreement between the United States and your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17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The Treasury Secretary has issued proposed Treasury Regulations, which, if finalized in their present form, would eliminate withholding under FATCA with respect to payment of gross proceeds from a sale or other disposition of our common stock. In its preamble to such proposed Treasury Regulations, the U.S. Treasury stated that taxpayers may generally rely on the proposed Treasury Regulations until final regulations are issued.</w:t>
      </w:r>
    </w:p>
    <w:p>
      <w:pPr>
        <w:spacing w:after="0" w:line="145"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Cowen and Company, LLC and Piper Sandler &amp; Co. are acting as representatives, have severally agreed to purchase, and we have agreed to sell to them, severally, the number of shares indicated below:</w:t>
      </w:r>
    </w:p>
    <w:p>
      <w:pPr>
        <w:spacing w:after="0" w:line="19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360" w:type="dxa"/>
            <w:vAlign w:val="bottom"/>
            <w:vMerge w:val="restart"/>
          </w:tcPr>
          <w:p>
            <w:pPr>
              <w:spacing w:after="0"/>
              <w:rPr>
                <w:sz w:val="14"/>
                <w:szCs w:val="14"/>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20" w:type="dxa"/>
            <w:vAlign w:val="bottom"/>
          </w:tcPr>
          <w:p>
            <w:pPr>
              <w:spacing w:after="0"/>
              <w:rPr>
                <w:sz w:val="14"/>
                <w:szCs w:val="14"/>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45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4,980,000</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4520" w:type="dxa"/>
            <w:vAlign w:val="bottom"/>
            <w:gridSpan w:val="5"/>
          </w:tcPr>
          <w:p>
            <w:pPr>
              <w:jc w:val="right"/>
              <w:ind w:right="80"/>
              <w:spacing w:after="0"/>
              <w:rPr>
                <w:sz w:val="20"/>
                <w:szCs w:val="20"/>
                <w:color w:val="auto"/>
              </w:rPr>
            </w:pPr>
            <w:r>
              <w:rPr>
                <w:rFonts w:ascii="Arial" w:cs="Arial" w:eastAsia="Arial" w:hAnsi="Arial"/>
                <w:sz w:val="18"/>
                <w:szCs w:val="18"/>
                <w:color w:val="auto"/>
              </w:rPr>
              <w:t>3,600,000</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Piper Sandler &amp; Co.</w:t>
            </w:r>
          </w:p>
        </w:tc>
        <w:tc>
          <w:tcPr>
            <w:tcW w:w="45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2,700,000</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Chardan Capital Markets LLC</w:t>
            </w:r>
          </w:p>
        </w:tc>
        <w:tc>
          <w:tcPr>
            <w:tcW w:w="352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720,000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5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9"/>
              </w:rPr>
              <w:t>12,000,000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currently expect that Pavilion Global Markets Ltd. will participate as a selling group member in this offering, in order to facilitate offers and sales of our common stock to one or more investors.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underwriters initially propose to offer part of the shares of common stock directly to the public at the offering price listed on the cover page of this prospectus and part to certain dealers at a price that represents a concession not in excess of $0.63 per share under the public offering price. After the initial offering of the shares of common stock, the offering price and other selling terms may from time to time be varied by the representatives. The offering of the shares by the underwriters is subject to the receipt and acceptance and subject to the underwriters’ right to reject any order in whole or in part.</w:t>
      </w:r>
    </w:p>
    <w:p>
      <w:pPr>
        <w:spacing w:after="0" w:line="18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1,800,000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1,800,000 shares of common stock.</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Per</w:t>
            </w:r>
          </w:p>
        </w:tc>
        <w:tc>
          <w:tcPr>
            <w:tcW w:w="1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1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1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No Exercise</w:t>
            </w:r>
          </w:p>
        </w:tc>
        <w:tc>
          <w:tcPr>
            <w:tcW w:w="260" w:type="dxa"/>
            <w:vAlign w:val="bottom"/>
          </w:tcPr>
          <w:p>
            <w:pPr>
              <w:spacing w:after="0"/>
              <w:rPr>
                <w:sz w:val="9"/>
                <w:szCs w:val="9"/>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w:t>
            </w: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$ 15.00</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180,000,000</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207,000,000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4220" w:type="dxa"/>
            <w:vAlign w:val="bottom"/>
            <w:gridSpan w:val="3"/>
          </w:tcPr>
          <w:p>
            <w:pPr>
              <w:jc w:val="right"/>
              <w:ind w:right="280"/>
              <w:spacing w:after="0"/>
              <w:rPr>
                <w:sz w:val="20"/>
                <w:szCs w:val="20"/>
                <w:color w:val="auto"/>
              </w:rPr>
            </w:pPr>
            <w:r>
              <w:rPr>
                <w:rFonts w:ascii="Arial" w:cs="Arial" w:eastAsia="Arial" w:hAnsi="Arial"/>
                <w:sz w:val="18"/>
                <w:szCs w:val="18"/>
                <w:color w:val="auto"/>
              </w:rPr>
              <w:t>1.05</w:t>
            </w:r>
          </w:p>
        </w:tc>
        <w:tc>
          <w:tcPr>
            <w:tcW w:w="1120" w:type="dxa"/>
            <w:vAlign w:val="bottom"/>
          </w:tcPr>
          <w:p>
            <w:pPr>
              <w:jc w:val="right"/>
              <w:spacing w:after="0"/>
              <w:rPr>
                <w:sz w:val="20"/>
                <w:szCs w:val="20"/>
                <w:color w:val="auto"/>
              </w:rPr>
            </w:pPr>
            <w:r>
              <w:rPr>
                <w:rFonts w:ascii="Arial" w:cs="Arial" w:eastAsia="Arial" w:hAnsi="Arial"/>
                <w:sz w:val="18"/>
                <w:szCs w:val="18"/>
                <w:color w:val="auto"/>
              </w:rPr>
              <w:t>12,600,000</w:t>
            </w: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14,490,000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4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13.95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167,400,000</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192,510,000</w:t>
            </w: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4"/>
                <w:szCs w:val="24"/>
                <w:color w:val="auto"/>
              </w:rPr>
            </w:pPr>
          </w:p>
        </w:tc>
        <w:tc>
          <w:tcPr>
            <w:tcW w:w="3400" w:type="dxa"/>
            <w:vAlign w:val="bottom"/>
          </w:tcPr>
          <w:p>
            <w:pPr>
              <w:jc w:val="right"/>
              <w:ind w:right="1850"/>
              <w:spacing w:after="0"/>
              <w:rPr>
                <w:sz w:val="20"/>
                <w:szCs w:val="20"/>
                <w:color w:val="auto"/>
              </w:rPr>
            </w:pPr>
            <w:r>
              <w:rPr>
                <w:rFonts w:ascii="Arial" w:cs="Arial" w:eastAsia="Arial" w:hAnsi="Arial"/>
                <w:sz w:val="18"/>
                <w:szCs w:val="18"/>
                <w:color w:val="auto"/>
              </w:rPr>
              <w:t>249</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$3.7 million. We have agreed to reimburse the underwriters for expense relating to clearance of this offering with the Financial Industry Regulatory Authority, Inc. (FINRA) and compliance with state securities or “blue sky” laws up to $40,000.</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has been approved for listing on the Nasdaq Global Select Market under the trading symbol “TNYA”.</w:t>
      </w:r>
    </w:p>
    <w:p>
      <w:pPr>
        <w:spacing w:after="0" w:line="22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connection with this offering, we have agreed that we will not, and will not publicly disclose and intention, to (i) offer, pledge, sell, contract to sell, sell any option or contract to purchase, purchase any option or contract to sell, grant any option, right or warrant to purchase, lend or otherwise transfer or dispose of, directly or indirectly, or file with the Securities and Exchange Commission a registration statement under the Securities Act relating to the offering of any shares of our common stock or securities convertible into or exercisable or exchangeable for any shares of our common stock, or (ii) enter into any swap or other arrangement that transfers all or a portion of the economic consequences of ownership of any shares of common stock or any such other securities, in each case regardless of whether any of these transactions are to be settled by the delivery of shares of common stock or such other securities, in cash or otherwise, and in each case without the prior written consent of Morgan Stanley &amp; Co. LLC, Cowen and Company, LLC and Piper Sandler &amp; Co. on behalf of the underwriters for a period of 180 days after the date of this prospectus, other than the shares of our common stock to be sold in this offering; the issuance by us of shares of common stock upon the exercise of an option or warrant, vesting or settlement of restricted stock or restricted stock units or the conversion of a security outstanding on the date hereof; the establishment of a trading plan pursuant to Rule 10b5-1 under the Exchange Act provided that there is no transfer of common stock during the restricted period and any public announcement or filing under the Exchange Act indicates that no transfer of common stock is permitted during the restricted period; the issuance of shares or options to purchase shares of common stock or securities convertible into or exercisable for common stock to our employees, officers, directors, advisors, or consultants pursuant to an existing equity compensation plan, provided that any such recipient enter into a lockup agreement with the underwriters; the filing of a registration statement on Form S-8 with respect to an existing employee benefit plan; and the sale or issuance of or entry into an agreement to sell or issue shares of common stock in connection with our acquisition of one or more businesses, products or technologies (whether by means of merger, stock purchase, asset purchase or otherwise) or in connection with joint ventures, commercial relationships or other strategic transactions, provided, that, the aggregate number of shares of common stock so sold or issued does not exceed 5% of the total number of shares of common stock and provided further that any recipient of such shares enter into a lockup agreement with the underwriters.</w:t>
      </w:r>
    </w:p>
    <w:p>
      <w:pPr>
        <w:spacing w:after="0" w:line="169"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In connection with this offering, all of our directors and officers and substantially all of our securityholders have agreed that, without the prior written consent of Morgan Stanley &amp; Co. LLC, Cowen and Company, LLC and Piper Sandler &amp; Co. on behalf of the underwriters, they will not, and will not publicly disclose an intention to, during the period from the date of this prospectus continuing through the date 180 days after the date of this prospectus (the Restricted Period):</w:t>
      </w:r>
    </w:p>
    <w:p>
      <w:pPr>
        <w:spacing w:after="0" w:line="92" w:lineRule="exact"/>
        <w:rPr>
          <w:sz w:val="20"/>
          <w:szCs w:val="20"/>
          <w:color w:val="auto"/>
        </w:rPr>
      </w:pPr>
    </w:p>
    <w:p>
      <w:pPr>
        <w:ind w:left="1080" w:right="60" w:hanging="532"/>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89"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each such person agrees that, without the prior written consent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Morgan Stanley &amp; Co. LLC, Cowen and Company, LLC and Piper Sandler &amp; Co. on behalf of the underwriters, such other person will not, during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Period:</w:t>
      </w:r>
    </w:p>
    <w:p>
      <w:pPr>
        <w:spacing w:after="0" w:line="116" w:lineRule="exact"/>
        <w:rPr>
          <w:sz w:val="20"/>
          <w:szCs w:val="20"/>
          <w:color w:val="auto"/>
        </w:rPr>
      </w:pPr>
    </w:p>
    <w:p>
      <w:pPr>
        <w:ind w:left="1080" w:right="6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 any security convertible into or exercisable or exchangeable for common stock; or</w:t>
      </w:r>
    </w:p>
    <w:p>
      <w:pPr>
        <w:spacing w:after="0" w:line="75" w:lineRule="exact"/>
        <w:rPr>
          <w:rFonts w:ascii="Arial" w:cs="Arial" w:eastAsia="Arial" w:hAnsi="Arial"/>
          <w:sz w:val="18"/>
          <w:szCs w:val="18"/>
          <w:color w:val="auto"/>
        </w:rPr>
      </w:pPr>
    </w:p>
    <w:p>
      <w:pPr>
        <w:ind w:left="1080" w:right="300" w:hanging="532"/>
        <w:spacing w:after="0" w:line="342" w:lineRule="auto"/>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engage in any hedging or other transaction designed or intended, or which could reasonably be expected to lead to or result in, a sale or disposition of any shares of common stock, or any securities convertible into or exercisable or exchangeable for common stock.</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described in the immediately preceding paragraph are subject to specified exceptions, including, without limitation:</w:t>
      </w:r>
    </w:p>
    <w:p>
      <w:pPr>
        <w:spacing w:after="0" w:line="131" w:lineRule="exact"/>
        <w:rPr>
          <w:sz w:val="20"/>
          <w:szCs w:val="20"/>
          <w:color w:val="auto"/>
        </w:rPr>
      </w:pPr>
    </w:p>
    <w:p>
      <w:pPr>
        <w:ind w:left="1080" w:right="220" w:hanging="532"/>
        <w:spacing w:after="0" w:line="279" w:lineRule="auto"/>
        <w:tabs>
          <w:tab w:leader="none" w:pos="1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transactions related to shares of our common stock or other securities acquired in this offering or in open market transactions after the completion of this offering, provided that any required filing under Section 16 of the Exchange Act includes footnote disclosure and no other public announcement or filing, with limited exceptions, be required or voluntarily made in connection with subsequent sales of the common stock or other securities acquired in such open market transactions;</w:t>
      </w:r>
    </w:p>
    <w:p>
      <w:pPr>
        <w:spacing w:after="0" w:line="76" w:lineRule="exact"/>
        <w:rPr>
          <w:rFonts w:ascii="Arial" w:cs="Arial" w:eastAsia="Arial" w:hAnsi="Arial"/>
          <w:sz w:val="17"/>
          <w:szCs w:val="17"/>
          <w:color w:val="auto"/>
        </w:rPr>
      </w:pPr>
    </w:p>
    <w:p>
      <w:pPr>
        <w:ind w:left="1080" w:right="20" w:hanging="532"/>
        <w:spacing w:after="0" w:line="263"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as a bona fide gift or charitable contribution, by will or intestate succession, or to an immediate family member or to certain trusts, provided that no filing under Section 16 of the Exchange Act shall be required or voluntarily made;</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transfers or distributions of shares of common stock or any other securities by a stockholder that is a trust to a trustor or beneficiary of the trust or to the estate of a beneficiary of such trust provided that no filing under Section 16 of the Exchange Act shall be required or voluntarily made;</w:t>
      </w:r>
    </w:p>
    <w:p>
      <w:pPr>
        <w:spacing w:after="0" w:line="89" w:lineRule="exact"/>
        <w:rPr>
          <w:rFonts w:ascii="Arial" w:cs="Arial" w:eastAsia="Arial" w:hAnsi="Arial"/>
          <w:sz w:val="18"/>
          <w:szCs w:val="18"/>
          <w:color w:val="auto"/>
        </w:rPr>
      </w:pPr>
    </w:p>
    <w:p>
      <w:pPr>
        <w:ind w:left="1080" w:right="80" w:hanging="532"/>
        <w:spacing w:after="0" w:line="25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distributions of our common stock or any security convertible into or exercisable or exchangeable for common stock to limited partners, members, stockholders or holders of similar equity interests, or transfers of shares of common stock or any security convertible into or exercisable or exchangeable for common stock to another corporation, partnership, limited liability company, trust or other business entity that is an affiliate, or to any investment fund or other entity controlled or managed by an affiliate, provided that no filing under Section 16 of the Exchange Act shall be required or voluntarily made;</w:t>
      </w:r>
    </w:p>
    <w:p>
      <w:pPr>
        <w:spacing w:after="0" w:line="93"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transfers of our common stock or any security convertible into or exercisable or exchangeable for common stock pursuant to a domestic order or divorce, provided that any filing required by Section 16 of the Exchange Act shall clearly indicate in the footnotes thereto that such transfer is being made pursuant to these circumstances and that no other public announcement or filing shall be required or shall be voluntarily made;</w:t>
      </w:r>
    </w:p>
    <w:p>
      <w:pPr>
        <w:spacing w:after="0" w:line="92" w:lineRule="exact"/>
        <w:rPr>
          <w:rFonts w:ascii="Arial" w:cs="Arial" w:eastAsia="Arial" w:hAnsi="Arial"/>
          <w:sz w:val="18"/>
          <w:szCs w:val="18"/>
          <w:color w:val="auto"/>
        </w:rPr>
      </w:pPr>
    </w:p>
    <w:p>
      <w:pPr>
        <w:ind w:left="1080" w:hanging="532"/>
        <w:spacing w:after="0" w:line="289" w:lineRule="auto"/>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exercise, vesting or settlement of options, restricted stock units or other equity awards granted under a stock incentive plan or other equity award plan as described in the prospectus, or transfers or disposition of shares of our common stock or any security convertible into or exercisable or exchangeable for common stock to us upon a vesting or settlement event of our restricted stock units or other securities or the exercise of warrants or options to purchase our securities on a “cashless” or “net exercise” basis to cover estimated taxes, withholding tax and remittance obligations in connection with such vesting, settlement or exercise, insofar as such vesting, settlement or exercise is effected solely by the surrender of outstanding options (or the common stock issuable upon the exercise thereof) or shares of common stock to the Company and our cancellation of all or a portion thereof, provided that no filing under Section 16 of the Exchange Act shall be required or voluntarily made within 90 days after the date of the prospectus and after such 90 days and during the Restricted Period any filing under Section 16 of the Exchange Act will include a statement that such transaction reflects these circumstances;</w:t>
      </w:r>
    </w:p>
    <w:p>
      <w:pPr>
        <w:spacing w:after="0" w:line="71" w:lineRule="exact"/>
        <w:rPr>
          <w:rFonts w:ascii="Arial" w:cs="Arial" w:eastAsia="Arial" w:hAnsi="Arial"/>
          <w:sz w:val="16"/>
          <w:szCs w:val="16"/>
          <w:color w:val="auto"/>
        </w:rPr>
      </w:pPr>
    </w:p>
    <w:p>
      <w:pPr>
        <w:ind w:left="1080" w:right="420" w:hanging="532"/>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any security convertible into or exercisable or exchangeable for common stock pursuant to any contractual arrangement in effect on the date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20"/>
        <w:spacing w:after="0" w:line="296" w:lineRule="auto"/>
        <w:rPr>
          <w:sz w:val="20"/>
          <w:szCs w:val="20"/>
          <w:color w:val="auto"/>
        </w:rPr>
      </w:pPr>
      <w:r>
        <w:rPr>
          <w:rFonts w:ascii="Arial" w:cs="Arial" w:eastAsia="Arial" w:hAnsi="Arial"/>
          <w:sz w:val="16"/>
          <w:szCs w:val="16"/>
          <w:color w:val="auto"/>
        </w:rPr>
        <w:t>underwriting agreement and disclosed to the underwriters in writing that provides for the repurchase by us of common stock or any security convertible into or exercisable or exchangeable for common stock pursuant to a repurchase right arising in connection with the termination of employment with or service to the Company; provided that any filing under Section 16 of the Exchange Act reporting a reduction in beneficial ownership of common stock indicates by footnote disclosure or otherwise the nature of the transfer or disposition pursuant to these circumstances and that no other public announcement or filing shall be required or shall be voluntarily made;</w:t>
      </w:r>
    </w:p>
    <w:p>
      <w:pPr>
        <w:spacing w:after="0" w:line="67" w:lineRule="exact"/>
        <w:rPr>
          <w:sz w:val="20"/>
          <w:szCs w:val="20"/>
          <w:color w:val="auto"/>
        </w:rPr>
      </w:pPr>
    </w:p>
    <w:p>
      <w:pPr>
        <w:ind w:left="1080" w:right="20" w:hanging="532"/>
        <w:spacing w:after="0" w:line="255"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transfers of our common stock or any security convertible into or exercisable or exchangeable for common stock in connection with a bona fide third-party tender offer, merger, consolidation or other similar transaction made to all holders of our common stock involving a change of control of our Company that has been approved by our board of directors and is open to all holders of our common stock, provided that in the event that such tender offer, merger, consolidation or other such transaction is not completed, the securities shall continue to be subject to the restrictions on transfer set forth in the lock-up agreement, and provided that no filing under Section 16 of the Exchange Act shall be required or voluntarily made;</w:t>
      </w:r>
    </w:p>
    <w:p>
      <w:pPr>
        <w:spacing w:after="0" w:line="97"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facilitating 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during the Restricted Period, such announcement or filing shall include a statement to the effect that no transfer of common stock may be made under such plan during the Restricted Period; and</w:t>
      </w:r>
    </w:p>
    <w:p>
      <w:pPr>
        <w:spacing w:after="0" w:line="93" w:lineRule="exact"/>
        <w:rPr>
          <w:rFonts w:ascii="Arial" w:cs="Arial" w:eastAsia="Arial" w:hAnsi="Arial"/>
          <w:sz w:val="18"/>
          <w:szCs w:val="18"/>
          <w:color w:val="auto"/>
        </w:rPr>
      </w:pPr>
    </w:p>
    <w:p>
      <w:pPr>
        <w:ind w:left="1080" w:right="180" w:hanging="532"/>
        <w:spacing w:after="0" w:line="25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conversion of outstanding preferred stock into shares of common stock in connection with the consummation of the offering or any conversion or reclassification of common stock as described in the prospectus, provided that such shares of common stock received upon conversion remain subject to the terms of the lock-up agreement and provided that any filing required by Section 16 of the Exchange Act related to any conversion or reclassification of common stock clearly indicate in the footnotes thereto the nature and conditions of such conversion or reclassification; and</w:t>
      </w:r>
    </w:p>
    <w:p>
      <w:pPr>
        <w:spacing w:after="0" w:line="93" w:lineRule="exact"/>
        <w:rPr>
          <w:rFonts w:ascii="Arial" w:cs="Arial" w:eastAsia="Arial" w:hAnsi="Arial"/>
          <w:sz w:val="18"/>
          <w:szCs w:val="18"/>
          <w:color w:val="auto"/>
        </w:rPr>
      </w:pPr>
    </w:p>
    <w:p>
      <w:pPr>
        <w:ind w:left="1080" w:right="200" w:hanging="532"/>
        <w:spacing w:after="0" w:line="342" w:lineRule="auto"/>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if an entity advised by an investment adviser, transfers pursuant to a merger or reorganization with or into another institutional client that shares the same investment advisor registered pursuant to the requirements of the Investment Advisors Act of 1940, as amended.</w:t>
      </w:r>
    </w:p>
    <w:p>
      <w:pPr>
        <w:spacing w:after="0" w:line="12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Certain of the exceptions described above are subject to a requirement that the donee, trustee, transferee or distributee enter into a lock-up agreement with the underwriters containing similar restrictions. Certain of the exceptions described above are subject to a requirement that the transfer or distribution does not involve a disposition for value.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Morgan Stanley &amp; Co. LLC, Cowen and Company, LLC and Piper Sandler &amp; Co. in their sole discretion, may release the common stock and other securities subject to the lock-up agreements described above in whole or in part at any time. The lock-up agreements of certain significant holders are subject to a pro rata release.</w:t>
      </w:r>
    </w:p>
    <w:p>
      <w:pPr>
        <w:spacing w:after="0" w:line="184"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61" w:lineRule="exact"/>
        <w:rPr>
          <w:sz w:val="20"/>
          <w:szCs w:val="20"/>
          <w:color w:val="auto"/>
        </w:rPr>
      </w:pPr>
    </w:p>
    <w:p>
      <w:pPr>
        <w:jc w:val="center"/>
        <w:ind w:right="942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88"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provided that the remedies for rescission or damages are exercised by the purchaser within the time limit prescribed by the securities legislation of the purchaser’s province or territory. The purchaser should refer to any applicable restrictions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88" w:lineRule="exact"/>
        <w:rPr>
          <w:sz w:val="20"/>
          <w:szCs w:val="20"/>
          <w:color w:val="auto"/>
        </w:rPr>
      </w:pPr>
    </w:p>
    <w:p>
      <w:pPr>
        <w:ind w:left="800" w:hanging="244"/>
        <w:spacing w:after="0"/>
        <w:tabs>
          <w:tab w:leader="none" w:pos="8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the Prospectus Regulation;</w:t>
      </w:r>
    </w:p>
    <w:p>
      <w:pPr>
        <w:spacing w:after="0" w:line="225" w:lineRule="exact"/>
        <w:rPr>
          <w:rFonts w:ascii="Arial" w:cs="Arial" w:eastAsia="Arial" w:hAnsi="Arial"/>
          <w:sz w:val="18"/>
          <w:szCs w:val="18"/>
          <w:color w:val="auto"/>
        </w:rPr>
      </w:pPr>
    </w:p>
    <w:p>
      <w:pPr>
        <w:ind w:left="120" w:firstLine="436"/>
        <w:spacing w:after="0" w:line="277" w:lineRule="auto"/>
        <w:tabs>
          <w:tab w:leader="none" w:pos="81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underwriters; or</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7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shares or subscribe for any shares, and the expression “Prospectus Regulation” means Regulation (EU) 2017/1129.</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not authorized and do not authorize the making of any offer of shares through any financial intermediary on their behalf, other than offers made by the underwriters with a view to the final placement of the shares in this document. Accordingly, no purchaser of the shares, other than the underwriters, is authorized to make any further offer of the shares on behalf of us or the underwriters.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relation to the United Kingdom, no shares of common stock will be offered pursuant to this offering to the public in the United Kingdom prior to publication of a prospectus in relation to the shares that either (i)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color w:val="auto"/>
        </w:rPr>
        <w:t>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71" w:lineRule="exact"/>
        <w:rPr>
          <w:sz w:val="20"/>
          <w:szCs w:val="20"/>
          <w:color w:val="auto"/>
        </w:rPr>
      </w:pPr>
    </w:p>
    <w:p>
      <w:pPr>
        <w:ind w:left="1080" w:hanging="408"/>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30" w:lineRule="exact"/>
        <w:rPr>
          <w:rFonts w:ascii="Arial" w:cs="Arial" w:eastAsia="Arial" w:hAnsi="Arial"/>
          <w:sz w:val="18"/>
          <w:szCs w:val="18"/>
          <w:color w:val="auto"/>
        </w:rPr>
      </w:pPr>
    </w:p>
    <w:p>
      <w:pPr>
        <w:ind w:left="1080" w:hanging="418"/>
        <w:spacing w:after="0"/>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Article 2 of the UK Prospectus Regulation); or</w:t>
      </w:r>
    </w:p>
    <w:p>
      <w:pPr>
        <w:spacing w:after="0" w:line="142" w:lineRule="exact"/>
        <w:rPr>
          <w:rFonts w:ascii="Arial" w:cs="Arial" w:eastAsia="Arial" w:hAnsi="Arial"/>
          <w:sz w:val="17"/>
          <w:szCs w:val="17"/>
          <w:color w:val="auto"/>
        </w:rPr>
      </w:pPr>
    </w:p>
    <w:p>
      <w:pPr>
        <w:ind w:left="1080" w:hanging="408"/>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have not authorized and do not authorize the making of any offer of shares through any financial intermediary on their behalf, other than offers made by the underwriters with a view to the final placement of the shares as contemplated in this document. Accordingly, no purchaser of the shares, other than the underwriters, is authorized to make any further offer of the shares on behalf of us or the underwriters.</w:t>
      </w:r>
    </w:p>
    <w:p>
      <w:pPr>
        <w:spacing w:after="0" w:line="16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FSMA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In the United Kingdom, any investment or investment activity to which this document relates is only available to, and will be engaged in with, relevant persons.</w:t>
      </w:r>
    </w:p>
    <w:p>
      <w:pPr>
        <w:spacing w:after="0" w:line="17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Any person in the United Kingdom who is not a relevant person must not act upon this document or any of its contents or use it as the basis for taking any action. In the United Kingdom, any investment or investment activity that this document relates to may be made or taken exclusively by relevant persons.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Dubai International Financial Center</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twelve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360" w:hanging="244"/>
        <w:spacing w:after="0"/>
        <w:tabs>
          <w:tab w:leader="none" w:pos="3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6"/>
          <w:szCs w:val="16"/>
          <w:color w:val="auto"/>
        </w:rPr>
      </w:pPr>
    </w:p>
    <w:p>
      <w:pPr>
        <w:ind w:left="120" w:right="80" w:hanging="4"/>
        <w:spacing w:after="0" w:line="269" w:lineRule="auto"/>
        <w:tabs>
          <w:tab w:leader="none" w:pos="37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225" w:lineRule="exact"/>
        <w:rPr>
          <w:sz w:val="20"/>
          <w:szCs w:val="20"/>
          <w:color w:val="auto"/>
        </w:rPr>
      </w:pPr>
    </w:p>
    <w:p>
      <w:pPr>
        <w:ind w:left="120" w:right="80" w:firstLine="436"/>
        <w:spacing w:after="0" w:line="277" w:lineRule="auto"/>
        <w:tabs>
          <w:tab w:leader="none" w:pos="8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120" w:right="160" w:firstLine="436"/>
        <w:spacing w:after="0" w:line="277" w:lineRule="auto"/>
        <w:tabs>
          <w:tab w:leader="none" w:pos="81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84" w:lineRule="exact"/>
        <w:rPr>
          <w:sz w:val="20"/>
          <w:szCs w:val="20"/>
          <w:color w:val="auto"/>
        </w:rPr>
      </w:pPr>
    </w:p>
    <w:p>
      <w:pPr>
        <w:ind w:left="120" w:right="280" w:firstLine="436"/>
        <w:spacing w:after="0" w:line="277" w:lineRule="auto"/>
        <w:tabs>
          <w:tab w:leader="none" w:pos="8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800" w:hanging="244"/>
        <w:spacing w:after="0"/>
        <w:tabs>
          <w:tab w:leader="none" w:pos="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800" w:hanging="244"/>
        <w:spacing w:after="0"/>
        <w:tabs>
          <w:tab w:leader="none" w:pos="8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This prospectus does not constitute a public offer of shares, whether by sale or subscription, in the People’s Republic of China, or the PRC. The shares are not being offered or sold directly or indirectly in the PRC to or for the benefit of, legal or natural persons of the PRC.</w:t>
      </w:r>
    </w:p>
    <w:p>
      <w:pPr>
        <w:spacing w:after="0" w:line="146"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South Africa</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 the offer, transfer, sale, renunciation or delivery is to:</w:t>
      </w:r>
    </w:p>
    <w:p>
      <w:pPr>
        <w:spacing w:after="0" w:line="225" w:lineRule="exact"/>
        <w:rPr>
          <w:sz w:val="20"/>
          <w:szCs w:val="20"/>
          <w:color w:val="auto"/>
        </w:rPr>
      </w:pPr>
    </w:p>
    <w:p>
      <w:pPr>
        <w:ind w:left="800" w:hanging="244"/>
        <w:spacing w:after="0"/>
        <w:tabs>
          <w:tab w:leader="none" w:pos="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persons whose ordinary business is to deal in securities, as principal or agent;</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225" w:lineRule="exact"/>
        <w:rPr>
          <w:rFonts w:ascii="Arial" w:cs="Arial" w:eastAsia="Arial" w:hAnsi="Arial"/>
          <w:sz w:val="18"/>
          <w:szCs w:val="18"/>
          <w:color w:val="auto"/>
        </w:rPr>
      </w:pPr>
    </w:p>
    <w:p>
      <w:pPr>
        <w:ind w:left="800" w:hanging="244"/>
        <w:spacing w:after="0"/>
        <w:tabs>
          <w:tab w:leader="none" w:pos="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225" w:lineRule="exact"/>
        <w:rPr>
          <w:rFonts w:ascii="Arial" w:cs="Arial" w:eastAsia="Arial" w:hAnsi="Arial"/>
          <w:sz w:val="18"/>
          <w:szCs w:val="18"/>
          <w:color w:val="auto"/>
        </w:rPr>
      </w:pPr>
    </w:p>
    <w:p>
      <w:pPr>
        <w:ind w:left="800" w:hanging="244"/>
        <w:spacing w:after="0"/>
        <w:tabs>
          <w:tab w:leader="none" w:pos="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225" w:lineRule="exact"/>
        <w:rPr>
          <w:rFonts w:ascii="Arial" w:cs="Arial" w:eastAsia="Arial" w:hAnsi="Arial"/>
          <w:sz w:val="18"/>
          <w:szCs w:val="18"/>
          <w:color w:val="auto"/>
        </w:rPr>
      </w:pPr>
    </w:p>
    <w:p>
      <w:pPr>
        <w:ind w:left="120" w:right="400" w:firstLine="436"/>
        <w:spacing w:after="0" w:line="308" w:lineRule="auto"/>
        <w:tabs>
          <w:tab w:leader="none" w:pos="78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 wholly-owned subsidiary of any person or entity contemplated in (c), (d) or (e), acting as agent in the capacity of an authorized portfolio manager for a pension fund or collective investment scheme (in each case duly registered as such under South African law); or</w:t>
      </w:r>
    </w:p>
    <w:p>
      <w:pPr>
        <w:spacing w:after="0" w:line="146" w:lineRule="exact"/>
        <w:rPr>
          <w:rFonts w:ascii="Arial" w:cs="Arial" w:eastAsia="Arial" w:hAnsi="Arial"/>
          <w:sz w:val="17"/>
          <w:szCs w:val="17"/>
          <w:color w:val="auto"/>
        </w:rPr>
      </w:pPr>
    </w:p>
    <w:p>
      <w:pPr>
        <w:ind w:left="820" w:hanging="264"/>
        <w:spacing w:after="0"/>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combination of the person in (a) to (f); 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ii. the total contemplated acquisition cost of the securities, for any single addressee acting as principal is equal to or greater than ZAR1,000,000.</w:t>
      </w:r>
    </w:p>
    <w:p>
      <w:pPr>
        <w:spacing w:after="0" w:line="24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No “offer to the public” (as such term is defined in the South African Companies Act, No. 71 of 2008 (as amended or re-enacted), or the South African Companies Act) in South Africa is being made in connection with the issue of the shares.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0920"/>
          </w:cols>
          <w:pgMar w:left="320" w:top="459" w:right="6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The validity of the issuance of our common stock offered in this prospectus will be passed upon for us by Wilson Sonsini Goodrich &amp; Rosati, Professional Corporation, Palo Alto, California. Davis Polk &amp; Wardwell LLP, Menlo Park, California, is acting as counsel for the underwriters.</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financial statements as of December 31, 2019 and 2020, and for each of the two years in the period ended December 31, 2020,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www.tenayatherapeutics.com where these materials are available. Upon the completion of this offering, you may access these materials free of charge as soon as reasonably practicable after they are electronically filed with, or furnished to, the SEC.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Audited Financial Statements as of and for the Years Ended December 31, 2019 and 2020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60" w:type="dxa"/>
            <w:vAlign w:val="bottom"/>
            <w:gridSpan w:val="1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0000EE"/>
            </w:tcBorders>
            <w:gridSpan w:val="8"/>
          </w:tcPr>
          <w:p>
            <w:pPr>
              <w:spacing w:after="0" w:line="190" w:lineRule="exact"/>
              <w:rPr>
                <w:rFonts w:ascii="Arial" w:cs="Arial" w:eastAsia="Arial" w:hAnsi="Arial"/>
                <w:sz w:val="18"/>
                <w:szCs w:val="18"/>
                <w:color w:val="0000EE"/>
                <w:w w:val="91"/>
              </w:rPr>
            </w:pPr>
            <w:hyperlink w:anchor="page265">
              <w:r>
                <w:rPr>
                  <w:rFonts w:ascii="Arial" w:cs="Arial" w:eastAsia="Arial" w:hAnsi="Arial"/>
                  <w:sz w:val="18"/>
                  <w:szCs w:val="18"/>
                  <w:color w:val="0000EE"/>
                  <w:w w:val="91"/>
                </w:rPr>
                <w:t>Report of Independent Registered Public Accounting Firm</w:t>
              </w:r>
            </w:hyperlink>
          </w:p>
        </w:tc>
        <w:tc>
          <w:tcPr>
            <w:tcW w:w="6340" w:type="dxa"/>
            <w:vAlign w:val="bottom"/>
            <w:gridSpan w:val="4"/>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66">
              <w:r>
                <w:rPr>
                  <w:rFonts w:ascii="Arial" w:cs="Arial" w:eastAsia="Arial" w:hAnsi="Arial"/>
                  <w:sz w:val="18"/>
                  <w:szCs w:val="18"/>
                  <w:color w:val="0000EE"/>
                  <w:w w:val="85"/>
                </w:rPr>
                <w:t>Balance Sheets</w:t>
              </w:r>
            </w:hyperlink>
          </w:p>
        </w:tc>
        <w:tc>
          <w:tcPr>
            <w:tcW w:w="94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67">
              <w:r>
                <w:rPr>
                  <w:rFonts w:ascii="Arial" w:cs="Arial" w:eastAsia="Arial" w:hAnsi="Arial"/>
                  <w:sz w:val="18"/>
                  <w:szCs w:val="18"/>
                  <w:color w:val="0000EE"/>
                  <w:w w:val="88"/>
                </w:rPr>
                <w:t>Statements of Operations and Comprehensive Loss</w:t>
              </w:r>
            </w:hyperlink>
          </w:p>
        </w:tc>
        <w:tc>
          <w:tcPr>
            <w:tcW w:w="688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68">
              <w:r>
                <w:rPr>
                  <w:rFonts w:ascii="Arial" w:cs="Arial" w:eastAsia="Arial" w:hAnsi="Arial"/>
                  <w:sz w:val="18"/>
                  <w:szCs w:val="18"/>
                  <w:color w:val="0000EE"/>
                  <w:w w:val="91"/>
                </w:rPr>
                <w:t>Statements of Convertible Preferred Stock and Stockholders’ Deficit</w:t>
              </w:r>
            </w:hyperlink>
          </w:p>
        </w:tc>
        <w:tc>
          <w:tcPr>
            <w:tcW w:w="56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69">
              <w:r>
                <w:rPr>
                  <w:rFonts w:ascii="Arial" w:cs="Arial" w:eastAsia="Arial" w:hAnsi="Arial"/>
                  <w:sz w:val="18"/>
                  <w:szCs w:val="18"/>
                  <w:color w:val="0000EE"/>
                  <w:w w:val="88"/>
                </w:rPr>
                <w:t>Statements of Cash Flows</w:t>
              </w:r>
            </w:hyperlink>
          </w:p>
        </w:tc>
        <w:tc>
          <w:tcPr>
            <w:tcW w:w="868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560" w:type="dxa"/>
            <w:vAlign w:val="bottom"/>
            <w:gridSpan w:val="12"/>
          </w:tcPr>
          <w:p>
            <w:pPr>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Notes to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19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560" w:type="dxa"/>
            <w:vAlign w:val="bottom"/>
            <w:gridSpan w:val="12"/>
          </w:tcPr>
          <w:p>
            <w:pPr>
              <w:spacing w:after="0"/>
              <w:rPr>
                <w:sz w:val="20"/>
                <w:szCs w:val="20"/>
                <w:color w:val="auto"/>
              </w:rPr>
            </w:pPr>
            <w:r>
              <w:rPr>
                <w:rFonts w:ascii="Arial" w:cs="Arial" w:eastAsia="Arial" w:hAnsi="Arial"/>
                <w:sz w:val="18"/>
                <w:szCs w:val="18"/>
                <w:b w:val="1"/>
                <w:bCs w:val="1"/>
                <w:color w:val="auto"/>
                <w:w w:val="95"/>
              </w:rPr>
              <w:t>Unaudited Interim Condensed Financial Statements as of December 31, 2020 and March 31, 2021 and for the Three Months Ended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60" w:type="dxa"/>
            <w:vAlign w:val="bottom"/>
            <w:gridSpan w:val="12"/>
          </w:tcPr>
          <w:p>
            <w:pPr>
              <w:ind w:left="180"/>
              <w:spacing w:after="0"/>
              <w:rPr>
                <w:sz w:val="20"/>
                <w:szCs w:val="20"/>
                <w:color w:val="auto"/>
              </w:rPr>
            </w:pPr>
            <w:r>
              <w:rPr>
                <w:rFonts w:ascii="Arial" w:cs="Arial" w:eastAsia="Arial" w:hAnsi="Arial"/>
                <w:sz w:val="18"/>
                <w:szCs w:val="18"/>
                <w:b w:val="1"/>
                <w:bCs w:val="1"/>
                <w:color w:val="auto"/>
              </w:rPr>
              <w:t>March 31, 2020 and 2021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40" w:type="dxa"/>
            <w:vAlign w:val="bottom"/>
            <w:tcBorders>
              <w:bottom w:val="single" w:sz="8" w:color="0000EE"/>
            </w:tcBorders>
            <w:gridSpan w:val="3"/>
          </w:tcPr>
          <w:p>
            <w:pPr>
              <w:spacing w:after="0" w:line="190" w:lineRule="exact"/>
              <w:rPr>
                <w:rFonts w:ascii="Arial" w:cs="Arial" w:eastAsia="Arial" w:hAnsi="Arial"/>
                <w:sz w:val="18"/>
                <w:szCs w:val="18"/>
                <w:color w:val="0000EE"/>
                <w:w w:val="86"/>
              </w:rPr>
            </w:pPr>
            <w:hyperlink w:anchor="page290">
              <w:r>
                <w:rPr>
                  <w:rFonts w:ascii="Arial" w:cs="Arial" w:eastAsia="Arial" w:hAnsi="Arial"/>
                  <w:sz w:val="18"/>
                  <w:szCs w:val="18"/>
                  <w:color w:val="0000EE"/>
                  <w:w w:val="86"/>
                </w:rPr>
                <w:t>Condensed Balance Sheets</w:t>
              </w:r>
            </w:hyperlink>
          </w:p>
        </w:tc>
        <w:tc>
          <w:tcPr>
            <w:tcW w:w="8620" w:type="dxa"/>
            <w:vAlign w:val="bottom"/>
            <w:gridSpan w:val="9"/>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560" w:type="dxa"/>
            <w:vAlign w:val="bottom"/>
            <w:gridSpan w:val="12"/>
          </w:tcPr>
          <w:p>
            <w:pPr>
              <w:spacing w:after="0" w:line="196" w:lineRule="exact"/>
              <w:rPr>
                <w:rFonts w:ascii="Arial" w:cs="Arial" w:eastAsia="Arial" w:hAnsi="Arial"/>
                <w:sz w:val="18"/>
                <w:szCs w:val="18"/>
                <w:color w:val="0000EE"/>
              </w:rPr>
            </w:pPr>
            <w:hyperlink w:anchor="page291">
              <w:r>
                <w:rPr>
                  <w:rFonts w:ascii="Arial" w:cs="Arial" w:eastAsia="Arial" w:hAnsi="Arial"/>
                  <w:sz w:val="18"/>
                  <w:szCs w:val="18"/>
                  <w:color w:val="0000EE"/>
                </w:rPr>
                <w:t>Condensed Statements of Operations and Comprehensive Loss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20"/>
        </w:trPr>
        <w:tc>
          <w:tcPr>
            <w:tcW w:w="27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2"/>
          </w:tcPr>
          <w:p>
            <w:pPr>
              <w:spacing w:after="0" w:line="196" w:lineRule="exact"/>
              <w:rPr>
                <w:rFonts w:ascii="Arial" w:cs="Arial" w:eastAsia="Arial" w:hAnsi="Arial"/>
                <w:sz w:val="18"/>
                <w:szCs w:val="18"/>
                <w:color w:val="0000EE"/>
              </w:rPr>
            </w:pPr>
            <w:hyperlink w:anchor="page292">
              <w:r>
                <w:rPr>
                  <w:rFonts w:ascii="Arial" w:cs="Arial" w:eastAsia="Arial" w:hAnsi="Arial"/>
                  <w:sz w:val="18"/>
                  <w:szCs w:val="18"/>
                  <w:color w:val="0000EE"/>
                </w:rPr>
                <w:t>Condensed Statements of Convertible Preferred Stock and Stockholders’ Deficit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196"/>
        </w:trPr>
        <w:tc>
          <w:tcPr>
            <w:tcW w:w="2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94">
              <w:r>
                <w:rPr>
                  <w:rFonts w:ascii="Arial" w:cs="Arial" w:eastAsia="Arial" w:hAnsi="Arial"/>
                  <w:sz w:val="18"/>
                  <w:szCs w:val="18"/>
                  <w:color w:val="0000EE"/>
                  <w:w w:val="87"/>
                </w:rPr>
                <w:t>Condensed Statements of Cash Flows</w:t>
              </w:r>
            </w:hyperlink>
          </w:p>
        </w:tc>
        <w:tc>
          <w:tcPr>
            <w:tcW w:w="3060" w:type="dxa"/>
            <w:vAlign w:val="bottom"/>
            <w:tcBorders>
              <w:top w:val="single" w:sz="8" w:color="0000EE"/>
            </w:tcBorders>
            <w:gridSpan w:val="6"/>
          </w:tcPr>
          <w:p>
            <w:pPr>
              <w:spacing w:after="0"/>
              <w:rPr>
                <w:sz w:val="17"/>
                <w:szCs w:val="17"/>
                <w:color w:val="auto"/>
              </w:rPr>
            </w:pPr>
          </w:p>
        </w:tc>
        <w:tc>
          <w:tcPr>
            <w:tcW w:w="47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F-31</w:t>
            </w:r>
          </w:p>
        </w:tc>
        <w:tc>
          <w:tcPr>
            <w:tcW w:w="0" w:type="dxa"/>
            <w:vAlign w:val="bottom"/>
          </w:tcPr>
          <w:p>
            <w:pPr>
              <w:spacing w:after="0"/>
              <w:rPr>
                <w:sz w:val="1"/>
                <w:szCs w:val="1"/>
                <w:color w:val="auto"/>
              </w:rPr>
            </w:pPr>
          </w:p>
        </w:tc>
      </w:tr>
      <w:tr>
        <w:trPr>
          <w:trHeight w:val="196"/>
        </w:trPr>
        <w:tc>
          <w:tcPr>
            <w:tcW w:w="10560" w:type="dxa"/>
            <w:vAlign w:val="bottom"/>
            <w:gridSpan w:val="12"/>
          </w:tcPr>
          <w:p>
            <w:pPr>
              <w:spacing w:after="0" w:line="196" w:lineRule="exact"/>
              <w:rPr>
                <w:rFonts w:ascii="Arial" w:cs="Arial" w:eastAsia="Arial" w:hAnsi="Arial"/>
                <w:sz w:val="18"/>
                <w:szCs w:val="18"/>
                <w:color w:val="0000EE"/>
              </w:rPr>
            </w:pPr>
            <w:hyperlink w:anchor="page295">
              <w:r>
                <w:rPr>
                  <w:rFonts w:ascii="Arial" w:cs="Arial" w:eastAsia="Arial" w:hAnsi="Arial"/>
                  <w:sz w:val="18"/>
                  <w:szCs w:val="18"/>
                  <w:color w:val="0000EE"/>
                </w:rPr>
                <w:t>Notes to Condensed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 of Tenaya Therapeutics,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have audited the accompanying balance sheets of Tenaya Therapeutics, Inc. (the Company) as of December 31, 2019 and 2020, the related statements of operations and comprehensive loss,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2019 and 2020, and the results of its operations and its cash flows for each of the two years in the period ended December 31, 2020,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and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7, 2021 (July 26, 2021, as to the effects of the reverse stock split described in Note 13)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9" w:right="5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128,535</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Investments in marketable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1,429</w:t>
            </w:r>
          </w:p>
        </w:tc>
      </w:tr>
      <w:tr>
        <w:trPr>
          <w:trHeight w:val="223"/>
        </w:trPr>
        <w:tc>
          <w:tcPr>
            <w:tcW w:w="90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27,742</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129,964</w:t>
            </w: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17,185</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547</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r>
      <w:tr>
        <w:trPr>
          <w:trHeight w:val="223"/>
        </w:trPr>
        <w:tc>
          <w:tcPr>
            <w:tcW w:w="90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148,161</w:t>
            </w:r>
          </w:p>
        </w:tc>
        <w:tc>
          <w:tcPr>
            <w:tcW w:w="12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1,017</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3,161</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preferred stock tranche liability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Deferred rent and other lease liabilities, 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863</w:t>
            </w:r>
          </w:p>
        </w:tc>
      </w:tr>
      <w:tr>
        <w:trPr>
          <w:trHeight w:val="27"/>
        </w:trPr>
        <w:tc>
          <w:tcPr>
            <w:tcW w:w="9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5,041</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rent and other lease liabilities, non-current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3,662</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23"/>
        </w:trPr>
        <w:tc>
          <w:tcPr>
            <w:tcW w:w="90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8,698</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8,722</w:t>
            </w: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60" w:type="dxa"/>
            <w:vAlign w:val="bottom"/>
          </w:tcPr>
          <w:p>
            <w:pPr>
              <w:spacing w:after="0" w:line="201" w:lineRule="exact"/>
              <w:rPr>
                <w:sz w:val="20"/>
                <w:szCs w:val="20"/>
                <w:color w:val="auto"/>
              </w:rPr>
            </w:pPr>
            <w:r>
              <w:rPr>
                <w:rFonts w:ascii="Arial" w:cs="Arial" w:eastAsia="Arial" w:hAnsi="Arial"/>
                <w:sz w:val="18"/>
                <w:szCs w:val="18"/>
                <w:color w:val="auto"/>
                <w:w w:val="91"/>
              </w:rPr>
              <w:t>Convertible preferred stock, $0.0001 par value; 17,816,666 and 26,102,301 shares authorized as of December 31, 2019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w w:val="90"/>
              </w:rPr>
              <w:t>2020; 11,403,077 and 24,493,528 shares issued and outstanding as of December 31, 2019 and 2020; aggregate liquidation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preference of $227,900 as of December 31,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73,042</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220,754</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60" w:type="dxa"/>
            <w:vAlign w:val="bottom"/>
          </w:tcPr>
          <w:p>
            <w:pPr>
              <w:spacing w:after="0" w:line="201" w:lineRule="exact"/>
              <w:rPr>
                <w:sz w:val="20"/>
                <w:szCs w:val="20"/>
                <w:color w:val="auto"/>
              </w:rPr>
            </w:pPr>
            <w:r>
              <w:rPr>
                <w:rFonts w:ascii="Arial" w:cs="Arial" w:eastAsia="Arial" w:hAnsi="Arial"/>
                <w:sz w:val="18"/>
                <w:szCs w:val="18"/>
                <w:color w:val="auto"/>
                <w:w w:val="95"/>
              </w:rPr>
              <w:t>Common stock, $0.0001 par value; 21,408,000 and 30,330,000 shares authorized as of December 31, 2019 and 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1,193,488 and 1,210,306 shares issued and outstanding as of December 31, 2019 and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Notes receivable from stockholders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(44,417)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(82,812)</w:t>
            </w:r>
          </w:p>
        </w:tc>
      </w:t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(43,739)</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(81,315)</w:t>
            </w:r>
          </w:p>
        </w:tc>
        <w:tc>
          <w:tcPr>
            <w:tcW w:w="120" w:type="dxa"/>
            <w:vAlign w:val="bottom"/>
          </w:tcPr>
          <w:p>
            <w:pPr>
              <w:spacing w:after="0"/>
              <w:rPr>
                <w:sz w:val="20"/>
                <w:szCs w:val="20"/>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148,161</w:t>
            </w:r>
          </w:p>
        </w:tc>
      </w:tr>
      <w:tr>
        <w:trPr>
          <w:trHeight w:val="20"/>
        </w:trPr>
        <w:tc>
          <w:tcPr>
            <w:tcW w:w="9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Year Ended</w:t>
      </w:r>
    </w:p>
    <w:p>
      <w:pPr>
        <w:jc w:val="center"/>
        <w:ind w:left="90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23,148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31,099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4,564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30"/>
        </w:trPr>
        <w:tc>
          <w:tcPr>
            <w:tcW w:w="92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(27,712)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(38,912)</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9200" w:type="dxa"/>
            <w:vAlign w:val="bottom"/>
          </w:tcPr>
          <w:p>
            <w:pPr>
              <w:ind w:left="72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(26,231)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(38,395)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95"/>
              </w:rPr>
              <w:t>(26,231)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(38,395)</w:t>
            </w:r>
          </w:p>
        </w:tc>
        <w:tc>
          <w:tcPr>
            <w:tcW w:w="0" w:type="dxa"/>
            <w:vAlign w:val="bottom"/>
          </w:tcPr>
          <w:p>
            <w:pPr>
              <w:spacing w:after="0"/>
              <w:rPr>
                <w:sz w:val="1"/>
                <w:szCs w:val="1"/>
                <w:color w:val="auto"/>
              </w:rPr>
            </w:pPr>
          </w:p>
        </w:tc>
      </w:tr>
      <w:tr>
        <w:trPr>
          <w:trHeight w:val="202"/>
        </w:trPr>
        <w:tc>
          <w:tcPr>
            <w:tcW w:w="9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755,779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972,091</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700" w:type="dxa"/>
            <w:vAlign w:val="bottom"/>
          </w:tcPr>
          <w:p>
            <w:pPr>
              <w:spacing w:after="0"/>
              <w:rPr>
                <w:sz w:val="3"/>
                <w:szCs w:val="3"/>
                <w:color w:val="auto"/>
              </w:rPr>
            </w:pPr>
          </w:p>
        </w:tc>
        <w:tc>
          <w:tcPr>
            <w:tcW w:w="150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Convertible</w:t>
            </w: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Notes</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700" w:type="dxa"/>
            <w:vAlign w:val="bottom"/>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00" w:type="dxa"/>
            <w:vAlign w:val="bottom"/>
          </w:tcPr>
          <w:p>
            <w:pPr>
              <w:spacing w:after="0"/>
              <w:rPr>
                <w:sz w:val="7"/>
                <w:szCs w:val="7"/>
                <w:color w:val="auto"/>
              </w:rPr>
            </w:pPr>
          </w:p>
        </w:tc>
        <w:tc>
          <w:tcPr>
            <w:tcW w:w="1500" w:type="dxa"/>
            <w:vAlign w:val="bottom"/>
            <w:gridSpan w:val="6"/>
            <w:vMerge w:val="continue"/>
          </w:tcPr>
          <w:p>
            <w:pPr>
              <w:spacing w:after="0"/>
              <w:rPr>
                <w:sz w:val="7"/>
                <w:szCs w:val="7"/>
                <w:color w:val="auto"/>
              </w:rPr>
            </w:pPr>
          </w:p>
        </w:tc>
        <w:tc>
          <w:tcPr>
            <w:tcW w:w="200" w:type="dxa"/>
            <w:vAlign w:val="bottom"/>
            <w:tcBorders>
              <w:lef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Receivable</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1420" w:type="dxa"/>
            <w:vAlign w:val="bottom"/>
            <w:gridSpan w:val="5"/>
            <w:vMerge w:val="restart"/>
          </w:tcPr>
          <w:p>
            <w:pPr>
              <w:jc w:val="right"/>
              <w:ind w:right="148"/>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5"/>
                <w:szCs w:val="5"/>
                <w:color w:val="auto"/>
              </w:rPr>
            </w:pPr>
          </w:p>
        </w:tc>
        <w:tc>
          <w:tcPr>
            <w:tcW w:w="200" w:type="dxa"/>
            <w:vAlign w:val="bottom"/>
            <w:tcBorders>
              <w:left w:val="single" w:sz="8" w:color="auto"/>
            </w:tcBorders>
          </w:tcPr>
          <w:p>
            <w:pPr>
              <w:spacing w:after="0"/>
              <w:rPr>
                <w:sz w:val="5"/>
                <w:szCs w:val="5"/>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700" w:type="dxa"/>
            <w:vAlign w:val="bottom"/>
          </w:tcPr>
          <w:p>
            <w:pPr>
              <w:spacing w:after="0"/>
              <w:rPr>
                <w:sz w:val="9"/>
                <w:szCs w:val="9"/>
                <w:color w:val="auto"/>
              </w:rPr>
            </w:pPr>
          </w:p>
        </w:tc>
        <w:tc>
          <w:tcPr>
            <w:tcW w:w="1420" w:type="dxa"/>
            <w:vAlign w:val="bottom"/>
            <w:tcBorders>
              <w:bottom w:val="single" w:sz="8" w:color="auto"/>
            </w:tcBorders>
            <w:gridSpan w:val="5"/>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00" w:type="dxa"/>
            <w:vAlign w:val="bottom"/>
            <w:tcBorders>
              <w:left w:val="single" w:sz="8" w:color="auto"/>
            </w:tcBorders>
          </w:tcPr>
          <w:p>
            <w:pPr>
              <w:spacing w:after="0"/>
              <w:rPr>
                <w:sz w:val="9"/>
                <w:szCs w:val="9"/>
                <w:color w:val="auto"/>
              </w:rPr>
            </w:pPr>
          </w:p>
        </w:tc>
        <w:tc>
          <w:tcPr>
            <w:tcW w:w="1220" w:type="dxa"/>
            <w:vAlign w:val="bottom"/>
            <w:tcBorders>
              <w:bottom w:val="single" w:sz="8" w:color="auto"/>
            </w:tcBorders>
            <w:gridSpan w:val="3"/>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
                <w:szCs w:val="2"/>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left w:val="single" w:sz="8" w:color="auto"/>
            </w:tcBorders>
          </w:tcPr>
          <w:p>
            <w:pPr>
              <w:spacing w:after="0"/>
              <w:rPr>
                <w:sz w:val="2"/>
                <w:szCs w:val="2"/>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7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Borders>
              <w:left w:val="single" w:sz="8" w:color="auto"/>
            </w:tcBorders>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January 1, 2019</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8,316,662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43,393</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left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1,093,159</w:t>
            </w:r>
          </w:p>
        </w:tc>
        <w:tc>
          <w:tcPr>
            <w:tcW w:w="2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(18,186)</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(18,040)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00" w:type="dxa"/>
            <w:vAlign w:val="bottom"/>
          </w:tcPr>
          <w:p>
            <w:pPr>
              <w:ind w:left="220"/>
              <w:spacing w:after="0" w:line="130" w:lineRule="exact"/>
              <w:rPr>
                <w:sz w:val="20"/>
                <w:szCs w:val="20"/>
                <w:color w:val="auto"/>
              </w:rPr>
            </w:pPr>
            <w:r>
              <w:rPr>
                <w:rFonts w:ascii="Arial" w:cs="Arial" w:eastAsia="Arial" w:hAnsi="Arial"/>
                <w:sz w:val="14"/>
                <w:szCs w:val="14"/>
                <w:color w:val="auto"/>
              </w:rPr>
              <w:t>Issuance of Series B convertible preferred stock, net of</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360"/>
              <w:spacing w:after="0" w:line="149" w:lineRule="exact"/>
              <w:rPr>
                <w:sz w:val="20"/>
                <w:szCs w:val="20"/>
                <w:color w:val="auto"/>
              </w:rPr>
            </w:pPr>
            <w:r>
              <w:rPr>
                <w:rFonts w:ascii="Arial" w:cs="Arial" w:eastAsia="Arial" w:hAnsi="Arial"/>
                <w:sz w:val="14"/>
                <w:szCs w:val="14"/>
                <w:color w:val="auto"/>
              </w:rPr>
              <w:t>issuance costs of $221 and recognition of convertible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360"/>
              <w:spacing w:after="0" w:line="149" w:lineRule="exact"/>
              <w:rPr>
                <w:sz w:val="20"/>
                <w:szCs w:val="20"/>
                <w:color w:val="auto"/>
              </w:rPr>
            </w:pPr>
            <w:r>
              <w:rPr>
                <w:rFonts w:ascii="Arial" w:cs="Arial" w:eastAsia="Arial" w:hAnsi="Arial"/>
                <w:sz w:val="14"/>
                <w:szCs w:val="14"/>
                <w:color w:val="auto"/>
              </w:rPr>
              <w:t>preferred stock liability upon issuance of Series B</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360"/>
              <w:spacing w:after="0"/>
              <w:rPr>
                <w:sz w:val="20"/>
                <w:szCs w:val="20"/>
                <w:color w:val="auto"/>
              </w:rPr>
            </w:pPr>
            <w:r>
              <w:rPr>
                <w:rFonts w:ascii="Arial" w:cs="Arial" w:eastAsia="Arial" w:hAnsi="Arial"/>
                <w:sz w:val="14"/>
                <w:szCs w:val="14"/>
                <w:color w:val="auto"/>
              </w:rPr>
              <w:t>convertible preferred stock of $797</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3,086,415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29,649</w:t>
            </w:r>
          </w:p>
        </w:tc>
        <w:tc>
          <w:tcPr>
            <w:tcW w:w="200" w:type="dxa"/>
            <w:vAlign w:val="bottom"/>
            <w:tcBorders>
              <w:left w:val="single" w:sz="8" w:color="auto"/>
            </w:tcBorders>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7"/>
              </w:rPr>
              <w:t>Issuance of common stock to a related party for the grant</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of rights and licenses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16,666</w:t>
            </w:r>
          </w:p>
        </w:tc>
        <w:tc>
          <w:tcPr>
            <w:tcW w:w="3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370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360"/>
              <w:spacing w:after="0"/>
              <w:rPr>
                <w:sz w:val="20"/>
                <w:szCs w:val="20"/>
                <w:color w:val="auto"/>
              </w:rPr>
            </w:pPr>
            <w:r>
              <w:rPr>
                <w:rFonts w:ascii="Arial" w:cs="Arial" w:eastAsia="Arial" w:hAnsi="Arial"/>
                <w:sz w:val="14"/>
                <w:szCs w:val="14"/>
                <w:color w:val="auto"/>
              </w:rPr>
              <w:t>options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89,746</w:t>
            </w:r>
          </w:p>
        </w:tc>
        <w:tc>
          <w:tcPr>
            <w:tcW w:w="34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7"/>
              </w:rPr>
              <w:t>Repurchase of common stock related to early exercise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options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(6,083)</w:t>
            </w:r>
          </w:p>
        </w:tc>
        <w:tc>
          <w:tcPr>
            <w:tcW w:w="3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Vesting of early exercised stock options</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Notes receivable from stockholders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 and other comprehensive loss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(26,231)</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(26,231)</w:t>
            </w:r>
          </w:p>
        </w:tc>
        <w:tc>
          <w:tcPr>
            <w:tcW w:w="0" w:type="dxa"/>
            <w:vAlign w:val="bottom"/>
          </w:tcPr>
          <w:p>
            <w:pPr>
              <w:spacing w:after="0"/>
              <w:rPr>
                <w:sz w:val="1"/>
                <w:szCs w:val="1"/>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 as of December 31, 2019</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11,403,077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73,042</w:t>
            </w:r>
          </w:p>
        </w:tc>
        <w:tc>
          <w:tcPr>
            <w:tcW w:w="80" w:type="dxa"/>
            <w:vAlign w:val="bottom"/>
          </w:tcPr>
          <w:p>
            <w:pPr>
              <w:spacing w:after="0"/>
              <w:rPr>
                <w:sz w:val="13"/>
                <w:szCs w:val="13"/>
                <w:color w:val="auto"/>
              </w:rPr>
            </w:pPr>
          </w:p>
        </w:tc>
        <w:tc>
          <w:tcPr>
            <w:tcW w:w="200" w:type="dxa"/>
            <w:vAlign w:val="bottom"/>
            <w:tcBorders>
              <w:left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1,193,488</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(44,417)</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(43,739)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Series B convertible preferred stock, net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issuance costs of $49 and settlement of convertible</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preferred stock tranche liability of $711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6,172,830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61,995</w:t>
            </w:r>
          </w:p>
        </w:tc>
        <w:tc>
          <w:tcPr>
            <w:tcW w:w="200" w:type="dxa"/>
            <w:vAlign w:val="bottom"/>
            <w:tcBorders>
              <w:left w:val="single" w:sz="8" w:color="auto"/>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700" w:type="dxa"/>
            <w:vAlign w:val="bottom"/>
          </w:tcPr>
          <w:p>
            <w:pPr>
              <w:ind w:left="220"/>
              <w:spacing w:after="0" w:line="130" w:lineRule="exact"/>
              <w:rPr>
                <w:sz w:val="20"/>
                <w:szCs w:val="20"/>
                <w:color w:val="auto"/>
              </w:rPr>
            </w:pPr>
            <w:r>
              <w:rPr>
                <w:rFonts w:ascii="Arial" w:cs="Arial" w:eastAsia="Arial" w:hAnsi="Arial"/>
                <w:sz w:val="14"/>
                <w:szCs w:val="14"/>
                <w:color w:val="auto"/>
              </w:rPr>
              <w:t>Issuance of Series C convertible preferred stock, net of</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360"/>
              <w:spacing w:after="0"/>
              <w:rPr>
                <w:sz w:val="20"/>
                <w:szCs w:val="20"/>
                <w:color w:val="auto"/>
              </w:rPr>
            </w:pPr>
            <w:r>
              <w:rPr>
                <w:rFonts w:ascii="Arial" w:cs="Arial" w:eastAsia="Arial" w:hAnsi="Arial"/>
                <w:sz w:val="14"/>
                <w:szCs w:val="14"/>
                <w:color w:val="auto"/>
              </w:rPr>
              <w:t>issuance costs of $283</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6,917,621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85,717</w:t>
            </w:r>
          </w:p>
        </w:tc>
        <w:tc>
          <w:tcPr>
            <w:tcW w:w="200" w:type="dxa"/>
            <w:vAlign w:val="bottom"/>
            <w:tcBorders>
              <w:left w:val="single" w:sz="8" w:color="auto"/>
            </w:tcBorders>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options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17,846</w:t>
            </w:r>
          </w:p>
        </w:tc>
        <w:tc>
          <w:tcPr>
            <w:tcW w:w="3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3700" w:type="dxa"/>
            <w:vAlign w:val="bottom"/>
          </w:tcPr>
          <w:p>
            <w:pPr>
              <w:ind w:left="220"/>
              <w:spacing w:after="0" w:line="130" w:lineRule="exact"/>
              <w:rPr>
                <w:sz w:val="20"/>
                <w:szCs w:val="20"/>
                <w:color w:val="auto"/>
              </w:rPr>
            </w:pPr>
            <w:r>
              <w:rPr>
                <w:rFonts w:ascii="Arial" w:cs="Arial" w:eastAsia="Arial" w:hAnsi="Arial"/>
                <w:sz w:val="14"/>
                <w:szCs w:val="14"/>
                <w:color w:val="auto"/>
                <w:w w:val="97"/>
              </w:rPr>
              <w:t>Repurchase of common stock related to early exercise of</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360"/>
              <w:spacing w:after="0"/>
              <w:rPr>
                <w:sz w:val="20"/>
                <w:szCs w:val="20"/>
                <w:color w:val="auto"/>
              </w:rPr>
            </w:pPr>
            <w:r>
              <w:rPr>
                <w:rFonts w:ascii="Arial" w:cs="Arial" w:eastAsia="Arial" w:hAnsi="Arial"/>
                <w:sz w:val="14"/>
                <w:szCs w:val="14"/>
                <w:color w:val="auto"/>
              </w:rPr>
              <w:t>options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(1,028)</w:t>
            </w:r>
          </w:p>
        </w:tc>
        <w:tc>
          <w:tcPr>
            <w:tcW w:w="34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Vesting of early exercised stock options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Notes receivable from stockholders</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Net loss and other comprehensive loss</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(38,395)</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(38,395)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2020</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24,493,528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220,754</w:t>
            </w:r>
          </w:p>
        </w:tc>
        <w:tc>
          <w:tcPr>
            <w:tcW w:w="200" w:type="dxa"/>
            <w:vAlign w:val="bottom"/>
            <w:tcBorders>
              <w:lef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1,210,306</w:t>
            </w:r>
          </w:p>
        </w:tc>
        <w:tc>
          <w:tcPr>
            <w:tcW w:w="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(82,812)</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(81,315)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0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(26,231)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(38,395)</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1,989</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2,483</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8"/>
        </w:trPr>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Accretion of discount on marketable securities</w:t>
            </w:r>
          </w:p>
        </w:tc>
        <w:tc>
          <w:tcPr>
            <w:tcW w:w="1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(96)</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8"/>
        </w:trPr>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Non-cash stock expense related to the grant of rights and licenses from a related party</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 in fair value of convertible preferred stock tranche liability</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8"/>
        </w:trPr>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(378)</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9"/>
        </w:trPr>
        <w:tc>
          <w:tcPr>
            <w:tcW w:w="9040" w:type="dxa"/>
            <w:vAlign w:val="bottom"/>
          </w:tcPr>
          <w:p>
            <w:pPr>
              <w:ind w:left="580"/>
              <w:spacing w:after="0" w:line="149" w:lineRule="exact"/>
              <w:rPr>
                <w:sz w:val="20"/>
                <w:szCs w:val="20"/>
                <w:color w:val="auto"/>
              </w:rPr>
            </w:pPr>
            <w:r>
              <w:rPr>
                <w:rFonts w:ascii="Arial" w:cs="Arial" w:eastAsia="Arial" w:hAnsi="Arial"/>
                <w:sz w:val="14"/>
                <w:szCs w:val="14"/>
                <w:color w:val="auto"/>
              </w:rPr>
              <w:t>Other non-current assets</w:t>
            </w:r>
          </w:p>
        </w:tc>
        <w:tc>
          <w:tcPr>
            <w:tcW w:w="1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8"/>
        </w:trPr>
        <w:tc>
          <w:tcPr>
            <w:tcW w:w="9040" w:type="dxa"/>
            <w:vAlign w:val="bottom"/>
          </w:tcPr>
          <w:p>
            <w:pPr>
              <w:ind w:left="5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514</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Deferred rent and other lease liabilities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(691)</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48"/>
        </w:trPr>
        <w:tc>
          <w:tcPr>
            <w:tcW w:w="9040" w:type="dxa"/>
            <w:vAlign w:val="bottom"/>
          </w:tcPr>
          <w:p>
            <w:pPr>
              <w:ind w:left="580"/>
              <w:spacing w:after="0" w:line="149" w:lineRule="exact"/>
              <w:rPr>
                <w:sz w:val="20"/>
                <w:szCs w:val="20"/>
                <w:color w:val="auto"/>
              </w:rPr>
            </w:pPr>
            <w:r>
              <w:rPr>
                <w:rFonts w:ascii="Arial" w:cs="Arial" w:eastAsia="Arial" w:hAnsi="Arial"/>
                <w:sz w:val="14"/>
                <w:szCs w:val="14"/>
                <w:color w:val="auto"/>
              </w:rPr>
              <w:t>Other non-current liabilities</w:t>
            </w:r>
          </w:p>
        </w:tc>
        <w:tc>
          <w:tcPr>
            <w:tcW w:w="1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(77)</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0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used in operating activities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(24,096)</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(35,447)</w:t>
            </w:r>
          </w:p>
        </w:tc>
        <w:tc>
          <w:tcPr>
            <w:tcW w:w="0" w:type="dxa"/>
            <w:vAlign w:val="bottom"/>
          </w:tcPr>
          <w:p>
            <w:pPr>
              <w:spacing w:after="0"/>
              <w:rPr>
                <w:sz w:val="1"/>
                <w:szCs w:val="1"/>
                <w:color w:val="auto"/>
              </w:rPr>
            </w:pPr>
          </w:p>
        </w:tc>
      </w:tr>
      <w:tr>
        <w:trPr>
          <w:trHeight w:val="155"/>
        </w:trPr>
        <w:tc>
          <w:tcPr>
            <w:tcW w:w="90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(2,926)</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(9,763)</w:t>
            </w:r>
          </w:p>
        </w:tc>
        <w:tc>
          <w:tcPr>
            <w:tcW w:w="0" w:type="dxa"/>
            <w:vAlign w:val="bottom"/>
          </w:tcPr>
          <w:p>
            <w:pPr>
              <w:spacing w:after="0"/>
              <w:rPr>
                <w:sz w:val="1"/>
                <w:szCs w:val="1"/>
                <w:color w:val="auto"/>
              </w:rPr>
            </w:pPr>
          </w:p>
        </w:tc>
      </w:tr>
      <w:tr>
        <w:trPr>
          <w:trHeight w:val="148"/>
        </w:trPr>
        <w:tc>
          <w:tcPr>
            <w:tcW w:w="9040" w:type="dxa"/>
            <w:vAlign w:val="bottom"/>
          </w:tcPr>
          <w:p>
            <w:pPr>
              <w:spacing w:after="0" w:line="149" w:lineRule="exact"/>
              <w:rPr>
                <w:sz w:val="20"/>
                <w:szCs w:val="20"/>
                <w:color w:val="auto"/>
              </w:rPr>
            </w:pPr>
            <w:r>
              <w:rPr>
                <w:rFonts w:ascii="Arial" w:cs="Arial" w:eastAsia="Arial" w:hAnsi="Arial"/>
                <w:sz w:val="14"/>
                <w:szCs w:val="14"/>
                <w:color w:val="auto"/>
              </w:rPr>
              <w:t>Purchases of marketable securities</w:t>
            </w:r>
          </w:p>
        </w:tc>
        <w:tc>
          <w:tcPr>
            <w:tcW w:w="1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(12,657)</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maturities of marketable securities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163"/>
        </w:trPr>
        <w:tc>
          <w:tcPr>
            <w:tcW w:w="9040" w:type="dxa"/>
            <w:vAlign w:val="bottom"/>
          </w:tcPr>
          <w:p>
            <w:pPr>
              <w:ind w:left="860"/>
              <w:spacing w:after="0" w:line="155"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(5,583)</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40" w:type="dxa"/>
            <w:vAlign w:val="bottom"/>
          </w:tcPr>
          <w:p>
            <w:pPr>
              <w:spacing w:after="0" w:line="149" w:lineRule="exact"/>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30,446</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61,284</w:t>
            </w:r>
          </w:p>
        </w:tc>
        <w:tc>
          <w:tcPr>
            <w:tcW w:w="0" w:type="dxa"/>
            <w:vAlign w:val="bottom"/>
          </w:tcPr>
          <w:p>
            <w:pPr>
              <w:spacing w:after="0"/>
              <w:rPr>
                <w:sz w:val="1"/>
                <w:szCs w:val="1"/>
                <w:color w:val="auto"/>
              </w:rPr>
            </w:pPr>
          </w:p>
        </w:tc>
      </w:tr>
      <w:tr>
        <w:trPr>
          <w:trHeight w:val="149"/>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85,951</w:t>
            </w:r>
          </w:p>
        </w:tc>
        <w:tc>
          <w:tcPr>
            <w:tcW w:w="0" w:type="dxa"/>
            <w:vAlign w:val="bottom"/>
          </w:tcPr>
          <w:p>
            <w:pPr>
              <w:spacing w:after="0"/>
              <w:rPr>
                <w:sz w:val="1"/>
                <w:szCs w:val="1"/>
                <w:color w:val="auto"/>
              </w:rPr>
            </w:pPr>
          </w:p>
        </w:tc>
      </w:tr>
      <w:tr>
        <w:trPr>
          <w:trHeight w:val="148"/>
        </w:trPr>
        <w:tc>
          <w:tcPr>
            <w:tcW w:w="904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Repurchases of common stock</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9040" w:type="dxa"/>
            <w:vAlign w:val="bottom"/>
          </w:tcPr>
          <w:p>
            <w:pPr>
              <w:ind w:left="8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30,511</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147,268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cash equivalents and restricted cash</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832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104,811</w:t>
            </w:r>
          </w:p>
        </w:tc>
        <w:tc>
          <w:tcPr>
            <w:tcW w:w="0" w:type="dxa"/>
            <w:vAlign w:val="bottom"/>
          </w:tcPr>
          <w:p>
            <w:pPr>
              <w:spacing w:after="0"/>
              <w:rPr>
                <w:sz w:val="1"/>
                <w:szCs w:val="1"/>
                <w:color w:val="auto"/>
              </w:rPr>
            </w:pPr>
          </w:p>
        </w:tc>
      </w:tr>
      <w:tr>
        <w:trPr>
          <w:trHeight w:val="155"/>
        </w:trPr>
        <w:tc>
          <w:tcPr>
            <w:tcW w:w="904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23,439</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24,271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24,271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129,082</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4"/>
                <w:szCs w:val="14"/>
                <w:b w:val="1"/>
                <w:bCs w:val="1"/>
                <w:color w:val="auto"/>
              </w:rPr>
              <w:t>Components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23,872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128,535</w:t>
            </w:r>
          </w:p>
        </w:tc>
        <w:tc>
          <w:tcPr>
            <w:tcW w:w="0" w:type="dxa"/>
            <w:vAlign w:val="bottom"/>
          </w:tcPr>
          <w:p>
            <w:pPr>
              <w:spacing w:after="0"/>
              <w:rPr>
                <w:sz w:val="1"/>
                <w:szCs w:val="1"/>
                <w:color w:val="auto"/>
              </w:rPr>
            </w:pPr>
          </w:p>
        </w:tc>
      </w:tr>
      <w:tr>
        <w:trPr>
          <w:trHeight w:val="155"/>
        </w:trPr>
        <w:tc>
          <w:tcPr>
            <w:tcW w:w="9040" w:type="dxa"/>
            <w:vAlign w:val="bottom"/>
          </w:tcPr>
          <w:p>
            <w:pPr>
              <w:spacing w:after="0" w:line="149" w:lineRule="exact"/>
              <w:rPr>
                <w:sz w:val="20"/>
                <w:szCs w:val="20"/>
                <w:color w:val="auto"/>
              </w:rPr>
            </w:pPr>
            <w:r>
              <w:rPr>
                <w:rFonts w:ascii="Arial" w:cs="Arial" w:eastAsia="Arial" w:hAnsi="Arial"/>
                <w:sz w:val="14"/>
                <w:szCs w:val="14"/>
                <w:color w:val="auto"/>
              </w:rPr>
              <w:t>Restricted cash, non-current</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24,271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129,082</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included in accounts payable and accrued expenses and other current liabilities</w:t>
            </w: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4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4"/>
                <w:szCs w:val="14"/>
                <w:color w:val="auto"/>
              </w:rPr>
              <w:t>Settlement of convertible preferred stock tranche liability in connection with the issuance of Series B convertible preferred stock</w:t>
            </w: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4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7"/>
              </w:rPr>
              <w:t>Deferred offering costs related to Series C convertible preferred stock included in accounts payable and accrued expenses and other current liabilities</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Company has incurred net losses since inception and expects such losses to continue in the future as it conducts research and development activities. As of December 31, 2020, the Company had an accumulated deficit of $82.8 million. The Company incurred a net loss of $26.2 million and $38.4 million during the years ended December 31, 2019 and 2020. The Company had $128.5 million of cash and cash equivalents as of December 31, 2020. In addition, in January 2021, the Company raised $20.0 million in gross proceeds from the issuance and sale of shares of its Series C convertible preferred stock (see Note 13).</w:t>
      </w:r>
    </w:p>
    <w:p>
      <w:pPr>
        <w:spacing w:after="0" w:line="188" w:lineRule="exact"/>
        <w:rPr>
          <w:sz w:val="20"/>
          <w:szCs w:val="20"/>
          <w:color w:val="auto"/>
        </w:rPr>
      </w:pPr>
    </w:p>
    <w:p>
      <w:pPr>
        <w:ind w:left="120" w:right="320" w:firstLine="440"/>
        <w:spacing w:after="0" w:line="296" w:lineRule="auto"/>
        <w:rPr>
          <w:sz w:val="20"/>
          <w:szCs w:val="20"/>
          <w:color w:val="auto"/>
        </w:rPr>
      </w:pPr>
      <w:r>
        <w:rPr>
          <w:rFonts w:ascii="Arial" w:cs="Arial" w:eastAsia="Arial" w:hAnsi="Arial"/>
          <w:sz w:val="16"/>
          <w:szCs w:val="16"/>
          <w:color w:val="auto"/>
        </w:rPr>
        <w:t>Management recognizes the need to raise capital to fully implement its business plan. The Company has historically financed its operations primarily with proceeds from the issuance of its convertible preferred stock and may seek to raise capital through equity financings, debt financings, license agreements, collaborative agreements or other sources of financing. Management believes that its existing cash and cash equivalents as of December 31, 2020, together with the funds raised in January 2021 from the sale of Series C convertible preferred stock, are sufficient to fund the Company’s operations for at least the next twelve months following the issuance date of these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(GAAP).</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Significant estimates and assumptions made in the accompanying financial statements include, but are not limited to, the fair value of common stock, the valuation of equity-based awards, the useful lives of property and equipment, the fair value of the convertible preferred stock tranche liability, accrued expenses related to research and development activities and the valuation allowance for deferred tax assets. Management bases its estimates on historical experience, the current economic environment, and on various other assumptions that are believed to be reasonable under the circumstances. Actual results may differ from those estimates or assumptions.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360" w:firstLine="440"/>
        <w:spacing w:after="0" w:line="258"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between market participants on the measurement date. Fair value measurement establishes a three-level fair value</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hierarchy that requires an entity to maximize the use of observable inputs, where available, and minimize the use of unobservable inputs when measuring fair value. The three-level hierarchy of inputs is as follows: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Level 1</w:t>
      </w:r>
      <w:r>
        <w:rPr>
          <w:rFonts w:ascii="Arial" w:cs="Arial" w:eastAsia="Arial" w:hAnsi="Arial"/>
          <w:sz w:val="16"/>
          <w:szCs w:val="16"/>
          <w:color w:val="auto"/>
        </w:rPr>
        <w:t>—Observable inputs such as unadjusted quoted prices in active markets for identical assets or liabilities as of the measurement date;</w:t>
      </w:r>
    </w:p>
    <w:p>
      <w:pPr>
        <w:spacing w:after="0" w:line="140" w:lineRule="exact"/>
        <w:rPr>
          <w:sz w:val="20"/>
          <w:szCs w:val="20"/>
          <w:color w:val="auto"/>
        </w:rPr>
      </w:pPr>
    </w:p>
    <w:p>
      <w:pPr>
        <w:ind w:left="1260" w:right="20" w:hanging="706"/>
        <w:spacing w:after="0" w:line="277"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—Inputs (other than quoted prices included within Level 1) that are directly observable for the asset or liability or indirectly observable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assets or liabilities;</w:t>
      </w:r>
    </w:p>
    <w:p>
      <w:pPr>
        <w:spacing w:after="0" w:line="62" w:lineRule="exact"/>
        <w:rPr>
          <w:sz w:val="20"/>
          <w:szCs w:val="20"/>
          <w:color w:val="auto"/>
        </w:rPr>
      </w:pPr>
    </w:p>
    <w:p>
      <w:pPr>
        <w:ind w:left="1260" w:right="180" w:hanging="706"/>
        <w:spacing w:after="0" w:line="277" w:lineRule="auto"/>
        <w:rPr>
          <w:sz w:val="20"/>
          <w:szCs w:val="20"/>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—Unobservable inputs that are supported by little or no market activity and that are significant to determining the fair value of the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liabilities.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Company’s cash and cash equivalents, prepaid expenses and other current assets, accounts payable and accrued expenses and other current liabilities approximate their fair value due to their short-term nature.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Financial instruments, which potentially subject the Company to concentration of risk, consist principally of cash, cash equivalents and marketable securities. All of the Company’s cash, cash equivalents and marketable securities are invested through banks and other accredited financial institutions in the United States. Such amounts may exceed federally insured limits. The Company has not experienced any losses on its deposits of cash and cash equivalents.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Company is subject to certain risks similar to that of other early-stage biopharmaceutical companies, including, but not limited to, the ability to obtain future financing, possible failure of future clinical trials, the need to obtain regulatory approvals for its product candidates, the need to successfully commercialize and gain market acceptance of the Company’s product candidates, competitive developments, protection of the proprietary technology, the ability to make milestone, royalty or other payments due under licensing agreements, and the Company’s ability to attract and retain employees necessary to support its growth.</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ongoing COVID-19 pandemic has disrupted and may continue to disrupt the Company’s business and delay its programs and timelines. The Company does not yet know the full extent of potential delays to its preclinical trials, which could prevent or delay the Company from initiating clinical trials and obtaining approval for its product candidates. The extent to which the COVID-19 pandemic may impact the Company’s future operating results and financial condition is uncertain.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 and Geographical Information</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Company has one operating segment and one reportable segment, which is the business of developing treatments that address heart failure. The Company’s chief operating decision maker, its Chief Executive Officer, reviews financial information on an aggregate basis for the purpose of allocating resources and evaluating financial performance. All of the Company’s assets are located in the United States.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on the date of purchase to be cash equivalents. Cash equivalents primarily consist of money market funds, commercial paper and U.S. government agencies bonds that are stated at fair value.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As of December 31, 2019 and 2020, the Company’s restricted cash of $0.4 million and $0.5 million represent security deposits for the Company’s operating leases in South San Francisco, California. The security deposits are in the form of a letter of credit secured by restricted cash.</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invests in marketable securities, primarily securities issued by the U.S. government and its agencies as well as commercial paper.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Unrealized gains and losses are excluded from earnings and are reported as a component of other comprehensive loss. Realized gains and losses and declines in fair value judged to be other than temporary, if any, on available-for-sale securities are included in other income (expense), net. There are no material realized gains or losses on marketable securities for all periods presented. The cost of securities sold is based on the specific-identification method. Interest earned on marketable securities is included in interest income.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generally three to five years. Leasehold improvements are amortized over the shorter of the assets’ expected lives or the remaining lease term. Costs for capital assets not yet placed into service are capitalized as construction in progress and are not depreciated until the asset is placed in service.</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retirement or sale, the cost of disposed assets and their related accumulated depreciation are removed from the balance sheets. Any resulting gains or losses on dispositions of property and equipment are included as a component of other income (expense), net, within the Company’s statements of operations and comprehensive loss. Repair and maintenance costs, which are not considered improvements and do not extend the useful life of property and equipment, are expensed as incurred.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for Long-Lived Assets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Long-lived assets, including construction in progress, are reviewed for impairment annually or whenever events or changes in circumstances indicate that the carrying amount of an asset may not be recoverable. Recoverability of assets to be held and used is measured by comparing the carrying amount of an asset to the estimated undiscounted future net cash flows expected to be generated by the asset. If the carrying amount of the asset exceeds its estimated future cash flows, an impairment charge is recognized in the amount by which the carrying amount of the asset exceeds the fair value of the asset. Fair value is determined through various valuation techniques including discounted cash flow models, quoted market values and third-party independent appraisals, as considered necessary. There was no impairment of long-lived assets for any of the periods presented.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obligation to issue additional shares of the Company’s Series B convertible preferred stock at a fixed price on future dates was determined to be a freestanding financial instrument that is accounted for as a liability. On issuance, the Company recorded the convertible preferred stock tranche liability on the balance sheet at its estimated fair value. The liability is subject to remeasurement at each balance sheet date, with changes in fair value recognized as a gain or loss on remeasurement as a component of other income (expense), net in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statements of operations and comprehensive loss until settlement or extinguishment. The convertible preferred stock tranche liability was settled upon the second and third closings of the Company’s Series B convertible preferred stock in March and August 2020, respectively.</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Company records rent expense on a straight-line basis over the life of the lease from the date that it obtains the legal right to use and control the leased space. In cases where there is a free rent period or future fixed rent escalations, the Company records a deferred rent liability. Deferred rent consists of the difference between cash payments and the rent expense recognized.</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part of its lease agreements, the Company receives tenant improvement allowances from landlords. The Company recognizes these allowances as a leasehold incentive obligation, included in deferred rent and other lease liabilities, and amortizes allowances on a straight-line basis over the life of the lease. Allowances which contractually are not required to be paid back to the landlord, are amortized as a reduction to rent expense. Allowances which contractually are required to be paid back to the landlord are amortized over the life of the lease with a portion of the payment decreasing the allowance balance and recorded as an increase to rent expense.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Research and development (R&amp;D) costs are expensed as incurred. Research and development costs include, among others, consulting fees, salaries, benefits, travel, stock-based compensation, laboratory supplies and other non-capital equipment utilized for in-house research, allocated facilities and overhead costs, amounts owed under licensing agreements, amounts paid to contract research organizations (CRO) that conduct research and development activities on the Company’s behalf and costs related to compliance with regulatory requirements.</w:t>
      </w:r>
    </w:p>
    <w:p>
      <w:pPr>
        <w:spacing w:after="0" w:line="17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Goods or services incurred for research and development activities that have not yet been invoiced are recorded as liabilities within accrued expenses and other current liabilities on the Company’s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The Company makes judgments and estimates in determining the accrued and other current liabilities balance. If the actual timing of the performance of services or the level of effort varies from the estimate, the Company adjusts accrued expenses or prepaid expenses accordingly, which impact research and development expenses. The Company has not experienced any material differences between accrued costs and actual costs incurred. Changes in these estimates that result in material changes to the Company’s accrued costs could materially affect the Company’s results of operations.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has and may continue to acquire the rights to licensed technology that represents in-process research and development to use and develop in the commercialization of new product candidates. The upfront payments made to acquire licenses, product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Non-refundable advance payments for goods or services to be rendered as part of future research and development activities are capitalized on the Company’s balance sheets until the goods or services are received.</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Classification between prepaid expenses and other current assets and other non-current assets is based on an evaluation of when the goods will be delivered and/or services will be performed, with such amounts subsequently amortized to expense once incurred.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measures and records expense related to all equity awards granted to employees and non-employees in the statements of operations and comprehensive loss based on their grant date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purposes of determining the estimated fair value of options granted to employees and nonemployees, the Company uses the Black-Scholes option pricing model.</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fair value of restricted stock awards is determined on the date of grant based on the estimated fair value of the Company’s common stock on that date.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2019 and 2020, the Company has recorded a full valuation allowance on its net deferred tax assets.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Tax benefits related to uncertain tax positions are recognized when it is more likely than not that a tax position will be sustained during an audit.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and penalties, if any, related to unrecognized tax benefits are included within the provision for income tax.</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the Company’s common stock outstanding for the period, without consideration for potential dilutive shares of common stock. As the Company is in a loss position for the periods presented, diluted net loss per share is the same as basic net loss per share, since the effects of potentially dilutive securities are antidilutive. Shares related to early exercised stock options and restricted stock that are subject to repurchase are excluded from the basic and diluted net loss per share calculation until the Company’s repurchase right lapses.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Comprehensive loss includes net loss and certain changes in stockholders’ deficit that are excluded from net loss. The Company’s comprehensive loss is comprised of unrealized gains and losses on the Company’s marketable securities, which were immaterial for all periods presented. Accordingly, comprehensive loss is the same as net loss.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9" w:right="49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(a) is no longer an emerging growth company or (b)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On January 1, 2019, the Company adopted Financial Accounting Standards Board (FASB) Accounting Standards Update (ASU) No. 2016-18, </w:t>
      </w: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(Topic 230)—Restricted Cash (ASU 2016-18). This standard requires amounts generally described as restricted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equivalents to be included with cash and cash equivalents when reconciling beginning-of-period and end-of-period total amounts shown on the statements of cash flows. The provisions of ASU 2016-18 are applied retrospectively. The adoption of this standard did not have a material impact on the Company’s financial statements.</w:t>
      </w:r>
    </w:p>
    <w:p>
      <w:pPr>
        <w:spacing w:after="0" w:line="188"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 xml:space="preserve">On January 1, 2019, the Company early adopted FASB ASU No. 2018-07,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Nonemployee Share-Based Payment Accounting</w:t>
      </w:r>
      <w:r>
        <w:rPr>
          <w:rFonts w:ascii="Arial" w:cs="Arial" w:eastAsia="Arial" w:hAnsi="Arial"/>
          <w:sz w:val="16"/>
          <w:szCs w:val="16"/>
          <w:color w:val="auto"/>
        </w:rPr>
        <w:t>. This standard simplifies several aspects of the accounting for nonemployee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resulting from expanding the scope of Topic 718 to include share-based payment transactions for acquiring goods and services from nonemployees. The adoption of this standard did not have a material impact on the Company’s financial statements.</w:t>
      </w:r>
    </w:p>
    <w:p>
      <w:pPr>
        <w:spacing w:after="0" w:line="15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On January 1, 2020, the Company adopted FASB ASU No. 2018-13, </w:t>
      </w:r>
      <w:r>
        <w:rPr>
          <w:rFonts w:ascii="Arial" w:cs="Arial" w:eastAsia="Arial" w:hAnsi="Arial"/>
          <w:sz w:val="17"/>
          <w:szCs w:val="17"/>
          <w:i w:val="1"/>
          <w:iCs w:val="1"/>
          <w:color w:val="auto"/>
        </w:rPr>
        <w:t>Fair Value Measurement (Topic 820): Disclosure Framework—Changes to</w:t>
      </w:r>
      <w:r>
        <w:rPr>
          <w:rFonts w:ascii="Arial" w:cs="Arial" w:eastAsia="Arial" w:hAnsi="Arial"/>
          <w:sz w:val="17"/>
          <w:szCs w:val="17"/>
          <w:color w:val="auto"/>
        </w:rPr>
        <w:t xml:space="preserve"> </w:t>
      </w:r>
      <w:r>
        <w:rPr>
          <w:rFonts w:ascii="Arial" w:cs="Arial" w:eastAsia="Arial" w:hAnsi="Arial"/>
          <w:sz w:val="17"/>
          <w:szCs w:val="17"/>
          <w:i w:val="1"/>
          <w:iCs w:val="1"/>
          <w:color w:val="auto"/>
        </w:rPr>
        <w:t>the Disclosure Requirements for Fair Value Measurement</w:t>
      </w:r>
      <w:r>
        <w:rPr>
          <w:rFonts w:ascii="Arial" w:cs="Arial" w:eastAsia="Arial" w:hAnsi="Arial"/>
          <w:sz w:val="17"/>
          <w:szCs w:val="17"/>
          <w:color w:val="auto"/>
        </w:rPr>
        <w:t>. This standard eliminates, modifies and adds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The Company adopted the removed and modified disclosures on a retrospective basis and the new disclosures on a prospective basis. The adoption of this standard did not have a material impact on the Company’s financial statements.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 amended, which requires lessees to recognize operating and financing lease liabilities and corresponding right-of-use assets on the balance sheet for all leases with lease terms of more than twelve months. In July 2018, the FASB issued ASU No. 2018-11, </w:t>
      </w:r>
      <w:r>
        <w:rPr>
          <w:rFonts w:ascii="Arial" w:cs="Arial" w:eastAsia="Arial" w:hAnsi="Arial"/>
          <w:sz w:val="17"/>
          <w:szCs w:val="17"/>
          <w:i w:val="1"/>
          <w:iCs w:val="1"/>
          <w:color w:val="auto"/>
        </w:rPr>
        <w:t>Leases, Targeted Improvements (Topic 842)</w:t>
      </w:r>
      <w:r>
        <w:rPr>
          <w:rFonts w:ascii="Arial" w:cs="Arial" w:eastAsia="Arial" w:hAnsi="Arial"/>
          <w:sz w:val="17"/>
          <w:szCs w:val="17"/>
          <w:color w:val="auto"/>
        </w:rPr>
        <w:t>, an update which provides an alternative transition method, in addition to the existing modified retrospective transition method, by allowing entities to initially apply the new lease standard at the adoption date and recognize a cumulative-effect adjustment to the opening balance of retained earnings in the period of adoption. As an emerging growth company, these new lease standards are effective for the Company for fiscal year beginning January 1, 2022, with early adoption permitted. The Company is evaluating the impact of this standard on its financial statements.</w:t>
      </w:r>
    </w:p>
    <w:p>
      <w:pPr>
        <w:spacing w:after="0" w:line="17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which replaces the existing incurred loss impairment model with an expected credit loss model. This standard will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to recognize an allowance for credit losses on available-for-sale debt securities rather than the current approach of recording a reduction to the carrying value of the asset. As an emerging growth company, ASU 2016-13 is effective for the Company for fiscal year beginning January 1, 2023. The Company is evaluating the impact of this standard on its financial statements.</w:t>
      </w:r>
    </w:p>
    <w:p>
      <w:pPr>
        <w:spacing w:after="0" w:line="1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the accounting for income taxes.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9" w:right="4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This standard eliminates certain exceptions to the approach for intra period tax allocation, the methodology for calculating income taxes in an interim period and the recognition of deferred tax liabilities for outside basis differences. As an emerging growth company, ASU 2019-12 is effective for the Company for fiscal year beginning January 1, 2022. The Company is evaluating the impact of this standard on its financial statements.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Financial assets and liabilities are recognized at fair value on a recurring basis. The following table summarize the Company’s financial assets and liabilities measured at fair value on a recurring basis by level within the fair value hierarchy:</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Valuation</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0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420" w:type="dxa"/>
            <w:vAlign w:val="bottom"/>
          </w:tcPr>
          <w:p>
            <w:pPr>
              <w:spacing w:after="0"/>
              <w:rPr>
                <w:sz w:val="10"/>
                <w:szCs w:val="10"/>
                <w:color w:val="auto"/>
              </w:rPr>
            </w:pPr>
          </w:p>
        </w:tc>
        <w:tc>
          <w:tcPr>
            <w:tcW w:w="1320" w:type="dxa"/>
            <w:vAlign w:val="bottom"/>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rPr>
              <w:t>Unrealized</w:t>
            </w: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Hierarchy</w:t>
            </w:r>
          </w:p>
        </w:tc>
        <w:tc>
          <w:tcPr>
            <w:tcW w:w="160" w:type="dxa"/>
            <w:vAlign w:val="bottom"/>
          </w:tcPr>
          <w:p>
            <w:pPr>
              <w:spacing w:after="0"/>
              <w:rPr>
                <w:sz w:val="14"/>
                <w:szCs w:val="14"/>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w:t>
            </w:r>
          </w:p>
        </w:tc>
        <w:tc>
          <w:tcPr>
            <w:tcW w:w="4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b w:val="1"/>
                <w:bCs w:val="1"/>
                <w:color w:val="auto"/>
              </w:rPr>
              <w:t>Cash equivalents: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19,373</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agencies bonds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b w:val="1"/>
                <w:bCs w:val="1"/>
                <w:color w:val="auto"/>
              </w:rPr>
              <w:t>Marketable securities: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treasuries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financial assets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ind w:right="3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25,626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Convertible preferred stock tranche liability</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Level 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500" w:type="dxa"/>
            <w:vAlign w:val="bottom"/>
          </w:tcPr>
          <w:p>
            <w:pPr>
              <w:jc w:val="center"/>
              <w:ind w:right="3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00" w:type="dxa"/>
            <w:vAlign w:val="bottom"/>
          </w:tcPr>
          <w:p>
            <w:pPr>
              <w:spacing w:after="0"/>
              <w:rPr>
                <w:sz w:val="24"/>
                <w:szCs w:val="2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Valuation</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0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420" w:type="dxa"/>
            <w:vAlign w:val="bottom"/>
          </w:tcPr>
          <w:p>
            <w:pPr>
              <w:spacing w:after="0"/>
              <w:rPr>
                <w:sz w:val="10"/>
                <w:szCs w:val="10"/>
                <w:color w:val="auto"/>
              </w:rPr>
            </w:pPr>
          </w:p>
        </w:tc>
        <w:tc>
          <w:tcPr>
            <w:tcW w:w="1320" w:type="dxa"/>
            <w:vAlign w:val="bottom"/>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rPr>
              <w:t>Unrealized</w:t>
            </w: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Hierarchy</w:t>
            </w:r>
          </w:p>
        </w:tc>
        <w:tc>
          <w:tcPr>
            <w:tcW w:w="160" w:type="dxa"/>
            <w:vAlign w:val="bottom"/>
          </w:tcPr>
          <w:p>
            <w:pPr>
              <w:spacing w:after="0"/>
              <w:rPr>
                <w:sz w:val="14"/>
                <w:szCs w:val="14"/>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w:t>
            </w:r>
          </w:p>
        </w:tc>
        <w:tc>
          <w:tcPr>
            <w:tcW w:w="4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b w:val="1"/>
                <w:bCs w:val="1"/>
                <w:color w:val="auto"/>
              </w:rPr>
              <w:t>Cash equivalents: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$ 127,535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$ 127,535</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financial assets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$ 127,535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ind w:right="3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$ 127,535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Money market funds and U.S. treasuries are classified as Level 1 because they are valued using quoted market prices in active markets for identical assets. Financial instruments classified within Level 2 of the fair value hierarchy are valued based on the observable inputs or can be derived from non-binding quotes from its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188"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There were no unrealized losses as of December 31, 2019 and 2020. All available-for-sale marketable securities held as of December 31, 2019 had contractual maturities of less than one year. There were no available-for-sale marketable securities as of December 31, 2020.</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Company’s convertible preferred stock tranche liability (see Note 7) was determined based on significant inputs not observable in the market, which represents a Level 3 measurement within the fair value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hierarchy. Fair value was calculated using an option pricing model that required significant unobservable inputs supported by little or no market activity. The convertible preferred stock tranche liability is considered a non-contingent forward and the standard forward pricing (SFP) model was used with the following key assumptions: (a) calculation of an expected term and (b) a risk-free interest rate. On the second and third closings of the Company’s Series B convertible preferred stock financings in March and August 2020, the convertible preferred stock tranche liability was settled and reclassified to Series B convertible preferred stock. Accordingly, there is no convertible preferred stock tranche liability as of December 31, 2020.</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significant unobservable assumptions used to value the convertible preferred stock tranche liability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and August 24, 2020, the date immediately before the settlement of the tranche liability:</w:t>
      </w:r>
    </w:p>
    <w:p>
      <w:pPr>
        <w:spacing w:after="0" w:line="229"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4"/>
              </w:rPr>
              <w:t>August 24,</w:t>
            </w:r>
          </w:p>
        </w:tc>
      </w:tr>
      <w:tr>
        <w:trPr>
          <w:trHeight w:val="142"/>
        </w:trPr>
        <w:tc>
          <w:tcPr>
            <w:tcW w:w="63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Term to Valuation Date (in years)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0.25 – 0.75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Discount Rate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3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5.00%</w:t>
            </w:r>
          </w:p>
        </w:tc>
      </w:tr>
    </w:tbl>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summarizes the changes in the estimated fair value of the Company’s convertible preferred stock tranche liability measured on a recurring basis using significant Level 3 inputs: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w:t>
            </w:r>
          </w:p>
        </w:tc>
        <w:tc>
          <w:tcPr>
            <w:tcW w:w="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60" w:type="dxa"/>
            <w:vAlign w:val="bottom"/>
          </w:tcPr>
          <w:p>
            <w:pPr>
              <w:ind w:left="360"/>
              <w:spacing w:after="0" w:line="201" w:lineRule="exact"/>
              <w:rPr>
                <w:sz w:val="20"/>
                <w:szCs w:val="20"/>
                <w:color w:val="auto"/>
              </w:rPr>
            </w:pPr>
            <w:r>
              <w:rPr>
                <w:rFonts w:ascii="Arial" w:cs="Arial" w:eastAsia="Arial" w:hAnsi="Arial"/>
                <w:sz w:val="18"/>
                <w:szCs w:val="18"/>
                <w:color w:val="auto"/>
              </w:rPr>
              <w:t>Recognition of convertible preferred stock tranche liability upon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260" w:type="dxa"/>
            <w:vAlign w:val="bottom"/>
          </w:tcPr>
          <w:p>
            <w:pPr>
              <w:ind w:left="540"/>
              <w:spacing w:after="0"/>
              <w:rPr>
                <w:sz w:val="20"/>
                <w:szCs w:val="20"/>
                <w:color w:val="auto"/>
              </w:rPr>
            </w:pPr>
            <w:r>
              <w:rPr>
                <w:rFonts w:ascii="Arial" w:cs="Arial" w:eastAsia="Arial" w:hAnsi="Arial"/>
                <w:sz w:val="18"/>
                <w:szCs w:val="18"/>
                <w:color w:val="auto"/>
              </w:rPr>
              <w:t>issuance of Series B convertible preferred stock</w:t>
            </w:r>
          </w:p>
        </w:tc>
        <w:tc>
          <w:tcPr>
            <w:tcW w:w="100" w:type="dxa"/>
            <w:vAlign w:val="bottom"/>
          </w:tcPr>
          <w:p>
            <w:pPr>
              <w:spacing w:after="0"/>
              <w:rPr>
                <w:sz w:val="20"/>
                <w:szCs w:val="20"/>
                <w:color w:val="auto"/>
              </w:rPr>
            </w:pPr>
          </w:p>
        </w:tc>
        <w:tc>
          <w:tcPr>
            <w:tcW w:w="860" w:type="dxa"/>
            <w:vAlign w:val="bottom"/>
            <w:gridSpan w:val="3"/>
          </w:tcPr>
          <w:p>
            <w:pPr>
              <w:jc w:val="right"/>
              <w:ind w:right="268"/>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upon remeasurement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60" w:type="dxa"/>
            <w:vAlign w:val="bottom"/>
          </w:tcPr>
          <w:p>
            <w:pPr>
              <w:ind w:left="360"/>
              <w:spacing w:after="0" w:line="201" w:lineRule="exact"/>
              <w:rPr>
                <w:sz w:val="20"/>
                <w:szCs w:val="20"/>
                <w:color w:val="auto"/>
              </w:rPr>
            </w:pPr>
            <w:r>
              <w:rPr>
                <w:rFonts w:ascii="Arial" w:cs="Arial" w:eastAsia="Arial" w:hAnsi="Arial"/>
                <w:sz w:val="18"/>
                <w:szCs w:val="18"/>
                <w:color w:val="auto"/>
              </w:rPr>
              <w:t>Settlement of convertible preferred stock tranche liability on second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260" w:type="dxa"/>
            <w:vAlign w:val="bottom"/>
          </w:tcPr>
          <w:p>
            <w:pPr>
              <w:ind w:left="540"/>
              <w:spacing w:after="0"/>
              <w:rPr>
                <w:sz w:val="20"/>
                <w:szCs w:val="20"/>
                <w:color w:val="auto"/>
              </w:rPr>
            </w:pPr>
            <w:r>
              <w:rPr>
                <w:rFonts w:ascii="Arial" w:cs="Arial" w:eastAsia="Arial" w:hAnsi="Arial"/>
                <w:sz w:val="18"/>
                <w:szCs w:val="18"/>
                <w:color w:val="auto"/>
              </w:rPr>
              <w:t>third closings of the Series B convertible preferred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(711)</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$ 786</w:t>
            </w:r>
          </w:p>
        </w:tc>
        <w:tc>
          <w:tcPr>
            <w:tcW w:w="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40" w:type="dxa"/>
            <w:vAlign w:val="bottom"/>
            <w:gridSpan w:val="2"/>
          </w:tcPr>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Property and equipment, net, consists of the following: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0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3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7,237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5,846</w:t>
            </w:r>
          </w:p>
        </w:tc>
        <w:tc>
          <w:tcPr>
            <w:tcW w:w="340" w:type="dxa"/>
            <w:vAlign w:val="bottom"/>
          </w:tcPr>
          <w:p>
            <w:pPr>
              <w:spacing w:after="0"/>
              <w:rPr>
                <w:sz w:val="18"/>
                <w:szCs w:val="18"/>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13,808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23,888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w w:val="94"/>
              </w:rPr>
              <w:t>(4,233)</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9,575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$ 17,185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60" w:type="dxa"/>
            <w:vAlign w:val="bottom"/>
            <w:vMerge w:val="restart"/>
          </w:tcPr>
          <w:p>
            <w:pPr>
              <w:ind w:left="3960"/>
              <w:spacing w:after="0"/>
              <w:rPr>
                <w:sz w:val="20"/>
                <w:szCs w:val="20"/>
                <w:color w:val="auto"/>
              </w:rPr>
            </w:pPr>
            <w:r>
              <w:rPr>
                <w:rFonts w:ascii="Arial" w:cs="Arial" w:eastAsia="Arial" w:hAnsi="Arial"/>
                <w:sz w:val="18"/>
                <w:szCs w:val="18"/>
                <w:color w:val="auto"/>
              </w:rPr>
              <w:t>F-14</w:t>
            </w: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Depreciation and amortization expense for the years ended December 31, 2019 and 2020 was approximately $2.0 million and $2.5 million. Construction in progress relates to the Company’s manufacturing and office space located in Union City, California (see Note 13), and consists primarily of capitalized machinery and equipment as the Company builds-out its manufacturing facility.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4"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jc w:val="right"/>
              <w:ind w:right="37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$ 1,121</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$ 2,090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296</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391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property and equipment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$ 1,959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$ 3,161</w:t>
            </w: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Collaboration and License Agreements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Gladstone Master Collaboration Agreement</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October 2016, the Company entered into a Master Collaboration Agreement (MCA) with a related party, Gladstone Institutes (Gladstone), to collaborate on discovering therapies for the treatment of congestive heart failure and other diseases and conditions as mutually agreed. Under the MCA, the Company was required to provide minimum collaboration funding of $3.6 million during the first two years. During the year ended December 31, 2019, Gladstone completed the collaboration under the MCA and the Company satisfied the minimum collaboration funding requirement of</w:t>
      </w:r>
    </w:p>
    <w:p>
      <w:pPr>
        <w:spacing w:after="0" w:line="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$3.6 million. In addition, on the third-year anniversary of the MCA’s effective date in October 2019, pursuant to the MCA, the Company issued 16,666 shares of the Company’s common stock to Gladstone in consideration for certain patent rights and technology created in the course of performance of the collaboration being licensed to the Company under the Gladstone License Agreement (as defined below). The related cost was recognized as research and development expenses since the technology acquired had no alternative future use.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year ended December 31, 2019, the Company recorded research and development expenses of $0.4 million pursuant to the MCA.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was no expense recognized during the year ended December 31, 2020 pursuant to the MCA.</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Gladstone License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and concurrent with the execution of the MCA, the Company entered into a license agreement with Gladstone (Gladstone License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pursuant to which Gladstone granted the Company a worldwide, royalty-bearing exclusive patent license and a non-exclusive technology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license to develop and commercialize certain products for certain diseases. Upon the execution of the Gladstone License Agreement, the Company paid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non-refundable upfront license fee of $0.1 million and issued 125,000 shares of the Company’s common stock to Gladstone. Pursuant to the Gladstone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License Agreement, the Company is obligated, among other things, to pay Gladstone (i) annual license maintenance fees ranging from $25,000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$0.1 million per year, which will be creditable against royalties paid in the following twelve month period, (ii) milestone payments up to $4.1 million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royalty-bearing products directed to a particular target, which are contingent upon achieving specific clinical and commercialization milestone events,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(iii) tiered low-single digit royalties on future net sales of each royalty-bearing product. Under the agreement, the Company is subject to diligence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requirements to develop and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commercialize at least one royalty-bearing product. The Company may pay $50,000 to $100,000 to extend the deadline for its diligence milestone obligations for up to four additional one-year terms. As of December 31, 2020, the Company has not recognized any milestone and royalty payments under the Gladstone License Agreement.</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During the years ended December 31, 2019 and 2020, the amounts recorded as research and development expenses related to annual license fees payable pursuant to the Gladstone License Agreement were not material.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University of Texas Southwestern License Agreement</w:t>
      </w:r>
    </w:p>
    <w:p>
      <w:pPr>
        <w:spacing w:after="0" w:line="117"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December 31, 2020, the Company has not recognized any milestone and royalty payments under the UTSW License.</w:t>
      </w:r>
    </w:p>
    <w:p>
      <w:pPr>
        <w:spacing w:after="0" w:line="16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During the year ended December 31, 2020, the Company recorded research and development expenses of $0.1 million related to the upfront license fee payable pursuant to the UTSW License.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to the agreements described above, the Company has also entered into other license agreements with various institutions and business entities, none of which are material individually or in the aggregate.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In December 2016, the Company entered into a lease agreement (Lease Agreement or Lease) for office and laboratory space in South San Francisco, California. The Lease expires in May 2025 and the Company may renew the lease term for two additional five-year periods. In connection with the execution of the Lease, the Company provided the landlord with a security deposit of $0.4 million in the form of a letter of credit, which is collateralized by a restricted cash deposit and recorded as restricted cash, non-current on the balance sheets as of December 31, 2019 and 2020.</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Lease Agreement, the Company received a tenant improvement allowance (TIA) of $5.8 million in aggregate for leasehold improvements to the facility. As of December 31, 2020, the remaining balance of the TIA that is recorded as a component of deferred rent on the balance sheet is $3.2 million.</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In December 2020, the Company entered into a sublease agreement for additional office and laboratory space in South San Francisco, California with a lease term that expires on November 30, 2021. The Company provided the landlord a security deposit of $0.1 million in the form of a letter of credit, which is collateralized by a restricted cash deposit and recorded as restricted cash, non-current on the balance sheet as of December 31, 2020.</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December 31, 2019 and 2020, the Company recognized rent expense of $2.1 million and $2.4 million.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future minimum lease payments for the Company’s office space and laboratory facilities as of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29"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ending December 31,</w:t>
            </w:r>
          </w:p>
        </w:tc>
        <w:tc>
          <w:tcPr>
            <w:tcW w:w="2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2021</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3,752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2023</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2,283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2025</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r>
      <w:tr>
        <w:trPr>
          <w:trHeight w:val="27"/>
        </w:trPr>
        <w:tc>
          <w:tcPr>
            <w:tcW w:w="5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11,603</w:t>
            </w:r>
          </w:p>
        </w:tc>
      </w:tr>
      <w:tr>
        <w:trPr>
          <w:trHeight w:val="20"/>
        </w:trPr>
        <w:tc>
          <w:tcPr>
            <w:tcW w:w="5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previously entered into agreements to sublease portions of the Company’s facilities in South San Francisco to two different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subtenants, both of which have expired as of December 31, 2020. Pursuant to the sublease agreements, the Company received sublease income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and $0.4 million during the years ended December 31, 2019 and 2020, which are recognized as a component of other income (expense), net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the Company’s statements of operations and comprehensive loss.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Company also entered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2019 and 2020, the Company does not have any material indemnification claims that were probable or reasonably possible and, consequently, has not recorded any related liabilities.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Convertible Preferred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August 2019, the Company entered into a Series B preferred stock purchase agreement (Series B SPA) for the issuance of up to 9,259,254 shares of the Company’s Series B convertible preferred stock at a purchase price of $9.936 per share in multiple closings. The Company completed the initial closing in August 2019, whereby 3,086,415 shares of Series B convertible preferred stock were issued for gross proceeds of $30.7 million. Pursuant to the Series B SPA, the Company was permitted to sell additional shares in subsequent closings contingent upon the approval of the Company’s board of directors.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issuance, the Company determined that its obligation to issue additional shares of Series B convertible preferred stock in future closings was a freestanding instrument that should be classified as a liability on the Company’s balance sheets. The freestanding financial instrument, or convertible preferred stock tranche liability,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was recorded at fair value on issuance of $0.8 million with the remaining proceeds being allocated to the Series B convertible preferred stock. Any changes in fair value of convertible preferred stock tranche liability in subsequent reporting periods are recognized as a component of other income (expense), net in the statements of operations and comprehensive loss (see Note 3).</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March 2020, the Company completed its second closing of Series B convertible preferred stock financing and issued 3,086,415 shares of Series B convertible preferred stock at the fixed purchase price of $9.936 per share for gross proceeds of $30.7 million, thereby settling a portion of the convertible preferred stock tranche liability. Immediately prior to the second closing, the Company measured the convertible preferred stock tranche liability to its then fair value. Upon the closing of the second tranche, the convertible preferred stock tranche liability was partially settled and the related balance of the liability of $27,000 was reclassified to Series B convertible preferred stock.</w:t>
      </w:r>
    </w:p>
    <w:p>
      <w:pPr>
        <w:spacing w:after="0" w:line="176"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In August 2020, the Company completed its third closing of Series B convertible preferred stock financing and issued 3,086,415 shares of Series B convertible preferred stock at the purchase price of $9.936 per share for gross proceeds of $30.7 million, thereby settling the remainder of the convertible preferred stock tranche liability. Immediately prior to the third closing, the Company measured the convertible preferred stock tranche liability to its then fair value. Upon the closing of the third tranche, the remaining convertible preferred stock tranche liability was settled and the balance of the liability of $0.7 million was reclassified to Series B convertible preferred stock.</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C Convertible Preferred Stock Financing</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In December 2020, the Company entered into a Series C preferred stock purchase agreement (Series C SPA) for the issuance of up to 8,526,381 shares of the Company’s Series C convertible preferred stock at a purchase price of $12.432 per share in two closings. The Company completed the initial closing in December 2020, whereby 6,917,621 shares of Series C convertible preferred stock were issued for gross proceeds of $86.0 million.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convertible preferred stock consists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4"/>
                <w:szCs w:val="14"/>
                <w:b w:val="1"/>
                <w:bCs w:val="1"/>
                <w:color w:val="auto"/>
                <w:w w:val="91"/>
              </w:rPr>
              <w:t>December 31, 2019</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1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2"/>
              </w:rPr>
              <w:t>Shares</w:t>
            </w:r>
          </w:p>
        </w:tc>
        <w:tc>
          <w:tcPr>
            <w:tcW w:w="13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Shares Issued and</w:t>
            </w:r>
          </w:p>
        </w:tc>
        <w:tc>
          <w:tcPr>
            <w:tcW w:w="140" w:type="dxa"/>
            <w:vAlign w:val="bottom"/>
          </w:tcPr>
          <w:p>
            <w:pPr>
              <w:spacing w:after="0"/>
              <w:rPr>
                <w:sz w:val="10"/>
                <w:szCs w:val="10"/>
                <w:color w:val="auto"/>
              </w:rPr>
            </w:pPr>
          </w:p>
        </w:tc>
        <w:tc>
          <w:tcPr>
            <w:tcW w:w="11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Net Carrying</w:t>
            </w: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Liquidation</w:t>
            </w:r>
          </w:p>
        </w:tc>
        <w:tc>
          <w:tcPr>
            <w:tcW w:w="80" w:type="dxa"/>
            <w:vAlign w:val="bottom"/>
          </w:tcPr>
          <w:p>
            <w:pPr>
              <w:spacing w:after="0"/>
              <w:rPr>
                <w:sz w:val="10"/>
                <w:szCs w:val="10"/>
                <w:color w:val="auto"/>
              </w:rPr>
            </w:pPr>
          </w:p>
        </w:tc>
      </w:tr>
      <w:tr>
        <w:trPr>
          <w:trHeight w:val="171"/>
        </w:trPr>
        <w:tc>
          <w:tcPr>
            <w:tcW w:w="2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Authorized</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2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960" w:type="dxa"/>
            <w:vAlign w:val="bottom"/>
            <w:tcBorders>
              <w:top w:val="single" w:sz="8" w:color="auto"/>
            </w:tcBorders>
            <w:gridSpan w:val="9"/>
          </w:tcPr>
          <w:p>
            <w:pPr>
              <w:jc w:val="center"/>
              <w:ind w:left="543"/>
              <w:spacing w:after="0" w:line="142" w:lineRule="exact"/>
              <w:rPr>
                <w:sz w:val="20"/>
                <w:szCs w:val="20"/>
                <w:color w:val="auto"/>
              </w:rPr>
            </w:pPr>
            <w:r>
              <w:rPr>
                <w:rFonts w:ascii="Arial" w:cs="Arial" w:eastAsia="Arial" w:hAnsi="Arial"/>
                <w:sz w:val="14"/>
                <w:szCs w:val="14"/>
                <w:b w:val="1"/>
                <w:bCs w:val="1"/>
                <w:color w:val="auto"/>
                <w:w w:val="89"/>
              </w:rPr>
              <w:t>(in thousands, except shares and original issue price)</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1"/>
        </w:trPr>
        <w:tc>
          <w:tcPr>
            <w:tcW w:w="21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Convertible Preferred Stock</w:t>
            </w:r>
          </w:p>
        </w:tc>
        <w:tc>
          <w:tcPr>
            <w:tcW w:w="4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2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Series A</w:t>
            </w:r>
          </w:p>
        </w:tc>
        <w:tc>
          <w:tcPr>
            <w:tcW w:w="5380" w:type="dxa"/>
            <w:vAlign w:val="bottom"/>
            <w:tcBorders>
              <w:top w:val="single" w:sz="8" w:color="CCEEFF"/>
            </w:tcBorders>
            <w:gridSpan w:val="3"/>
          </w:tcPr>
          <w:p>
            <w:pPr>
              <w:jc w:val="right"/>
              <w:ind w:right="260"/>
              <w:spacing w:after="0"/>
              <w:rPr>
                <w:sz w:val="20"/>
                <w:szCs w:val="20"/>
                <w:color w:val="auto"/>
              </w:rPr>
            </w:pPr>
            <w:r>
              <w:rPr>
                <w:rFonts w:ascii="Arial" w:cs="Arial" w:eastAsia="Arial" w:hAnsi="Arial"/>
                <w:sz w:val="18"/>
                <w:szCs w:val="18"/>
                <w:color w:val="auto"/>
              </w:rPr>
              <w:t>8,316,666</w:t>
            </w:r>
          </w:p>
        </w:tc>
        <w:tc>
          <w:tcPr>
            <w:tcW w:w="13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8,316,662</w:t>
            </w:r>
          </w:p>
        </w:tc>
        <w:tc>
          <w:tcPr>
            <w:tcW w:w="400" w:type="dxa"/>
            <w:vAlign w:val="bottom"/>
            <w:tcBorders>
              <w:top w:val="single" w:sz="8" w:color="CCEEFF"/>
            </w:tcBorders>
            <w:gridSpan w:val="2"/>
          </w:tcPr>
          <w:p>
            <w:pPr>
              <w:jc w:val="right"/>
              <w:ind w:right="8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43,393</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49,900</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5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9,500,000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3,086,415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29,649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30,667</w:t>
            </w: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rPr>
              <w:t>Total</w:t>
            </w:r>
          </w:p>
        </w:tc>
        <w:tc>
          <w:tcPr>
            <w:tcW w:w="4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17,816,666</w:t>
            </w:r>
          </w:p>
        </w:tc>
        <w:tc>
          <w:tcPr>
            <w:tcW w:w="2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11,403,077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73,042</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80,567</w:t>
            </w:r>
          </w:p>
        </w:tc>
        <w:tc>
          <w:tcPr>
            <w:tcW w:w="80" w:type="dxa"/>
            <w:vAlign w:val="bottom"/>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16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4"/>
                <w:szCs w:val="14"/>
                <w:b w:val="1"/>
                <w:bCs w:val="1"/>
                <w:color w:val="auto"/>
                <w:w w:val="91"/>
              </w:rPr>
              <w:t>December 31, 2020</w:t>
            </w:r>
          </w:p>
        </w:tc>
        <w:tc>
          <w:tcPr>
            <w:tcW w:w="6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19"/>
        </w:trPr>
        <w:tc>
          <w:tcPr>
            <w:tcW w:w="2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1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2"/>
              </w:rPr>
              <w:t>Shares</w:t>
            </w:r>
          </w:p>
        </w:tc>
        <w:tc>
          <w:tcPr>
            <w:tcW w:w="13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Shares Issued and</w:t>
            </w:r>
          </w:p>
        </w:tc>
        <w:tc>
          <w:tcPr>
            <w:tcW w:w="140" w:type="dxa"/>
            <w:vAlign w:val="bottom"/>
          </w:tcPr>
          <w:p>
            <w:pPr>
              <w:spacing w:after="0"/>
              <w:rPr>
                <w:sz w:val="10"/>
                <w:szCs w:val="10"/>
                <w:color w:val="auto"/>
              </w:rPr>
            </w:pPr>
          </w:p>
        </w:tc>
        <w:tc>
          <w:tcPr>
            <w:tcW w:w="11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Net Carrying</w:t>
            </w: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Liquidation</w:t>
            </w:r>
          </w:p>
        </w:tc>
        <w:tc>
          <w:tcPr>
            <w:tcW w:w="80" w:type="dxa"/>
            <w:vAlign w:val="bottom"/>
          </w:tcPr>
          <w:p>
            <w:pPr>
              <w:spacing w:after="0"/>
              <w:rPr>
                <w:sz w:val="10"/>
                <w:szCs w:val="10"/>
                <w:color w:val="auto"/>
              </w:rPr>
            </w:pPr>
          </w:p>
        </w:tc>
      </w:tr>
      <w:tr>
        <w:trPr>
          <w:trHeight w:val="171"/>
        </w:trPr>
        <w:tc>
          <w:tcPr>
            <w:tcW w:w="2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Authorized</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2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960" w:type="dxa"/>
            <w:vAlign w:val="bottom"/>
            <w:tcBorders>
              <w:top w:val="single" w:sz="8" w:color="auto"/>
            </w:tcBorders>
            <w:gridSpan w:val="9"/>
          </w:tcPr>
          <w:p>
            <w:pPr>
              <w:jc w:val="center"/>
              <w:ind w:left="543"/>
              <w:spacing w:after="0" w:line="142" w:lineRule="exact"/>
              <w:rPr>
                <w:sz w:val="20"/>
                <w:szCs w:val="20"/>
                <w:color w:val="auto"/>
              </w:rPr>
            </w:pPr>
            <w:r>
              <w:rPr>
                <w:rFonts w:ascii="Arial" w:cs="Arial" w:eastAsia="Arial" w:hAnsi="Arial"/>
                <w:sz w:val="14"/>
                <w:szCs w:val="14"/>
                <w:b w:val="1"/>
                <w:bCs w:val="1"/>
                <w:color w:val="auto"/>
                <w:w w:val="89"/>
              </w:rPr>
              <w:t>(in thousands, except shares and original issue price)</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1"/>
        </w:trPr>
        <w:tc>
          <w:tcPr>
            <w:tcW w:w="21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Convertible Preferred Stock</w:t>
            </w:r>
          </w:p>
        </w:tc>
        <w:tc>
          <w:tcPr>
            <w:tcW w:w="4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2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Series A</w:t>
            </w:r>
          </w:p>
        </w:tc>
        <w:tc>
          <w:tcPr>
            <w:tcW w:w="5380" w:type="dxa"/>
            <w:vAlign w:val="bottom"/>
            <w:tcBorders>
              <w:top w:val="single" w:sz="8" w:color="CCEEFF"/>
            </w:tcBorders>
            <w:gridSpan w:val="3"/>
          </w:tcPr>
          <w:p>
            <w:pPr>
              <w:jc w:val="right"/>
              <w:ind w:right="260"/>
              <w:spacing w:after="0"/>
              <w:rPr>
                <w:sz w:val="20"/>
                <w:szCs w:val="20"/>
                <w:color w:val="auto"/>
              </w:rPr>
            </w:pPr>
            <w:r>
              <w:rPr>
                <w:rFonts w:ascii="Arial" w:cs="Arial" w:eastAsia="Arial" w:hAnsi="Arial"/>
                <w:sz w:val="18"/>
                <w:szCs w:val="18"/>
                <w:color w:val="auto"/>
              </w:rPr>
              <w:t>8,316,666</w:t>
            </w:r>
          </w:p>
        </w:tc>
        <w:tc>
          <w:tcPr>
            <w:tcW w:w="13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8,316,662</w:t>
            </w:r>
          </w:p>
        </w:tc>
        <w:tc>
          <w:tcPr>
            <w:tcW w:w="400" w:type="dxa"/>
            <w:vAlign w:val="bottom"/>
            <w:tcBorders>
              <w:top w:val="single" w:sz="8" w:color="CCEEFF"/>
            </w:tcBorders>
            <w:gridSpan w:val="2"/>
          </w:tcPr>
          <w:p>
            <w:pPr>
              <w:jc w:val="right"/>
              <w:ind w:right="8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43,393</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49,900</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5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9,259,254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9,259,245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91,644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92,000</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Series C</w:t>
            </w:r>
          </w:p>
        </w:tc>
        <w:tc>
          <w:tcPr>
            <w:tcW w:w="4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8,526,381</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6,917,621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85,717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86,000</w:t>
            </w:r>
          </w:p>
        </w:tc>
      </w:tr>
      <w:tr>
        <w:trPr>
          <w:trHeight w:val="27"/>
        </w:trPr>
        <w:tc>
          <w:tcPr>
            <w:tcW w:w="2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26,102,301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24,493,528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220,754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227,900</w:t>
            </w:r>
          </w:p>
        </w:tc>
      </w:tr>
      <w:tr>
        <w:trPr>
          <w:trHeight w:val="20"/>
        </w:trPr>
        <w:tc>
          <w:tcPr>
            <w:tcW w:w="2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160" w:type="dxa"/>
            <w:vAlign w:val="bottom"/>
          </w:tcPr>
          <w:p>
            <w:pPr>
              <w:spacing w:after="0"/>
              <w:rPr>
                <w:sz w:val="24"/>
                <w:szCs w:val="24"/>
                <w:color w:val="auto"/>
              </w:rPr>
            </w:pPr>
          </w:p>
        </w:tc>
        <w:tc>
          <w:tcPr>
            <w:tcW w:w="5380" w:type="dxa"/>
            <w:vAlign w:val="bottom"/>
            <w:gridSpan w:val="3"/>
          </w:tcPr>
          <w:p>
            <w:pPr>
              <w:ind w:left="3180"/>
              <w:spacing w:after="0"/>
              <w:rPr>
                <w:sz w:val="20"/>
                <w:szCs w:val="20"/>
                <w:color w:val="auto"/>
              </w:rPr>
            </w:pPr>
            <w:r>
              <w:rPr>
                <w:rFonts w:ascii="Arial" w:cs="Arial" w:eastAsia="Arial" w:hAnsi="Arial"/>
                <w:sz w:val="18"/>
                <w:szCs w:val="18"/>
                <w:color w:val="auto"/>
              </w:rPr>
              <w:t>F-18</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classifies its convertible preferred stock outside of total stockholders’ deficit because, in the event of certain change of control events that are not solely within the control of the Company (including liquidation, sale or transfer of the Company), the shares would become redeemable at the option of the holders. As a result, the Company has classified its convertible preferred stock as mezzanine equity on the balance sheets as the preferred stock is contingently redeemable. The Company did not adjust the carrying values of the convertible preferred stock to the deemed liquidation values of such shares since a liquidation event was not probable as of each reporting date. Subsequent adjustments to increase or decrease the carrying values to the ultimate liquidation values will be made only if and when it becomes probable that such liquidation event will occur.</w:t>
      </w:r>
    </w:p>
    <w:p>
      <w:pPr>
        <w:spacing w:after="0" w:line="16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holders of the Company’s Series A, Series B and Series C convertible preferred stock (together, convertible preferred stock) have various rights, preferences and privileges as follows: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Each holder of shares of convertible preferred stock is entitled to the number of votes equal to the number of shares of common stock into which such shares of convertible preferred stock could be converted. The holders of convertible preferred stock vote together with the holders of common stock as a single class on an as-converted basis on all matters as to which holders of common stock have the right to vote.</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holders of convertible preferred stock, voting as a separate class, are entitled to elect three members of the Company’s board of directors. The holders of common stock, voting as a separate class, are entitled to elect one member of the Company’s board of directors. Any additional members of the Company’s board of directors are elected by the holders of common stock and convertible preferred stock, voting together as a single class on an as-converted basis.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460" w:firstLine="440"/>
        <w:spacing w:after="0" w:line="286" w:lineRule="auto"/>
        <w:rPr>
          <w:sz w:val="20"/>
          <w:szCs w:val="20"/>
          <w:color w:val="auto"/>
        </w:rPr>
      </w:pPr>
      <w:r>
        <w:rPr>
          <w:rFonts w:ascii="Arial" w:cs="Arial" w:eastAsia="Arial" w:hAnsi="Arial"/>
          <w:sz w:val="17"/>
          <w:szCs w:val="17"/>
          <w:color w:val="auto"/>
        </w:rPr>
        <w:t>Each holder of convertible preferred stock is entitled to receive dividends when and if declared by the board of directors at an annual rate of $0.480 per share for the Series A preferred stock, $0.792 per share for the Series B preferred stock, and $0.996 per share for the Series C preferred stock. Dividends are noncumulative. No dividends have been declared or paid as of December 31, 2020.</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Each share of convertible preferred stock is convertible, at the option of the holder any time after the issuance date, into shares of common stock determined by dividing the original issue price by the conversion price in effect on the date of conversion. The conversion price of each series of convertible preferred stock is $6.00 for Series A convertible preferred stock, $9.936 for Series B convertible preferred stock, and $12.432 for Series C convertible preferred stock, subject to adjustment for anti-dilution provisions and stock dividend, stock split, combination of shares, reorganization, recapitalization, reclassification or other similar event.</w:t>
      </w:r>
    </w:p>
    <w:p>
      <w:pPr>
        <w:spacing w:after="0" w:line="18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Each share of convertible preferred stock is automatically convertible into common stock immediately upon the earlier of (i) the closing of a firm commitment underwritten initial public offering pursuant to an effective registration statement filed under the Securities Act of 1933, as amended, resulting in aggregate gross proceeds not less than $75.0 million (a “Qualified IPO”) or (ii) the Company’s receipt of a written request for such conversion from a majority of the holders of convertible preferred stock then outstanding, voting together as a single class on an as-converted basis. With respect to a Qualified IPO at which the price per share is less than $15.54 (subject to adjustment for stock dividend, stock split, combination of shares, reorganization, recapitalization, reclassification or other similar event), each share of convertible preferred stock is convertible into common stock with the written consent of a majority of the holders of the Series C convertible preferred stock then outstanding, voting as a separate class.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the event of any liquidation, dissolution or winding up of the Company, either voluntary or involuntary, the holders of the preferred stock shall be entitled to receive, prior and in preference to any distribution of any of the assets of the Company to the holders of common stock, an amount per share equal to $6.00 per share for Series A convertible preferred stock, $9.936 per share for Series B convertible preferred stock and $12.432 per share for Series C convertible preferred stock (subject to adjustment for stock dividend, stock split, combination of shares, reorganization, recapitalization, reclassification or other similar event) plus all declared but unpaid dividends. After the distributions described above have been paid in full, the remaining assets of the Company shall be distributed among the holders of common stock in proportion to the numbers of shares of common stock. If the assets of the Company are insufficient to permit the payments to holders of convertible preferred stock of the full amount described above, all assets and funds legally available shall be distributed ratably among holders of convertible preferred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holders of the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balance sheets and statements of convertible preferred stock and stockholders’ deficit includes shares related to early exercised options and restricted stock that are subject to repurchase. Common stock issued and outstanding is reduced for any repurchases of early exercised stock options and restricted stock. As of December 31, 2019 and 2020, outstanding common stock included 331,089 and 138,127 shares, respectively, related to early exercised stock options and restricted stock that are unvested and subject to repurchase.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reserved the following shares of common stock for issuance, on an as-if converted basis:</w:t>
      </w:r>
    </w:p>
    <w:p>
      <w:pPr>
        <w:spacing w:after="0" w:line="23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outstanding shares of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24,493,528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Options outstanding under the 2016 Plan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1,160,808</w:t>
            </w:r>
          </w:p>
        </w:tc>
        <w:tc>
          <w:tcPr>
            <w:tcW w:w="6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grant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412,170</w:t>
            </w:r>
          </w:p>
        </w:tc>
        <w:tc>
          <w:tcPr>
            <w:tcW w:w="60" w:type="dxa"/>
            <w:vAlign w:val="bottom"/>
            <w:shd w:val="clear" w:color="auto" w:fill="CCEEFF"/>
          </w:tcPr>
          <w:p>
            <w:pPr>
              <w:spacing w:after="0"/>
              <w:rPr>
                <w:sz w:val="18"/>
                <w:szCs w:val="18"/>
                <w:color w:val="auto"/>
              </w:rPr>
            </w:pPr>
          </w:p>
        </w:tc>
      </w:tr>
      <w:tr>
        <w:trPr>
          <w:trHeight w:val="223"/>
        </w:trPr>
        <w:tc>
          <w:tcPr>
            <w:tcW w:w="7260" w:type="dxa"/>
            <w:vAlign w:val="bottom"/>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26,066,506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2016 Equity Incentive Plan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October 2016, the Company adopted the 2016 Equity Incentive Plan, which was later amended and restated (the 2016 Plan), which provides for the granting of incentive and non-statutory stock options, stock appreciation rights, restricted stock and restricted stock units and other forms of stock awards to its employees, directors and non-employee service providers.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Under the 2016 Plan, the Company’s board of directors has the authority to select the service provider to whom options will be granted and the type of award that will be granted, to determine when awards are to be granted, the number of shares, the term, and the exercise price. Options have a term of ten years and generally vest over a four-year period. As of December 31, 2020, 412,170 shares of common stock were authorized and available for grant under the 2016 Plan.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stock option activity under the 2016 Plan: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1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Per Share</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(years)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880,816</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1.14</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312,696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3.42</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(17,846)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1.86</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360"/>
              <w:spacing w:after="0"/>
              <w:rPr>
                <w:sz w:val="20"/>
                <w:szCs w:val="20"/>
                <w:color w:val="auto"/>
              </w:rPr>
            </w:pPr>
            <w:r>
              <w:rPr>
                <w:rFonts w:ascii="Arial" w:cs="Arial" w:eastAsia="Arial" w:hAnsi="Arial"/>
                <w:sz w:val="18"/>
                <w:szCs w:val="18"/>
                <w:color w:val="auto"/>
              </w:rPr>
              <w:t>Options cancelled</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(14,858)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2.40</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1,160,808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1.74</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1.14</w:t>
            </w:r>
          </w:p>
        </w:tc>
        <w:tc>
          <w:tcPr>
            <w:tcW w:w="13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8.05</w:t>
            </w: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440,291</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total intrinsic value of options exercised during the years ended December 31, 2019 and 2020 was approximately $0.3 million and $37,000. The aggregate intrinsic is the difference between the fair value of the Company’s common stock, as approved by the Company’s board of directors, and exercise price of the option.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weighted average grant-date fair value of options granted during the years ended December 31, 2019 and 2020 was $3.42 and $4.98 per share.</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stock-based compensation recognized in the Company’s statements of operations and comprehensive loss: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9"/>
                <w:szCs w:val="19"/>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r>
      <w:tr>
        <w:trPr>
          <w:trHeight w:val="20"/>
        </w:trPr>
        <w:tc>
          <w:tcPr>
            <w:tcW w:w="5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of December 31, 2020, there was approximately $2.3 million of unrecognized stock-based compensation, which the Company expects to recognize over a weighted-average period of 3.0 years.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 option pricing model using the following assumptions: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6"/>
              </w:rPr>
              <w:t>Year Ended December 31,</w:t>
            </w:r>
          </w:p>
        </w:tc>
        <w:tc>
          <w:tcPr>
            <w:tcW w:w="900" w:type="dxa"/>
            <w:vAlign w:val="bottom"/>
            <w:tcBorders>
              <w:bottom w:val="single" w:sz="8" w:color="auto"/>
            </w:tcBorders>
          </w:tcPr>
          <w:p>
            <w:pPr>
              <w:spacing w:after="0"/>
              <w:rPr>
                <w:sz w:val="14"/>
                <w:szCs w:val="14"/>
                <w:color w:val="auto"/>
              </w:rPr>
            </w:pPr>
          </w:p>
        </w:tc>
      </w:tr>
      <w:tr>
        <w:trPr>
          <w:trHeight w:val="142"/>
        </w:trPr>
        <w:tc>
          <w:tcPr>
            <w:tcW w:w="748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gridSpan w:val="2"/>
          </w:tcPr>
          <w:p>
            <w:pPr>
              <w:jc w:val="right"/>
              <w:ind w:right="610"/>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192%</w:t>
            </w: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900" w:type="dxa"/>
            <w:vAlign w:val="bottom"/>
          </w:tcPr>
          <w:p>
            <w:pPr>
              <w:ind w:left="20"/>
              <w:spacing w:after="0"/>
              <w:rPr>
                <w:sz w:val="20"/>
                <w:szCs w:val="20"/>
                <w:color w:val="auto"/>
              </w:rPr>
            </w:pPr>
            <w:r>
              <w:rPr>
                <w:rFonts w:ascii="Arial" w:cs="Arial" w:eastAsia="Arial" w:hAnsi="Arial"/>
                <w:sz w:val="18"/>
                <w:szCs w:val="18"/>
                <w:color w:val="auto"/>
              </w:rPr>
              <w:t>– 183%</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r>
    </w:tbl>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assumptions used to determine the fair value of options granted were as follows. Each of these inputs is subjective and generally requires significant judgement.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80" w:firstLine="423"/>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b w:val="1"/>
          <w:bCs w:val="1"/>
          <w:i w:val="1"/>
          <w:iCs w:val="1"/>
          <w:color w:val="auto"/>
        </w:rPr>
        <w:t>—</w:t>
      </w:r>
      <w:r>
        <w:rPr>
          <w:rFonts w:ascii="Arial" w:cs="Arial" w:eastAsia="Arial" w:hAnsi="Arial"/>
          <w:sz w:val="18"/>
          <w:szCs w:val="18"/>
          <w:color w:val="auto"/>
        </w:rPr>
        <w:t>The Company determines the expected term, which represents the period that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in accordance with the simplified method due to its limited operating history, which is presumed to be the mid-point between the contractual term and the vesting period.</w:t>
      </w:r>
    </w:p>
    <w:p>
      <w:pPr>
        <w:spacing w:after="0" w:line="76" w:lineRule="exact"/>
        <w:rPr>
          <w:sz w:val="20"/>
          <w:szCs w:val="20"/>
          <w:color w:val="auto"/>
        </w:rPr>
      </w:pPr>
    </w:p>
    <w:p>
      <w:pPr>
        <w:ind w:left="560" w:right="120" w:firstLine="423"/>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b w:val="1"/>
          <w:bCs w:val="1"/>
          <w:i w:val="1"/>
          <w:iCs w:val="1"/>
          <w:color w:val="auto"/>
        </w:rPr>
        <w:t>—</w:t>
      </w:r>
      <w:r>
        <w:rPr>
          <w:rFonts w:ascii="Arial" w:cs="Arial" w:eastAsia="Arial" w:hAnsi="Arial"/>
          <w:sz w:val="18"/>
          <w:szCs w:val="18"/>
          <w:color w:val="auto"/>
        </w:rPr>
        <w:t>As there is no trading history for the Company’s common stock, the Company determines its computation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spacing w:after="0" w:line="79"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b w:val="1"/>
          <w:bCs w:val="1"/>
          <w:i w:val="1"/>
          <w:iCs w:val="1"/>
          <w:color w:val="auto"/>
        </w:rPr>
        <w:t>—</w:t>
      </w:r>
      <w:r>
        <w:rPr>
          <w:rFonts w:ascii="Arial" w:cs="Arial" w:eastAsia="Arial" w:hAnsi="Arial"/>
          <w:sz w:val="18"/>
          <w:szCs w:val="18"/>
          <w:color w:val="auto"/>
        </w:rPr>
        <w:t>The Company bases the risk-free interest rate on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assumption.</w:t>
      </w:r>
    </w:p>
    <w:p>
      <w:pPr>
        <w:spacing w:after="0" w:line="62" w:lineRule="exact"/>
        <w:rPr>
          <w:sz w:val="20"/>
          <w:szCs w:val="20"/>
          <w:color w:val="auto"/>
        </w:rPr>
      </w:pPr>
    </w:p>
    <w:p>
      <w:pPr>
        <w:ind w:left="560" w:right="260" w:firstLine="423"/>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b w:val="1"/>
          <w:bCs w:val="1"/>
          <w:i w:val="1"/>
          <w:iCs w:val="1"/>
          <w:color w:val="auto"/>
        </w:rPr>
        <w:t>—</w:t>
      </w:r>
      <w:r>
        <w:rPr>
          <w:rFonts w:ascii="Arial" w:cs="Arial" w:eastAsia="Arial" w:hAnsi="Arial"/>
          <w:sz w:val="18"/>
          <w:szCs w:val="18"/>
          <w:color w:val="auto"/>
        </w:rPr>
        <w:t>The expected dividend yield is assumed to be zero as the Company has never paid and has no plans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its common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2016 Plan allows the Company to grant stock options that may be exercised by option holders prior to vesting, subject to certain limitations. The Company has also issued restricted stock awards to certain employees and non-employee founders under its 2016 Plan. The shares related to early exercised stock options and restricted stock are subject to the Company’s lapsing repurchase right upon termination at the original purchase price. In order to vest, the holders are required to provide continued service to the Company.</w:t>
      </w:r>
    </w:p>
    <w:p>
      <w:pPr>
        <w:spacing w:after="0" w:line="17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proceeds from early exercises are initially recorded in accrued expenses and other current liabilities and other non-current liabilities and are reclassified to common stock and additional paid-in capital the vesting conditions are met and the repurchase right lapses. As of December 31, 2019 and 2020, $0.1 million and $53,000 was recorded as liabilities on the balance sheets.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restricted stock activity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Value at</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1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of Grant</w:t>
            </w: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331,089</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Vested</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w w:val="95"/>
              </w:rPr>
              <w:t>(191,934)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Repurchased</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Unvested as of December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138,127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Employee Recourse Notes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2017 and 2018, the Company entered into full recourse notes with certain employees, including one of its officers, upon the exercise of stock options that are treated as substantive exercises for accounting purposes. The Company has the right to repurchase unvested shares up to 90 days after employment is terminated. As of December 31, 2020, the principal and accrued interest amount of the notes was $87,000. The notes are presented in the statements of convertible preferred stock and stockholders’ deficit.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No provision for, or benefit from, income taxes was recorded during the years ended December 31, 2019 and 2020. The Company has established a full valuation allowance against its net deferred tax assets due to the uncertainty regarding the realization of such assets. All losses to date have been incurred in the United States. 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Effective Tax Rate Reconciliation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effective tax rate of the Company’s provision for income taxes differs from the federal statutory rate and the effective tax rate reconciliation is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U.S. federal taxes at statutory rate</w:t>
            </w:r>
          </w:p>
        </w:tc>
        <w:tc>
          <w:tcPr>
            <w:tcW w:w="700" w:type="dxa"/>
            <w:vAlign w:val="bottom"/>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21.0%</w:t>
            </w:r>
          </w:p>
        </w:tc>
        <w:tc>
          <w:tcPr>
            <w:tcW w:w="8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Credits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gridSpan w:val="3"/>
          </w:tcPr>
          <w:p>
            <w:pPr>
              <w:jc w:val="right"/>
              <w:ind w:right="135"/>
              <w:spacing w:after="0"/>
              <w:rPr>
                <w:sz w:val="20"/>
                <w:szCs w:val="20"/>
                <w:color w:val="auto"/>
              </w:rPr>
            </w:pPr>
            <w:r>
              <w:rPr>
                <w:rFonts w:ascii="Arial" w:cs="Arial" w:eastAsia="Arial" w:hAnsi="Arial"/>
                <w:sz w:val="18"/>
                <w:szCs w:val="18"/>
                <w:color w:val="auto"/>
              </w:rPr>
              <w:t>(0.2)</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Section 382 limitation on tax attribute carryforwards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gridSpan w:val="3"/>
          </w:tcPr>
          <w:p>
            <w:pPr>
              <w:jc w:val="right"/>
              <w:ind w:right="135"/>
              <w:spacing w:after="0"/>
              <w:rPr>
                <w:sz w:val="20"/>
                <w:szCs w:val="20"/>
                <w:color w:val="auto"/>
              </w:rPr>
            </w:pPr>
            <w:r>
              <w:rPr>
                <w:rFonts w:ascii="Arial" w:cs="Arial" w:eastAsia="Arial" w:hAnsi="Arial"/>
                <w:sz w:val="18"/>
                <w:szCs w:val="18"/>
                <w:color w:val="auto"/>
                <w:w w:val="97"/>
              </w:rPr>
              <w:t>(30.7)</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(0.1)</w:t>
            </w: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vMerge w:val="continue"/>
          </w:tcPr>
          <w:p>
            <w:pPr>
              <w:spacing w:after="0"/>
              <w:rPr>
                <w:sz w:val="19"/>
                <w:szCs w:val="19"/>
                <w:color w:val="auto"/>
              </w:rPr>
            </w:pPr>
          </w:p>
        </w:tc>
        <w:tc>
          <w:tcPr>
            <w:tcW w:w="700" w:type="dxa"/>
            <w:vAlign w:val="bottom"/>
            <w:gridSpan w:val="3"/>
          </w:tcPr>
          <w:p>
            <w:pPr>
              <w:jc w:val="right"/>
              <w:ind w:right="35"/>
              <w:spacing w:after="0"/>
              <w:rPr>
                <w:sz w:val="20"/>
                <w:szCs w:val="20"/>
                <w:color w:val="auto"/>
              </w:rPr>
            </w:pPr>
            <w:r>
              <w:rPr>
                <w:rFonts w:ascii="Arial" w:cs="Arial" w:eastAsia="Arial" w:hAnsi="Arial"/>
                <w:sz w:val="18"/>
                <w:szCs w:val="18"/>
                <w:color w:val="auto"/>
              </w:rPr>
              <w:t>0.0%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5"/>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current year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473</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based on tax positions related to prior years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271</w:t>
            </w: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Reductions for tax positions related to prior years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files tax returns in U.S. federal and state with varying statutes of limitations. Due to net operating loss and credit carryforwards, all of the tax years since inception through the 2020 tax year remain subject to examination by the U.S. federal and state authorities. The Company is currently not subject to any income tax audits by federal or state taxing authorities.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tax effects of significant items comprising the Company’s deferred income taxes are as follows</w:t>
      </w:r>
      <w:r>
        <w:rPr>
          <w:rFonts w:ascii="Arial" w:cs="Arial" w:eastAsia="Arial" w:hAnsi="Arial"/>
          <w:sz w:val="18"/>
          <w:szCs w:val="18"/>
          <w:b w:val="1"/>
          <w:bCs w:val="1"/>
          <w:color w:val="auto"/>
        </w:rPr>
        <w: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8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11,820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20,917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Accrued expenses and other</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918</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improvements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15,418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24,287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(15,418)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(24,287)</w:t>
            </w: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The tax benefit of net operating losses, temporary differences and credit carryforwards are recorded as an asset to the extent that the Company assesses that realization is more likely than not. Realization of the future tax benefits is dependent on the Company’s ability to generate sufficient taxable income within the carryforward period. As a result of the Company’s recent history of operating losses, the Company believes that recognition of deferred tax assets arising from the above-mentioned future tax benefits is currently not likely to be realized and, accordingly, has provided a full valuation allowance. The valuation allowance increased by $7.4 million and $8.9 million during the years ended December 31, 2019 and 2020. The increase in the valuation allowance during the year ended December 31, 2020 would have been larger but for the reduction in net operating loss and tax credit carryforwards limited under Section 382. The impact of the Section 382 limitation resulted in the reduction of deferred tax assets for federal research credits and state net operating loss carryforwards, with an offsetting reduction of the valuation allowance.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Operating Loss and Tax Credit Carryforwards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the Company’s net operating loss and tax carryforwards are summarized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2040" w:type="dxa"/>
            <w:vAlign w:val="bottom"/>
          </w:tcPr>
          <w:p>
            <w:pPr>
              <w:ind w:left="420"/>
              <w:spacing w:after="0"/>
              <w:rPr>
                <w:sz w:val="20"/>
                <w:szCs w:val="20"/>
                <w:color w:val="auto"/>
              </w:rPr>
            </w:pPr>
            <w:r>
              <w:rPr>
                <w:rFonts w:ascii="Arial" w:cs="Arial" w:eastAsia="Arial" w:hAnsi="Arial"/>
                <w:sz w:val="14"/>
                <w:szCs w:val="14"/>
                <w:b w:val="1"/>
                <w:bCs w:val="1"/>
                <w:color w:val="auto"/>
              </w:rPr>
              <w:t>Expiration in years</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losses, federal (post-December 31, 2017)</w:t>
            </w:r>
          </w:p>
        </w:tc>
        <w:tc>
          <w:tcPr>
            <w:tcW w:w="19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75,431</w:t>
            </w: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 Not Expire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operating losses, federal (pre-January 1, 2018)</w:t>
            </w:r>
          </w:p>
        </w:tc>
        <w:tc>
          <w:tcPr>
            <w:tcW w:w="3020" w:type="dxa"/>
            <w:vAlign w:val="bottom"/>
            <w:gridSpan w:val="3"/>
          </w:tcPr>
          <w:p>
            <w:pPr>
              <w:jc w:val="right"/>
              <w:ind w:right="280"/>
              <w:spacing w:after="0"/>
              <w:rPr>
                <w:sz w:val="20"/>
                <w:szCs w:val="20"/>
                <w:color w:val="auto"/>
              </w:rPr>
            </w:pPr>
            <w:r>
              <w:rPr>
                <w:rFonts w:ascii="Arial" w:cs="Arial" w:eastAsia="Arial" w:hAnsi="Arial"/>
                <w:sz w:val="18"/>
                <w:szCs w:val="18"/>
                <w:color w:val="auto"/>
              </w:rPr>
              <w:t>3,093</w:t>
            </w:r>
          </w:p>
        </w:tc>
        <w:tc>
          <w:tcPr>
            <w:tcW w:w="2040" w:type="dxa"/>
            <w:vAlign w:val="bottom"/>
          </w:tcPr>
          <w:p>
            <w:pPr>
              <w:spacing w:after="0"/>
              <w:rPr>
                <w:sz w:val="20"/>
                <w:szCs w:val="20"/>
                <w:color w:val="auto"/>
              </w:rPr>
            </w:pPr>
            <w:r>
              <w:rPr>
                <w:rFonts w:ascii="Arial" w:cs="Arial" w:eastAsia="Arial" w:hAnsi="Arial"/>
                <w:sz w:val="18"/>
                <w:szCs w:val="18"/>
                <w:color w:val="auto"/>
              </w:rPr>
              <w:t>Begins to Expire 2036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 state</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62,508</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Begins to Expire 2036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Tax credits, federal</w:t>
            </w:r>
          </w:p>
        </w:tc>
        <w:tc>
          <w:tcPr>
            <w:tcW w:w="3020" w:type="dxa"/>
            <w:vAlign w:val="bottom"/>
            <w:gridSpan w:val="3"/>
          </w:tcPr>
          <w:p>
            <w:pPr>
              <w:jc w:val="right"/>
              <w:ind w:right="280"/>
              <w:spacing w:after="0"/>
              <w:rPr>
                <w:sz w:val="20"/>
                <w:szCs w:val="20"/>
                <w:color w:val="auto"/>
              </w:rPr>
            </w:pPr>
            <w:r>
              <w:rPr>
                <w:rFonts w:ascii="Arial" w:cs="Arial" w:eastAsia="Arial" w:hAnsi="Arial"/>
                <w:sz w:val="18"/>
                <w:szCs w:val="18"/>
                <w:color w:val="auto"/>
              </w:rPr>
              <w:t>244</w:t>
            </w:r>
          </w:p>
        </w:tc>
        <w:tc>
          <w:tcPr>
            <w:tcW w:w="2040" w:type="dxa"/>
            <w:vAlign w:val="bottom"/>
          </w:tcPr>
          <w:p>
            <w:pPr>
              <w:spacing w:after="0"/>
              <w:rPr>
                <w:sz w:val="20"/>
                <w:szCs w:val="20"/>
                <w:color w:val="auto"/>
              </w:rPr>
            </w:pPr>
            <w:r>
              <w:rPr>
                <w:rFonts w:ascii="Arial" w:cs="Arial" w:eastAsia="Arial" w:hAnsi="Arial"/>
                <w:sz w:val="18"/>
                <w:szCs w:val="18"/>
                <w:color w:val="auto"/>
              </w:rPr>
              <w:t>Begins to Expire 2036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Tax credits, state</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2,068</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Do Not Expire</w:t>
            </w:r>
          </w:p>
        </w:tc>
      </w:tr>
    </w:tbl>
    <w:p>
      <w:pPr>
        <w:spacing w:after="0" w:line="20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Under Section 382 of the Internal Revenue Code of 1986, as amended, the ability to utilize net operating loss carryforwards or other tax attributes, such as research tax credits, in any taxable year may be limited if the Company has experienced an “ownership change”. This annual limitation may result in the expiration of net operating losses and credits before utilization. As of December 31, 2020, a formal study was conducted and concluded that the Company has experienced an ownership change in 2020. As a result, the Company has removed $3.1 million of deferred tax assets related to net operating loss carryforwards and research tax credit carryforwards due to Section 382 limitations. The Company’s ability to use its remaining net operating loss carryforwards may be further limited if the Company experiences a Section 382 ownership change as a result of future changes in its stock ownership.</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recognizes interest and penalties related to taxes and uncertain tax positions as a component of income tax expense. During the years ended December 31, 2019 and 2020, no interest and penalties were accrued by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Net Loss Per Share</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potentially dilutive securities were not included in the calculation of diluted net loss per share for the periods presented because the effect would have been anti-dilutive: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3100" w:type="dxa"/>
            <w:vAlign w:val="bottom"/>
            <w:gridSpan w:val="5"/>
          </w:tcPr>
          <w:p>
            <w:pPr>
              <w:ind w:left="7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92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preferred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11,403,077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24,493,528</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Outstanding stock options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880,816</w:t>
            </w:r>
          </w:p>
        </w:tc>
        <w:tc>
          <w:tcPr>
            <w:tcW w:w="2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1,160,808</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subject to future vesting</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331,089</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138,127</w:t>
            </w:r>
          </w:p>
        </w:tc>
      </w:tr>
      <w:tr>
        <w:trPr>
          <w:trHeight w:val="223"/>
        </w:trPr>
        <w:tc>
          <w:tcPr>
            <w:tcW w:w="7920" w:type="dxa"/>
            <w:vAlign w:val="bottom"/>
          </w:tcPr>
          <w:p>
            <w:pPr>
              <w:ind w:left="36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12,614,982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25,792,463</w:t>
            </w:r>
          </w:p>
        </w:tc>
        <w:tc>
          <w:tcPr>
            <w:tcW w:w="8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8560"/>
        <w:spacing w:after="0"/>
        <w:rPr>
          <w:sz w:val="20"/>
          <w:szCs w:val="20"/>
          <w:color w:val="auto"/>
        </w:rPr>
      </w:pPr>
      <w:r>
        <w:rPr>
          <w:rFonts w:ascii="Arial" w:cs="Arial" w:eastAsia="Arial" w:hAnsi="Arial"/>
          <w:sz w:val="17"/>
          <w:szCs w:val="17"/>
          <w:b w:val="1"/>
          <w:bCs w:val="1"/>
          <w:color w:val="auto"/>
        </w:rPr>
        <w:t>12. Related Party Transactions</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Gladstone Institutes</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Under the MCA, Gladstone performed specific research activities for the Company in accordance with the mutually agreed-upon annual project plans (see Note 5). During the year ended December 31, 2019, the Company recognized $0.4 million in research and development expenses in relation to the services provided by Gladstone. No such research services were provided during the year ended December 31, 2020. In addition, during the year ended December 31, 2019, the Company recognized $0.2 million in aggregate lab, license and patent fees and $75,000 in stock. During the year ended December 31, 2020, the Company recognized $0.1 million in aggregate lab, license and patent fees. As of December 31, 2019 and 2020, the related party balance included within accounts payable and accrued expenses was $10,000 and $nil.</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Scientific Founders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During the years ended December 31, 2019 and 2020, the Company recognized a total of $0.2 million in each period in consulting expense paid to five of its scientific founders.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The Company evaluated subsequent events from December 31, 2020, the date of these financial statements, through May 7, 2021, the date the financial statements were available for issuance, for events requiring recognition or disclosure in the financial statements for the year ended December 31, 2020, except for the 1-for-6 reverse stock split discussed below, which was evaluated through July 26, 2021.</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C Convertible Preferred Stock Issuance</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January 2021, the Company sold an additional 1,608,750 shares of Series C convertible preferred stock at the price of $12.432 per share for aggregate gross proceeds of $20.0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Manufacturing and Office Space Lease Agreement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February 2021, the Company entered into a lease agreement for manufacturing and office space located in Union City, California. The lease has a ten-year term with one five-year renewal option. Upon the execution of the lease agreement, the Company provided the landlord with a security deposit of $3.3 million. Total lease payments during the lease term are expected to be $13.9 million.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Stock Options Grants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January 2021, the Company granted 129,698 options to employees, each with an exercise price of $5.64 per share and a four-year vesting schedule. In February 2021, the Company granted 416,666 options to its chief executive officer, with an exercise price of $5.64 per share and a four-year vesting schedule.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July 2021, the Company’s board of directors and stockholders approved an amendment to the Company’s amended and restated certificate of incorporation to effect a reverse split of shares of the Company’s common stock, convertible preferred stock and authorized shares on a 1-for-6 basis (the Reverse Stock Split) effective on July 23, 2021. The par value of the common stock and preferred stock was not adjusted as a result of the Reverse Stock Split. Accordingly, all share data and per share data amounts for all periods presented in the accompanying financial statements and notes thereto have been retrospectively adjusted to reflect the effect of the Reverse Stock Split.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128,535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128,439</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1,311</w:t>
            </w: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129,964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129,750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17,185</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21,267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547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3,778</w:t>
            </w: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148,161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159,757</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3,161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2,128</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and other lease liabilities, current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1,690</w:t>
            </w: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Deferred rent and other lease liabilities, non-current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3,662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Convertible preferred stock, $0.0001 par value; 26,102,301 shares authorized as of December 31, 2020 and March 31,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2021; 24,493,528 and 26,102,278 shares issued and outstanding as of December 31, 2020 and March 31, 2021;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aggregate liquidation preference of $247,900 as of March 31, 2021</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220,754</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240,735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$0.0001 par value; 30,330,000 shares authorized as of December 31, 2020 and March 31, 2021;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1,210,306 and 1,222,449 shares issued and outstanding as of December 31, 2020 and March 31, 2021</w:t>
            </w:r>
          </w:p>
        </w:tc>
        <w:tc>
          <w:tcPr>
            <w:tcW w:w="1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1,584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2,054</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 from stockholders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(82,812)</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(95,910)</w:t>
            </w: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(81,315)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(93,943)</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148,161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159,757</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30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64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7,297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30"/>
        </w:trPr>
        <w:tc>
          <w:tcPr>
            <w:tcW w:w="90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(13,105)</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06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(9,051)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891,990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1,097,805</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080" w:type="dxa"/>
            <w:vAlign w:val="bottom"/>
          </w:tcPr>
          <w:p>
            <w:pPr>
              <w:spacing w:after="0"/>
              <w:rPr>
                <w:sz w:val="3"/>
                <w:szCs w:val="3"/>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Notes</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080" w:type="dxa"/>
            <w:vAlign w:val="bottom"/>
          </w:tcPr>
          <w:p>
            <w:pPr>
              <w:spacing w:after="0"/>
              <w:rPr>
                <w:sz w:val="10"/>
                <w:szCs w:val="10"/>
                <w:color w:val="auto"/>
              </w:rPr>
            </w:pPr>
          </w:p>
        </w:tc>
        <w:tc>
          <w:tcPr>
            <w:tcW w:w="1540" w:type="dxa"/>
            <w:vAlign w:val="bottom"/>
            <w:gridSpan w:val="6"/>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540" w:type="dxa"/>
            <w:vAlign w:val="bottom"/>
            <w:gridSpan w:val="6"/>
            <w:vMerge w:val="continue"/>
          </w:tcPr>
          <w:p>
            <w:pPr>
              <w:spacing w:after="0"/>
              <w:rPr>
                <w:sz w:val="7"/>
                <w:szCs w:val="7"/>
                <w:color w:val="auto"/>
              </w:rPr>
            </w:pPr>
          </w:p>
        </w:tc>
        <w:tc>
          <w:tcPr>
            <w:tcW w:w="120" w:type="dxa"/>
            <w:vAlign w:val="bottom"/>
            <w:tcBorders>
              <w:lef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7"/>
                <w:szCs w:val="7"/>
                <w:color w:val="auto"/>
              </w:rPr>
            </w:pPr>
          </w:p>
        </w:tc>
        <w:tc>
          <w:tcPr>
            <w:tcW w:w="9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Receivable</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1460" w:type="dxa"/>
            <w:vAlign w:val="bottom"/>
            <w:gridSpan w:val="5"/>
            <w:vMerge w:val="restart"/>
          </w:tcPr>
          <w:p>
            <w:pPr>
              <w:jc w:val="right"/>
              <w:ind w:right="179"/>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080" w:type="dxa"/>
            <w:vAlign w:val="bottom"/>
          </w:tcPr>
          <w:p>
            <w:pPr>
              <w:spacing w:after="0"/>
              <w:rPr>
                <w:sz w:val="9"/>
                <w:szCs w:val="9"/>
                <w:color w:val="auto"/>
              </w:rPr>
            </w:pPr>
          </w:p>
        </w:tc>
        <w:tc>
          <w:tcPr>
            <w:tcW w:w="1460" w:type="dxa"/>
            <w:vAlign w:val="bottom"/>
            <w:tcBorders>
              <w:bottom w:val="single" w:sz="8" w:color="auto"/>
            </w:tcBorders>
            <w:gridSpan w:val="5"/>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1200" w:type="dxa"/>
            <w:vAlign w:val="bottom"/>
            <w:tcBorders>
              <w:bottom w:val="single" w:sz="8" w:color="auto"/>
            </w:tcBorders>
            <w:gridSpan w:val="3"/>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9"/>
                <w:szCs w:val="9"/>
                <w:color w:val="auto"/>
              </w:rPr>
            </w:pPr>
          </w:p>
        </w:tc>
        <w:tc>
          <w:tcPr>
            <w:tcW w:w="10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2"/>
                <w:szCs w:val="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left w:val="single" w:sz="8" w:color="auto"/>
            </w:tcBorders>
          </w:tcPr>
          <w:p>
            <w:pPr>
              <w:spacing w:after="0"/>
              <w:rPr>
                <w:sz w:val="2"/>
                <w:szCs w:val="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0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2019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11,403,077</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73,042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1,193,488</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(44,417)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80" w:type="dxa"/>
            <w:vAlign w:val="bottom"/>
          </w:tcPr>
          <w:p>
            <w:pPr>
              <w:ind w:left="240"/>
              <w:spacing w:after="0"/>
              <w:rPr>
                <w:sz w:val="20"/>
                <w:szCs w:val="20"/>
                <w:color w:val="auto"/>
              </w:rPr>
            </w:pPr>
            <w:r>
              <w:rPr>
                <w:rFonts w:ascii="Arial" w:cs="Arial" w:eastAsia="Arial" w:hAnsi="Arial"/>
                <w:sz w:val="16"/>
                <w:szCs w:val="16"/>
                <w:color w:val="auto"/>
                <w:w w:val="98"/>
              </w:rPr>
              <w:t>Issuance of Series B convertible preferred stock, net of</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400"/>
              <w:spacing w:after="0"/>
              <w:rPr>
                <w:sz w:val="20"/>
                <w:szCs w:val="20"/>
                <w:color w:val="auto"/>
              </w:rPr>
            </w:pPr>
            <w:r>
              <w:rPr>
                <w:rFonts w:ascii="Arial" w:cs="Arial" w:eastAsia="Arial" w:hAnsi="Arial"/>
                <w:sz w:val="16"/>
                <w:szCs w:val="16"/>
                <w:color w:val="auto"/>
              </w:rPr>
              <w:t>issuance costs of $23 and partial settlement of</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400"/>
              <w:spacing w:after="0"/>
              <w:rPr>
                <w:sz w:val="20"/>
                <w:szCs w:val="20"/>
                <w:color w:val="auto"/>
              </w:rPr>
            </w:pPr>
            <w:r>
              <w:rPr>
                <w:rFonts w:ascii="Arial" w:cs="Arial" w:eastAsia="Arial" w:hAnsi="Arial"/>
                <w:sz w:val="16"/>
                <w:szCs w:val="16"/>
                <w:color w:val="auto"/>
              </w:rPr>
              <w:t>convertible preferred stock tranche liability of $27</w:t>
            </w:r>
          </w:p>
        </w:tc>
        <w:tc>
          <w:tcPr>
            <w:tcW w:w="760" w:type="dxa"/>
            <w:vAlign w:val="bottom"/>
          </w:tcPr>
          <w:p>
            <w:pPr>
              <w:jc w:val="right"/>
              <w:spacing w:after="0"/>
              <w:rPr>
                <w:sz w:val="20"/>
                <w:szCs w:val="20"/>
                <w:color w:val="auto"/>
              </w:rPr>
            </w:pPr>
            <w:r>
              <w:rPr>
                <w:rFonts w:ascii="Arial" w:cs="Arial" w:eastAsia="Arial" w:hAnsi="Arial"/>
                <w:sz w:val="16"/>
                <w:szCs w:val="16"/>
                <w:color w:val="auto"/>
              </w:rPr>
              <w:t>3,086,415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30,671</w:t>
            </w:r>
          </w:p>
        </w:tc>
        <w:tc>
          <w:tcPr>
            <w:tcW w:w="120" w:type="dxa"/>
            <w:vAlign w:val="bottom"/>
            <w:tcBorders>
              <w:left w:val="single" w:sz="8" w:color="auto"/>
            </w:tcBorders>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Issuance of common stock upon exercise of stock options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3,333</w:t>
            </w:r>
          </w:p>
        </w:tc>
        <w:tc>
          <w:tcPr>
            <w:tcW w:w="3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80" w:type="dxa"/>
            <w:vAlign w:val="bottom"/>
          </w:tcPr>
          <w:p>
            <w:pPr>
              <w:ind w:left="240"/>
              <w:spacing w:after="0"/>
              <w:rPr>
                <w:sz w:val="20"/>
                <w:szCs w:val="20"/>
                <w:color w:val="auto"/>
              </w:rPr>
            </w:pPr>
            <w:r>
              <w:rPr>
                <w:rFonts w:ascii="Arial" w:cs="Arial" w:eastAsia="Arial" w:hAnsi="Arial"/>
                <w:sz w:val="16"/>
                <w:szCs w:val="16"/>
                <w:color w:val="auto"/>
                <w:w w:val="94"/>
              </w:rPr>
              <w:t>Repurchase of common stock related to early exercise of</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400"/>
              <w:spacing w:after="0"/>
              <w:rPr>
                <w:sz w:val="20"/>
                <w:szCs w:val="20"/>
                <w:color w:val="auto"/>
              </w:rPr>
            </w:pPr>
            <w:r>
              <w:rPr>
                <w:rFonts w:ascii="Arial" w:cs="Arial" w:eastAsia="Arial" w:hAnsi="Arial"/>
                <w:sz w:val="16"/>
                <w:szCs w:val="16"/>
                <w:color w:val="auto"/>
              </w:rPr>
              <w:t>options</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(612)</w:t>
            </w:r>
          </w:p>
        </w:tc>
        <w:tc>
          <w:tcPr>
            <w:tcW w:w="3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Vesting of early exercised stock options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4080" w:type="dxa"/>
            <w:vAlign w:val="bottom"/>
          </w:tcPr>
          <w:p>
            <w:pPr>
              <w:ind w:left="240"/>
              <w:spacing w:after="0"/>
              <w:rPr>
                <w:sz w:val="20"/>
                <w:szCs w:val="20"/>
                <w:color w:val="auto"/>
              </w:rPr>
            </w:pPr>
            <w:r>
              <w:rPr>
                <w:rFonts w:ascii="Arial" w:cs="Arial" w:eastAsia="Arial" w:hAnsi="Arial"/>
                <w:sz w:val="16"/>
                <w:szCs w:val="16"/>
                <w:color w:val="auto"/>
              </w:rPr>
              <w:t>Notes receivable from stockholders</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40"/>
              <w:spacing w:after="0"/>
              <w:rPr>
                <w:sz w:val="20"/>
                <w:szCs w:val="20"/>
                <w:color w:val="auto"/>
              </w:rPr>
            </w:pPr>
            <w:r>
              <w:rPr>
                <w:rFonts w:ascii="Arial" w:cs="Arial" w:eastAsia="Arial" w:hAnsi="Arial"/>
                <w:sz w:val="16"/>
                <w:szCs w:val="16"/>
                <w:color w:val="auto"/>
              </w:rPr>
              <w:t>Net loss and other comprehensive loss</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(9,051)</w:t>
            </w: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(9,051)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as of March 31, 2020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14,489,492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103,713</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2"/>
              </w:rPr>
              <w:t>1,196,209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(53,468)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(52,621)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540" w:type="dxa"/>
            <w:vAlign w:val="bottom"/>
          </w:tcPr>
          <w:p>
            <w:pPr>
              <w:spacing w:after="0"/>
              <w:rPr>
                <w:sz w:val="3"/>
                <w:szCs w:val="3"/>
                <w:color w:val="auto"/>
              </w:rPr>
            </w:pPr>
          </w:p>
        </w:tc>
        <w:tc>
          <w:tcPr>
            <w:tcW w:w="152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Notes</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54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7"/>
                <w:szCs w:val="7"/>
                <w:color w:val="auto"/>
              </w:rPr>
            </w:pPr>
          </w:p>
        </w:tc>
        <w:tc>
          <w:tcPr>
            <w:tcW w:w="9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Receivable</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15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540" w:type="dxa"/>
            <w:vAlign w:val="bottom"/>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ind w:right="21"/>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9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5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1"/>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24,493,528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$220,754</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1,210,306</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(82,812)</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40"/>
              <w:spacing w:after="0"/>
              <w:rPr>
                <w:sz w:val="20"/>
                <w:szCs w:val="20"/>
                <w:color w:val="auto"/>
              </w:rPr>
            </w:pPr>
            <w:r>
              <w:rPr>
                <w:rFonts w:ascii="Arial" w:cs="Arial" w:eastAsia="Arial" w:hAnsi="Arial"/>
                <w:sz w:val="16"/>
                <w:szCs w:val="16"/>
                <w:color w:val="auto"/>
              </w:rPr>
              <w:t>Issuance of Series C convertible preferred</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400"/>
              <w:spacing w:after="0"/>
              <w:rPr>
                <w:sz w:val="20"/>
                <w:szCs w:val="20"/>
                <w:color w:val="auto"/>
              </w:rPr>
            </w:pPr>
            <w:r>
              <w:rPr>
                <w:rFonts w:ascii="Arial" w:cs="Arial" w:eastAsia="Arial" w:hAnsi="Arial"/>
                <w:sz w:val="16"/>
                <w:szCs w:val="16"/>
                <w:color w:val="auto"/>
              </w:rPr>
              <w:t>stock, net of issuance costs of $20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1,608,750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19,981</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 of common stock upon exercise of</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options</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12,508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40"/>
              <w:spacing w:after="0"/>
              <w:rPr>
                <w:sz w:val="20"/>
                <w:szCs w:val="20"/>
                <w:color w:val="auto"/>
              </w:rPr>
            </w:pPr>
            <w:r>
              <w:rPr>
                <w:rFonts w:ascii="Arial" w:cs="Arial" w:eastAsia="Arial" w:hAnsi="Arial"/>
                <w:sz w:val="16"/>
                <w:szCs w:val="16"/>
                <w:color w:val="auto"/>
              </w:rPr>
              <w:t>Repurchase of common stock related to early</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400"/>
              <w:spacing w:after="0"/>
              <w:rPr>
                <w:sz w:val="20"/>
                <w:szCs w:val="20"/>
                <w:color w:val="auto"/>
              </w:rPr>
            </w:pPr>
            <w:r>
              <w:rPr>
                <w:rFonts w:ascii="Arial" w:cs="Arial" w:eastAsia="Arial" w:hAnsi="Arial"/>
                <w:sz w:val="16"/>
                <w:szCs w:val="16"/>
                <w:color w:val="auto"/>
              </w:rPr>
              <w:t>exercise of options</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(365)</w:t>
            </w:r>
          </w:p>
        </w:tc>
        <w:tc>
          <w:tcPr>
            <w:tcW w:w="3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Vesting of early exercised stock options</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 and other comprehensive loss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(13,098)</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(13,098)</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Balance as of March 31, 2021</w:t>
            </w: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4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26,102,278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240,735</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1,222,449</w:t>
            </w:r>
          </w:p>
        </w:tc>
        <w:tc>
          <w:tcPr>
            <w:tcW w:w="26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2,054</w:t>
            </w:r>
          </w:p>
        </w:tc>
        <w:tc>
          <w:tcPr>
            <w:tcW w:w="38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(87)</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(95,910)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(93,943)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4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(9,051)</w:t>
            </w:r>
          </w:p>
        </w:tc>
        <w:tc>
          <w:tcPr>
            <w:tcW w:w="5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(13,098)</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584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8"/>
        </w:trPr>
        <w:tc>
          <w:tcPr>
            <w:tcW w:w="8480" w:type="dxa"/>
            <w:vAlign w:val="bottom"/>
          </w:tcPr>
          <w:p>
            <w:pPr>
              <w:ind w:left="2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35</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Non-cash operating lease expense</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8"/>
        </w:trPr>
        <w:tc>
          <w:tcPr>
            <w:tcW w:w="8480" w:type="dxa"/>
            <w:vAlign w:val="bottom"/>
          </w:tcPr>
          <w:p>
            <w:pPr>
              <w:ind w:left="280"/>
              <w:spacing w:after="0" w:line="149" w:lineRule="exact"/>
              <w:rPr>
                <w:sz w:val="20"/>
                <w:szCs w:val="20"/>
                <w:color w:val="auto"/>
              </w:rPr>
            </w:pPr>
            <w:r>
              <w:rPr>
                <w:rFonts w:ascii="Arial" w:cs="Arial" w:eastAsia="Arial" w:hAnsi="Arial"/>
                <w:sz w:val="14"/>
                <w:szCs w:val="14"/>
                <w:color w:val="auto"/>
              </w:rPr>
              <w:t>Change in fair value of convertible preferred stock tranche liability</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158</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Other non-current assets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(169)</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149"/>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674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Deferred rent and other lease liabilities</w:t>
            </w: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Operating lease liabilities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used in operating activities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(8,238)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(15,789)</w:t>
            </w:r>
          </w:p>
        </w:tc>
        <w:tc>
          <w:tcPr>
            <w:tcW w:w="0" w:type="dxa"/>
            <w:vAlign w:val="bottom"/>
          </w:tcPr>
          <w:p>
            <w:pPr>
              <w:spacing w:after="0"/>
              <w:rPr>
                <w:sz w:val="1"/>
                <w:szCs w:val="1"/>
                <w:color w:val="auto"/>
              </w:rPr>
            </w:pPr>
          </w:p>
        </w:tc>
      </w:tr>
      <w:tr>
        <w:trPr>
          <w:trHeight w:val="155"/>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(4,323)</w:t>
            </w:r>
          </w:p>
        </w:tc>
        <w:tc>
          <w:tcPr>
            <w:tcW w:w="0" w:type="dxa"/>
            <w:vAlign w:val="bottom"/>
          </w:tcPr>
          <w:p>
            <w:pPr>
              <w:spacing w:after="0"/>
              <w:rPr>
                <w:sz w:val="1"/>
                <w:szCs w:val="1"/>
                <w:color w:val="auto"/>
              </w:rPr>
            </w:pPr>
          </w:p>
        </w:tc>
      </w:tr>
      <w:tr>
        <w:trPr>
          <w:trHeight w:val="148"/>
        </w:trPr>
        <w:tc>
          <w:tcPr>
            <w:tcW w:w="8480" w:type="dxa"/>
            <w:vAlign w:val="bottom"/>
          </w:tcPr>
          <w:p>
            <w:pPr>
              <w:spacing w:after="0" w:line="149" w:lineRule="exact"/>
              <w:rPr>
                <w:sz w:val="20"/>
                <w:szCs w:val="20"/>
                <w:color w:val="auto"/>
              </w:rPr>
            </w:pPr>
            <w:r>
              <w:rPr>
                <w:rFonts w:ascii="Arial" w:cs="Arial" w:eastAsia="Arial" w:hAnsi="Arial"/>
                <w:sz w:val="14"/>
                <w:szCs w:val="14"/>
                <w:color w:val="auto"/>
              </w:rPr>
              <w:t>Proceeds from maturities of marketable securities</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2,753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2,318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(4,323)</w:t>
            </w:r>
          </w:p>
        </w:tc>
        <w:tc>
          <w:tcPr>
            <w:tcW w:w="0" w:type="dxa"/>
            <w:vAlign w:val="bottom"/>
          </w:tcPr>
          <w:p>
            <w:pPr>
              <w:spacing w:after="0"/>
              <w:rPr>
                <w:sz w:val="1"/>
                <w:szCs w:val="1"/>
                <w:color w:val="auto"/>
              </w:rPr>
            </w:pPr>
          </w:p>
        </w:tc>
      </w:tr>
      <w:tr>
        <w:trPr>
          <w:trHeight w:val="156"/>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30,667</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480" w:type="dxa"/>
            <w:vAlign w:val="bottom"/>
          </w:tcPr>
          <w:p>
            <w:pPr>
              <w:spacing w:after="0" w:line="149" w:lineRule="exact"/>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19,986</w:t>
            </w:r>
          </w:p>
        </w:tc>
        <w:tc>
          <w:tcPr>
            <w:tcW w:w="0" w:type="dxa"/>
            <w:vAlign w:val="bottom"/>
          </w:tcPr>
          <w:p>
            <w:pPr>
              <w:spacing w:after="0"/>
              <w:rPr>
                <w:sz w:val="1"/>
                <w:szCs w:val="1"/>
                <w:color w:val="auto"/>
              </w:rPr>
            </w:pPr>
          </w:p>
        </w:tc>
      </w:tr>
      <w:tr>
        <w:trPr>
          <w:trHeight w:val="149"/>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8480" w:type="dxa"/>
            <w:vAlign w:val="bottom"/>
          </w:tcPr>
          <w:p>
            <w:pPr>
              <w:ind w:left="8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30,670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cash equivalents and restricted cash</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24,750</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848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24,271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129,083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49,021</w:t>
            </w:r>
          </w:p>
        </w:tc>
        <w:tc>
          <w:tcPr>
            <w:tcW w:w="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128,986</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Components of cash, cash equivalents and restricted cash:</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48,622</w:t>
            </w:r>
          </w:p>
        </w:tc>
        <w:tc>
          <w:tcPr>
            <w:tcW w:w="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128,439</w:t>
            </w:r>
          </w:p>
        </w:tc>
        <w:tc>
          <w:tcPr>
            <w:tcW w:w="0" w:type="dxa"/>
            <w:vAlign w:val="bottom"/>
          </w:tcPr>
          <w:p>
            <w:pPr>
              <w:spacing w:after="0"/>
              <w:rPr>
                <w:sz w:val="1"/>
                <w:szCs w:val="1"/>
                <w:color w:val="auto"/>
              </w:rPr>
            </w:pPr>
          </w:p>
        </w:tc>
      </w:tr>
      <w:tr>
        <w:trPr>
          <w:trHeight w:val="149"/>
        </w:trPr>
        <w:tc>
          <w:tcPr>
            <w:tcW w:w="8480" w:type="dxa"/>
            <w:vAlign w:val="bottom"/>
          </w:tcPr>
          <w:p>
            <w:pPr>
              <w:spacing w:after="0" w:line="149" w:lineRule="exact"/>
              <w:rPr>
                <w:sz w:val="20"/>
                <w:szCs w:val="20"/>
                <w:color w:val="auto"/>
              </w:rPr>
            </w:pPr>
            <w:r>
              <w:rPr>
                <w:rFonts w:ascii="Arial" w:cs="Arial" w:eastAsia="Arial" w:hAnsi="Arial"/>
                <w:sz w:val="14"/>
                <w:szCs w:val="14"/>
                <w:color w:val="auto"/>
              </w:rPr>
              <w:t>Restricted cash, non-current</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399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49,021</w:t>
            </w:r>
          </w:p>
        </w:tc>
        <w:tc>
          <w:tcPr>
            <w:tcW w:w="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128,986</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operating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leases that were included in operating cash outflows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non-cash operating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liability obtained in exchange for right-of-use asset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offering costs related to initial public offering included in accounts payable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color w:val="auto"/>
              </w:rPr>
              <w:t>Property and equipment included in accounts payable and accrued expenses and other current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vMerge w:val="continue"/>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162</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Partial settlement of convertible preferred stock tranche liability in connection with the issuance of Series B convertible preferred stock</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27</w:t>
            </w:r>
          </w:p>
        </w:tc>
        <w:tc>
          <w:tcPr>
            <w:tcW w:w="500" w:type="dxa"/>
            <w:vAlign w:val="bottom"/>
            <w:gridSpan w:val="2"/>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color w:val="auto"/>
              </w:rPr>
              <w:t>Offering costs related to Series B convertible preferred stock included in accounts payable and accrued expenses and other current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4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480" w:type="dxa"/>
            <w:vAlign w:val="bottom"/>
          </w:tcPr>
          <w:p>
            <w:pPr>
              <w:ind w:left="140"/>
              <w:spacing w:after="0"/>
              <w:rPr>
                <w:sz w:val="20"/>
                <w:szCs w:val="20"/>
                <w:color w:val="auto"/>
              </w:rPr>
            </w:pPr>
            <w:r>
              <w:rPr>
                <w:rFonts w:ascii="Arial" w:cs="Arial" w:eastAsia="Arial" w:hAnsi="Arial"/>
                <w:sz w:val="14"/>
                <w:szCs w:val="14"/>
                <w:color w:val="auto"/>
              </w:rPr>
              <w:t>liabilities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23</w:t>
            </w:r>
          </w:p>
        </w:tc>
        <w:tc>
          <w:tcPr>
            <w:tcW w:w="5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Offering costs related to Series C convertible preferred stock included in accounts payable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Description of the Business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incurred net losses since inception and expects such losses to continue in the future as it conducts research and development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activities. As of March 31, 2021, the Company had an accumulated deficit of $95.9 million. The Company incurred a net loss of $9.1 million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$13.1 million during the three months ended March 31, 2020 and 2021. The Company had $128.4 million of cash and cash equivalents as of March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Management recognizes the need to raise capital to fully implement its business plan. The Company has historically financed its operations primarily with proceeds from the issuance of its convertible preferred stock and may seek to raise capital through equity financings, debt financings, license agreements, collaborative agreements or other sources of financing. Management believes that its existing cash and cash equivalents as of March 31, 2021 are sufficient to fund the Company’s operations for at least the next twelve months following the filing date of these condensed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accompanying condensed financial statements have been prepared in accordance with accounting principles generally accepted in the United States of America (GAAP) and follow the requirements of the Securities and Exchange Commission (SEC) for interim reporting. As permitted under those rules, certain footnotes or other financial information that are normally required by GAAP can be condensed or omitted.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condensed financial statements include, but are not limited to, the fair value of common stock, the valuation of equity-based awards, the useful lives of property and equipment, the fair value of the convertible preferred stock tranche liability, accrued expenses related to research and development activities and the valuation allowance for deferred tax assets. Management bases its estimates on historical experience, the current economic environment, and on various other assumptions that are believed to be reasonable under the circumstances. Actual results may differ from those estimates or assumptions.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17" w:lineRule="exact"/>
        <w:rPr>
          <w:sz w:val="20"/>
          <w:szCs w:val="20"/>
          <w:color w:val="auto"/>
        </w:rPr>
      </w:pPr>
    </w:p>
    <w:p>
      <w:pPr>
        <w:ind w:left="120" w:right="580" w:firstLine="440"/>
        <w:spacing w:after="0" w:line="301" w:lineRule="auto"/>
        <w:rPr>
          <w:sz w:val="20"/>
          <w:szCs w:val="20"/>
          <w:color w:val="auto"/>
        </w:rPr>
      </w:pPr>
      <w:r>
        <w:rPr>
          <w:rFonts w:ascii="Arial" w:cs="Arial" w:eastAsia="Arial" w:hAnsi="Arial"/>
          <w:sz w:val="16"/>
          <w:szCs w:val="16"/>
          <w:color w:val="auto"/>
        </w:rPr>
        <w:t>The interim condensed balance sheet as of March 31, 2021, and the interim condensed statements of operations and comprehensive loss, convertible preferred stock and stockholders’ deficit and cash flows for the three months ended March 31, 2020 and 2021 are unaudited. These unaudited interim condensed financial statements have been prepared on the same basis as the Company’s annual financial statements and, in the opinion of management, reflect all adjustments (consisting only of normal recurring adjustments) that are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necessary for the fair statement of the Company’s financial position, results of operations and cash flows for the interim periods presented. The condensed results of operations for the three months ended March 31, 2021 are not necessarily indicative of the results to be expected for the full year or for any other future annual or interim period. The condensed balance sheet as of December 31, 2020 included herein was derived from the audited financial statements as of that date. These interim condensed financial statements should be read in conjunction with the Company’s audited financial statements included elsewhere in this prospectus.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on the date of purchase to be cash equivalents. Cash equivalents primarily consist of money market funds that are stated at fair value.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 xml:space="preserve">The Company adopted Accounting Standards Codification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on January 1, 2021, as discussed below in the section titled “Recently Adopted Accounting Standards”. Under ASC 842, the Company determines if an arrangement is a lease at inception.</w:t>
      </w:r>
    </w:p>
    <w:p>
      <w:pPr>
        <w:spacing w:after="0" w:line="124"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5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Company’s non-lease components are primarily related to property taxes, insurance, and common area maintenance, which vary based on future outcomes, and are recognized as rent expense when incurred.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Deferred offering costs, consisting of legal, accounting, audit and filing fees relating to the Company’s initial public offering, are capitalized.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Deferred offering costs will be offset against offering proceeds upon the completion of the offering. In the event the offering is terminated or delayed,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deferred offering costs will be expensed. As of December 31, 2020, the Company did not incur any deferred offering costs. As of March 31, 2021,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$0.1 million of deferred offering costs were capitalized, which are included in other non-current assets in the accompanying condensed balance sheet.</w:t>
      </w:r>
    </w:p>
    <w:p>
      <w:pPr>
        <w:spacing w:after="0" w:line="34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the Company’s common stock outstanding for the period, without consideration for potential dilutive shares of common stock. As the Company is in a loss position for the periods presented, diluted net loss per share is the same as basic net loss per share, since the effects of potentially dilutive securities are antidilutive. Shares related to early exercised stock options and restricted stock that are subject to repurchase are excluded from the basic and diluted net loss per share calculation until the Company’s repurchase right lapses.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On January 1, 2020, the Company adopted Financial Accounting Standards Board (FASB) Accounting Standard Update (ASU) No. 2018-13,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 (Topic 820): Disclosure Framework—Changes to the Disclosure Requirements for Fair Value Measurement</w:t>
      </w:r>
      <w:r>
        <w:rPr>
          <w:rFonts w:ascii="Arial" w:cs="Arial" w:eastAsia="Arial" w:hAnsi="Arial"/>
          <w:sz w:val="18"/>
          <w:szCs w:val="18"/>
          <w:color w:val="auto"/>
        </w:rPr>
        <w:t>. This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eliminates, modifies and adds disclosure requirements for fair value measurements. The Company adopted the removed and modified disclosures on a retrospective basis and the new disclosures on a prospective basis. The adoption of this standard did not have a material impact on the Company’s financial statements.</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 xml:space="preserve">On January 1, 2021, the Company adopted ASC 842 using the modified retrospective transition method and elected the practical expedients to not reassess whether any expired or existing contracts are or contain leases, carry forward its historical lease classification and not reassess initial direct costs for existing leases. The Company elected to not separate non-lease components from the associated lease components and to not recognize ROU assets and lease liabilities for leases with a term of twelve months or less. Upon adoption of ASC 842, the Company recorded an operating right-of-use asset of $4.6 million, operating lease liabilities of $9.1 million and derecognized deferred rent and other lease liabilities of $4.5 million. Results for the three months ended March 31, 2021 are presented under ASC 842. Prior period amounts before January 1, 2021 have not been adjusted and continue to be reported in accordance with the Company’s historical accounting under previous lease guidance, ASC 840: </w:t>
      </w:r>
      <w:r>
        <w:rPr>
          <w:rFonts w:ascii="Arial" w:cs="Arial" w:eastAsia="Arial" w:hAnsi="Arial"/>
          <w:sz w:val="16"/>
          <w:szCs w:val="16"/>
          <w:i w:val="1"/>
          <w:iCs w:val="1"/>
          <w:color w:val="auto"/>
        </w:rPr>
        <w:t>Leases (Topic 840)</w:t>
      </w:r>
      <w:r>
        <w:rPr>
          <w:rFonts w:ascii="Arial" w:cs="Arial" w:eastAsia="Arial" w:hAnsi="Arial"/>
          <w:sz w:val="16"/>
          <w:szCs w:val="16"/>
          <w:color w:val="auto"/>
        </w:rPr>
        <w:t>.</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existing incurred loss impairment model with an expected credit loss model. This standard will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recognize an allowance for credit losses on available-for-sale debt securities rather than the current approach of recording a reduction to the carrying value of the asset. As an emerging growth company, ASU 2016-13 is effective for the Company beginning January 1, 2023. The Company is evaluating the impact of this standard on its financial statements.</w:t>
      </w:r>
    </w:p>
    <w:p>
      <w:pPr>
        <w:spacing w:after="0" w:line="8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is effective for the Company beginning January 1, 2022. The Company is evaluating the impact of this standard on its financial statements.</w:t>
      </w:r>
    </w:p>
    <w:p>
      <w:pPr>
        <w:spacing w:after="0" w:line="8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August 2020, the FASB issued ASU No. 2020-06, Debt—</w:t>
      </w:r>
      <w:r>
        <w:rPr>
          <w:rFonts w:ascii="Arial" w:cs="Arial" w:eastAsia="Arial" w:hAnsi="Arial"/>
          <w:sz w:val="18"/>
          <w:szCs w:val="18"/>
          <w:i w:val="1"/>
          <w:iCs w:val="1"/>
          <w:color w:val="auto"/>
        </w:rPr>
        <w: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(Subtopic 815-40) </w:t>
      </w:r>
      <w:r>
        <w:rPr>
          <w:rFonts w:ascii="Arial" w:cs="Arial" w:eastAsia="Arial" w:hAnsi="Arial"/>
          <w:sz w:val="18"/>
          <w:szCs w:val="18"/>
          <w:color w:val="auto"/>
        </w:rPr>
        <w:t>(ASU 2020-06), which is intended to simplify the accounting for convertible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convertible preferred stock. This standard removes the existing guidance in ASC 470-20 that requires companies to account for cash conversion features and beneficial conversion features in equity, separately from the host convertible debt or preferred stock. As an emerging growth company, ASU 2020-06 is effective for the Company beginning January 1, 2024. The Company currently does not expect the adoption of this standard to have a material impact on its financial statements.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59" w:right="47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Financial assets and liabilities are recognized at fair value on a recurring basis. The following tables summarize the Company’s financial assets measured at fair value on a recurring basis by level within the fair value hierarchy:</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Valuation</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Amortized</w:t>
            </w:r>
          </w:p>
        </w:tc>
        <w:tc>
          <w:tcPr>
            <w:tcW w:w="340" w:type="dxa"/>
            <w:vAlign w:val="bottom"/>
          </w:tcPr>
          <w:p>
            <w:pPr>
              <w:spacing w:after="0"/>
              <w:rPr>
                <w:sz w:val="10"/>
                <w:szCs w:val="10"/>
                <w:color w:val="auto"/>
              </w:rPr>
            </w:pPr>
          </w:p>
        </w:tc>
        <w:tc>
          <w:tcPr>
            <w:tcW w:w="10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8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0"/>
                <w:szCs w:val="10"/>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Hierarchy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w:t>
            </w: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b w:val="1"/>
                <w:bCs w:val="1"/>
                <w:color w:val="auto"/>
              </w:rPr>
              <w:t>Cash equivalents: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140" w:type="dxa"/>
            <w:vAlign w:val="bottom"/>
            <w:gridSpan w:val="2"/>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127,535</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127,535</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financial assets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127,535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80" w:type="dxa"/>
            <w:vAlign w:val="bottom"/>
          </w:tcPr>
          <w:p>
            <w:pPr>
              <w:spacing w:after="0"/>
              <w:rPr>
                <w:sz w:val="24"/>
                <w:szCs w:val="2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Valuation</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March 31, 2021</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Amortized</w:t>
            </w:r>
          </w:p>
        </w:tc>
        <w:tc>
          <w:tcPr>
            <w:tcW w:w="340" w:type="dxa"/>
            <w:vAlign w:val="bottom"/>
          </w:tcPr>
          <w:p>
            <w:pPr>
              <w:spacing w:after="0"/>
              <w:rPr>
                <w:sz w:val="10"/>
                <w:szCs w:val="10"/>
                <w:color w:val="auto"/>
              </w:rPr>
            </w:pPr>
          </w:p>
        </w:tc>
        <w:tc>
          <w:tcPr>
            <w:tcW w:w="10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8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0"/>
                <w:szCs w:val="10"/>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Hierarchy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w:t>
            </w: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b w:val="1"/>
                <w:bCs w:val="1"/>
                <w:color w:val="auto"/>
              </w:rPr>
              <w:t>Cash equivalents: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140" w:type="dxa"/>
            <w:vAlign w:val="bottom"/>
            <w:gridSpan w:val="2"/>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127,433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127,433</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financial assets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127,433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Money market funds are classified as Level 1 because they are valued using quoted market prices in active markets for identical assets.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unrealized losses as of December 31, 2020 and March 31, 2021.</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Company’s convertible preferred stock tranche liability (see Note 7) was determined based on significant inputs not observable in the market, which represents a Level 3 measurement within the fair value hierarchy. Fair value was calculated using an option pricing model that required significant unobservable inputs supported by little or no market activity. The convertible preferred stock tranche liability is considered a non-contingent forward and the standard forward pricing model was used with the following key assumptions: (a) calculation of an expected term and (b) a risk-free interest rate. On the second and third closings of the Company’s Series B convertible preferred stock financings in March and August 2020, the convertible preferred stock tranche liability was settled and reclassified to Series B convertible preferred stock. Accordingly, there is no convertible preferred stock tranche liability as of December 31, 2020 and March 31, 2021.</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significant unobservable assumptions used to value the convertible preferred stock tranche liability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2020:</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March 31,</w:t>
            </w:r>
          </w:p>
        </w:tc>
      </w:tr>
      <w:tr>
        <w:trPr>
          <w:trHeight w:val="171"/>
        </w:trPr>
        <w:tc>
          <w:tcPr>
            <w:tcW w:w="2960" w:type="dxa"/>
            <w:vAlign w:val="bottom"/>
          </w:tcPr>
          <w:p>
            <w:pPr>
              <w:spacing w:after="0"/>
              <w:rPr>
                <w:sz w:val="14"/>
                <w:szCs w:val="14"/>
                <w:color w:val="auto"/>
              </w:rPr>
            </w:pPr>
          </w:p>
        </w:tc>
        <w:tc>
          <w:tcPr>
            <w:tcW w:w="44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to valuation date (in years)</w:t>
            </w:r>
          </w:p>
        </w:tc>
        <w:tc>
          <w:tcPr>
            <w:tcW w:w="38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Discount rate</w:t>
            </w:r>
          </w:p>
        </w:tc>
        <w:tc>
          <w:tcPr>
            <w:tcW w:w="45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r>
      <w:tr>
        <w:trPr>
          <w:trHeight w:val="350"/>
        </w:trPr>
        <w:tc>
          <w:tcPr>
            <w:tcW w:w="2960" w:type="dxa"/>
            <w:vAlign w:val="bottom"/>
          </w:tcPr>
          <w:p>
            <w:pPr>
              <w:spacing w:after="0"/>
              <w:rPr>
                <w:sz w:val="24"/>
                <w:szCs w:val="24"/>
                <w:color w:val="auto"/>
              </w:rPr>
            </w:pPr>
          </w:p>
        </w:tc>
        <w:tc>
          <w:tcPr>
            <w:tcW w:w="4520" w:type="dxa"/>
            <w:vAlign w:val="bottom"/>
            <w:gridSpan w:val="3"/>
          </w:tcPr>
          <w:p>
            <w:pPr>
              <w:jc w:val="right"/>
              <w:ind w:right="3560"/>
              <w:spacing w:after="0"/>
              <w:rPr>
                <w:sz w:val="20"/>
                <w:szCs w:val="20"/>
                <w:color w:val="auto"/>
              </w:rPr>
            </w:pPr>
            <w:r>
              <w:rPr>
                <w:rFonts w:ascii="Arial" w:cs="Arial" w:eastAsia="Arial" w:hAnsi="Arial"/>
                <w:sz w:val="18"/>
                <w:szCs w:val="18"/>
                <w:color w:val="auto"/>
              </w:rPr>
              <w:t>F-35</w:t>
            </w:r>
          </w:p>
        </w:tc>
      </w:tr>
    </w:tbl>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summarizes the changes in the estimated fair value of the Company’s convertible preferred stock tranche liability measured on a recurring basis using significant Level 3 inputs: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80" w:type="dxa"/>
            <w:vAlign w:val="bottom"/>
          </w:tcPr>
          <w:p>
            <w:pPr>
              <w:ind w:left="360"/>
              <w:spacing w:after="0" w:line="201" w:lineRule="exact"/>
              <w:rPr>
                <w:sz w:val="20"/>
                <w:szCs w:val="20"/>
                <w:color w:val="auto"/>
              </w:rPr>
            </w:pPr>
            <w:r>
              <w:rPr>
                <w:rFonts w:ascii="Arial" w:cs="Arial" w:eastAsia="Arial" w:hAnsi="Arial"/>
                <w:sz w:val="18"/>
                <w:szCs w:val="18"/>
                <w:color w:val="auto"/>
                <w:w w:val="92"/>
              </w:rPr>
              <w:t>Partial settlement upon second closing of Series B convertible preferred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tcPr>
          <w:p>
            <w:pPr>
              <w:ind w:left="540"/>
              <w:spacing w:after="0"/>
              <w:rPr>
                <w:sz w:val="20"/>
                <w:szCs w:val="20"/>
                <w:color w:val="auto"/>
              </w:rPr>
            </w:pPr>
            <w:r>
              <w:rPr>
                <w:rFonts w:ascii="Arial" w:cs="Arial" w:eastAsia="Arial" w:hAnsi="Arial"/>
                <w:sz w:val="18"/>
                <w:szCs w:val="18"/>
                <w:color w:val="auto"/>
              </w:rPr>
              <w:t>stock</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upon remeasurement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60" w:type="dxa"/>
            <w:vAlign w:val="bottom"/>
            <w:gridSpan w:val="2"/>
          </w:tcPr>
          <w:p>
            <w:pPr>
              <w:ind w:left="380"/>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3"/>
          </w:tcPr>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40" w:type="dxa"/>
            <w:vAlign w:val="bottom"/>
            <w:gridSpan w:val="3"/>
          </w:tcPr>
          <w:p>
            <w:pPr>
              <w:ind w:left="440"/>
              <w:spacing w:after="0"/>
              <w:rPr>
                <w:sz w:val="20"/>
                <w:szCs w:val="20"/>
                <w:color w:val="auto"/>
              </w:rPr>
            </w:pPr>
            <w:r>
              <w:rPr>
                <w:rFonts w:ascii="Arial" w:cs="Arial" w:eastAsia="Arial" w:hAnsi="Arial"/>
                <w:sz w:val="18"/>
                <w:szCs w:val="18"/>
                <w:color w:val="auto"/>
              </w:rPr>
              <w:t>Property and equipment, net consists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480" w:type="dxa"/>
            <w:vAlign w:val="bottom"/>
          </w:tcPr>
          <w:p>
            <w:pPr>
              <w:spacing w:after="0"/>
              <w:rPr>
                <w:sz w:val="24"/>
                <w:szCs w:val="24"/>
                <w:color w:val="auto"/>
              </w:rPr>
            </w:pPr>
          </w:p>
        </w:tc>
        <w:tc>
          <w:tcPr>
            <w:tcW w:w="8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8,182</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7,678</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11,937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7,237</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60" w:type="dxa"/>
            <w:vAlign w:val="bottom"/>
            <w:gridSpan w:val="2"/>
          </w:tcPr>
          <w:p>
            <w:pPr>
              <w:ind w:left="360"/>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23,888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83"/>
              </w:rPr>
              <w:t>28,656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60" w:type="dxa"/>
            <w:vAlign w:val="bottom"/>
            <w:gridSpan w:val="2"/>
          </w:tcPr>
          <w:p>
            <w:pPr>
              <w:ind w:left="36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17,185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w w:val="83"/>
              </w:rPr>
              <w:t>21,267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Depreciation and amortization expense for the three months ended March 31, 2020 and 2021 was $0.6 million and $0.7 million. Construction in progress consists primarily of capitalized machinery and equipment that is expected to be placed in service in the Company’s manufacturing and office space located in Union City, California after the lease commencement date in May 2021.</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4"/>
          </w:tcPr>
          <w:p>
            <w:pPr>
              <w:ind w:left="4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Accrued property and equipment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5220" w:type="dxa"/>
            <w:vAlign w:val="bottom"/>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9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3960"/>
              <w:spacing w:after="0"/>
              <w:rPr>
                <w:sz w:val="20"/>
                <w:szCs w:val="20"/>
                <w:color w:val="auto"/>
              </w:rPr>
            </w:pPr>
            <w:r>
              <w:rPr>
                <w:rFonts w:ascii="Arial" w:cs="Arial" w:eastAsia="Arial" w:hAnsi="Arial"/>
                <w:sz w:val="18"/>
                <w:szCs w:val="18"/>
                <w:color w:val="auto"/>
              </w:rPr>
              <w:t>F-36</w:t>
            </w: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Collaboration and License Agreements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Gladstone License Agreement</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October 2016, the Company entered into a license agreement with Gladstone Institutes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 to $0.1 million per year, which will be creditable against royalties paid in the following twelve month period, (ii) milestone payments up to $4.1 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 to $100,000 to extend the deadline for its diligence milestone obligations for up to four additional one-year terms. As of March 31, 2021, the Company has not recognized any milestone and royalty payments under the Gladstone License Agreement.</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During the three months ended March 31, 2020 and 2021, there were no amounts recorded related to annual license fees payable pursuant to the Gladstone License Agreement.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University of Texas Southwestern License Agreement</w:t>
      </w:r>
    </w:p>
    <w:p>
      <w:pPr>
        <w:spacing w:after="0" w:line="11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March 31, 2021, the Company has not recognized any milestone and royalty payments under the UTSW License.</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During the three months ended March 31, 2020, the Company recorded research and development expenses of $0.1 million related to the upfront license fee payable pursuant to the UTSW License.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to the agreements described above, the Company has also entered into other license agreements with various institutions and business entities, none of which are material individually or in the aggregate.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In December 2016, the Company entered into a lease agreement for office and laboratory space in South San Francisco, California. The lease expires in May 2025 and the Company may renew the lease term for two additional five-year periods. Pursuant to the lease agreement, the Company received a tenant improvement allowance of $5.8 million in aggregate for leasehold improvements to the facility.</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December 2020, the Company entered into a short-term sublease agreement for additional office and laboratory space in South San Francisco, California with a lease term that expires on November 30, 2021.</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January 1, 2021, the Company adopted ASC 842 (see Note 2) and the following disclosures as of and for the three months ended March 31, 2021 are presented under ASC 842. As of March 31, 2021, the remaining lease term was 4.4 years and the incremental borrowing rate used to determine the operating lease liability was 9.0%.</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For the three months ended March 31, 2021, the Company incurred $1.2 million in rent expense, of which $0.6 million is related to the Company’s short-term lease. Variable lease payments were $0.4 million for the three months ended March 31, 2021. For the three months ended March 31, 2020, the Company incurred $0.6 million in rent expense.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March 31, 2021 the undiscounted future minimum lease payments due under the Company’s non-cancelable operating lease are as follows:</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Amount</w:t>
            </w:r>
          </w:p>
        </w:tc>
      </w:tr>
      <w:tr>
        <w:trPr>
          <w:trHeight w:val="142"/>
        </w:trPr>
        <w:tc>
          <w:tcPr>
            <w:tcW w:w="650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gridSpan w:val="2"/>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9 months)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2,446</w:t>
            </w: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2,603</w:t>
            </w: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 undiscounted future minimum lease payments</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adjustment for minimum lease commitments</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(1,733)</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2020, undiscounted future minimum lease payments due under the Company’s non-cancelable operating lease are as follows:</w:t>
      </w:r>
    </w:p>
    <w:p>
      <w:pPr>
        <w:spacing w:after="0" w:line="267"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r>
      <w:tr>
        <w:trPr>
          <w:trHeight w:val="142"/>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gridSpan w:val="2"/>
          </w:tcPr>
          <w:p>
            <w:pPr>
              <w:spacing w:after="0"/>
              <w:rPr>
                <w:sz w:val="12"/>
                <w:szCs w:val="12"/>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2021</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3,752</w:t>
            </w:r>
          </w:p>
        </w:tc>
        <w:tc>
          <w:tcPr>
            <w:tcW w:w="40" w:type="dxa"/>
            <w:vAlign w:val="bottom"/>
            <w:shd w:val="clear" w:color="auto" w:fill="CCEEFF"/>
          </w:tcPr>
          <w:p>
            <w:pPr>
              <w:spacing w:after="0"/>
              <w:rPr>
                <w:sz w:val="18"/>
                <w:szCs w:val="18"/>
                <w:color w:val="auto"/>
              </w:rPr>
            </w:pPr>
          </w:p>
        </w:tc>
      </w:tr>
      <w:tr>
        <w:trPr>
          <w:trHeight w:val="216"/>
        </w:trPr>
        <w:tc>
          <w:tcPr>
            <w:tcW w:w="7320" w:type="dxa"/>
            <w:vAlign w:val="bottom"/>
          </w:tcPr>
          <w:p>
            <w:pPr>
              <w:jc w:val="right"/>
              <w:ind w:right="6870"/>
              <w:spacing w:after="0"/>
              <w:rPr>
                <w:sz w:val="20"/>
                <w:szCs w:val="20"/>
                <w:color w:val="auto"/>
              </w:rPr>
            </w:pPr>
            <w:r>
              <w:rPr>
                <w:rFonts w:ascii="Arial" w:cs="Arial" w:eastAsia="Arial" w:hAnsi="Arial"/>
                <w:sz w:val="18"/>
                <w:szCs w:val="18"/>
                <w:color w:val="auto"/>
                <w:w w:val="84"/>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2,206</w:t>
            </w:r>
          </w:p>
        </w:tc>
        <w:tc>
          <w:tcPr>
            <w:tcW w:w="40" w:type="dxa"/>
            <w:vAlign w:val="bottom"/>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w:t>
            </w:r>
          </w:p>
        </w:tc>
        <w:tc>
          <w:tcPr>
            <w:tcW w:w="40" w:type="dxa"/>
            <w:vAlign w:val="bottom"/>
            <w:shd w:val="clear" w:color="auto" w:fill="CCEEFF"/>
          </w:tcPr>
          <w:p>
            <w:pPr>
              <w:spacing w:after="0"/>
              <w:rPr>
                <w:sz w:val="18"/>
                <w:szCs w:val="18"/>
                <w:color w:val="auto"/>
              </w:rPr>
            </w:pPr>
          </w:p>
        </w:tc>
      </w:tr>
      <w:tr>
        <w:trPr>
          <w:trHeight w:val="216"/>
        </w:trPr>
        <w:tc>
          <w:tcPr>
            <w:tcW w:w="7320" w:type="dxa"/>
            <w:vAlign w:val="bottom"/>
          </w:tcPr>
          <w:p>
            <w:pPr>
              <w:jc w:val="right"/>
              <w:ind w:right="6870"/>
              <w:spacing w:after="0"/>
              <w:rPr>
                <w:sz w:val="20"/>
                <w:szCs w:val="20"/>
                <w:color w:val="auto"/>
              </w:rPr>
            </w:pPr>
            <w:r>
              <w:rPr>
                <w:rFonts w:ascii="Arial" w:cs="Arial" w:eastAsia="Arial" w:hAnsi="Arial"/>
                <w:sz w:val="18"/>
                <w:szCs w:val="18"/>
                <w:color w:val="auto"/>
                <w:w w:val="84"/>
              </w:rPr>
              <w:t>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2,363</w:t>
            </w:r>
          </w:p>
        </w:tc>
        <w:tc>
          <w:tcPr>
            <w:tcW w:w="40" w:type="dxa"/>
            <w:vAlign w:val="bottom"/>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w:t>
            </w:r>
          </w:p>
        </w:tc>
        <w:tc>
          <w:tcPr>
            <w:tcW w:w="40" w:type="dxa"/>
            <w:vAlign w:val="bottom"/>
            <w:shd w:val="clear" w:color="auto" w:fill="CCEEFF"/>
          </w:tcPr>
          <w:p>
            <w:pPr>
              <w:spacing w:after="0"/>
              <w:rPr>
                <w:sz w:val="18"/>
                <w:szCs w:val="18"/>
                <w:color w:val="auto"/>
              </w:rPr>
            </w:pPr>
          </w:p>
        </w:tc>
      </w:tr>
      <w:tr>
        <w:trPr>
          <w:trHeight w:val="223"/>
        </w:trPr>
        <w:tc>
          <w:tcPr>
            <w:tcW w:w="7320" w:type="dxa"/>
            <w:vAlign w:val="bottom"/>
          </w:tcPr>
          <w:p>
            <w:pPr>
              <w:jc w:val="right"/>
              <w:ind w:right="415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February 2021, the Company entered into a lease agreement for manufacturing and office space located in Union City, California. The lease commenced in May 2021 and has a ten-year term with one five-year renewal option. Upon the execution of the lease agreement, the Company provided the landlord with a refundable security deposit of $3.3 million, which is included in other non-current assets on the condensed balance sheets. The total undiscounted future minimum lease payments associated with this operating lease are $13.9 million and are not included in the table above.</w:t>
      </w:r>
    </w:p>
    <w:p>
      <w:pPr>
        <w:spacing w:after="0" w:line="157"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The Company has previously entered into agreements to sublease portions of the Company’s facilities in South San Francisco to two different subtenants, both of which expired as of December 31, 2020. Pursuant to the sublease agreements, the Company received sublease income of</w:t>
      </w:r>
    </w:p>
    <w:p>
      <w:pPr>
        <w:ind w:left="120"/>
        <w:spacing w:after="0" w:line="260" w:lineRule="auto"/>
        <w:rPr>
          <w:sz w:val="20"/>
          <w:szCs w:val="20"/>
          <w:color w:val="auto"/>
        </w:rPr>
      </w:pPr>
      <w:r>
        <w:rPr>
          <w:rFonts w:ascii="Arial" w:cs="Arial" w:eastAsia="Arial" w:hAnsi="Arial"/>
          <w:sz w:val="18"/>
          <w:szCs w:val="18"/>
          <w:color w:val="auto"/>
        </w:rPr>
        <w:t>$0.2 million during the three months ended March 31, 2020, which is included in other income (expense), net on the condensed statements of operations and comprehensive loss.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2020 and March 31, 2021, the Company does not have any material indemnification claims that were probable or reasonably possible and, consequently, has not recorded any related liabilities.</w:t>
      </w:r>
    </w:p>
    <w:p>
      <w:pPr>
        <w:spacing w:after="0" w:line="281" w:lineRule="exact"/>
        <w:rPr>
          <w:sz w:val="20"/>
          <w:szCs w:val="20"/>
          <w:color w:val="auto"/>
        </w:rPr>
      </w:pPr>
    </w:p>
    <w:p>
      <w:pPr>
        <w:ind w:left="300" w:hanging="184"/>
        <w:spacing w:after="0"/>
        <w:tabs>
          <w:tab w:leader="none" w:pos="300" w:val="left"/>
        </w:tabs>
        <w:numPr>
          <w:ilvl w:val="0"/>
          <w:numId w:val="15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August 2019, the Company entered into a Series B preferred stock purchase agreement (Series B SPA) for the issuance of up to 9,259,254 shares of the Company’s Series B convertible preferred stock at a purchase price of $9.936 per share in multiple closings. The Company completed the initial closing in August 2019, whereby 3,086,415 shares of Series B convertible preferred stock were issued for gross proceeds of $30.7 million. Pursuant to the Series B SPA, the Company was permitted to sell additional shares in subsequent closings contingent upon the approval of the Company’s board of directors.</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On issuance, the Company determined that its obligation to issue additional shares of Series B convertible preferred stock in future closings was a freestanding instrument that should be classified as a liability on the Company’s balance sheets. The freestanding financial instrument, or convertible preferred stock tranche liability, was recorded at fair value on issuance of $0.8 million with the remaining proceeds being allocated to the Series B convertible preferred stock. Any changes in fair value of the convertible preferred stock tranche liability in subsequent reporting periods are recognized as a component of other income (expense), net in the statements of operations and comprehensive loss (see Note 3).</w:t>
      </w:r>
    </w:p>
    <w:p>
      <w:pPr>
        <w:spacing w:after="0" w:line="1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March 2020, the Company completed its second closing of Series B convertible preferred stock financing and issued 3,086,415 shares of Series B convertible preferred stock at the fixed purchase price of $9.936 per share for gross proceeds of $30.7 million, thereby settling a portion of the convertible preferred stock tranche liability. Immediately prior to the second closing, the Company measured the convertible preferred stock tranche liability to its then fair value. Upon the closing of the second tranche, the convertible preferred stock tranche liability was partially settled and the related balance of the liability of $27,000 was reclassified to Series B convertible preferred stock.</w:t>
      </w:r>
    </w:p>
    <w:p>
      <w:pPr>
        <w:spacing w:after="0" w:line="17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August 2020, the Company completed its third closing of Series B convertible preferred stock financing and issued 3,086,415 shares of Series B convertible preferred stock at the purchase price of $9.936 per share for gross proceeds of $30.7 million, thereby settling the remainder of the convertible preferred stock tranche liability. Immediately prior to the third closing, the Company measured the convertible preferred stock tranche liability to its then fair value. Upon the closing of the third tranche, the remaining convertible preferred stock tranche liability was settled and the balance of the liability of $0.7 million was reclassified to Series B convertible preferred stock.</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C Convertible Preferred Stock Financing</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December 2020, the Company entered into a Series C preferred stock purchase agreement (Series C SPA) for the issuance of up to 8,526,381 shares of the Company’s Series C convertible preferred stock at a purchase price of $12.432 per share in two closings. The Company completed the initial closing in December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whereby 6,917,621 shares of Series C convertible preferred stock were issued for gross proceeds of $86.0 million.</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January 2021, the Company sold an additional 1,608,750 shares of Series C convertible preferred stock at a purchase price of $12.432 per share for gross proceeds of $20.0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convertible preferred stock consists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1"/>
              </w:rPr>
              <w:t>December 31, 2020</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1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2"/>
              </w:rPr>
              <w:t>Shares</w:t>
            </w:r>
          </w:p>
        </w:tc>
        <w:tc>
          <w:tcPr>
            <w:tcW w:w="14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Shares Issued and</w:t>
            </w:r>
          </w:p>
        </w:tc>
        <w:tc>
          <w:tcPr>
            <w:tcW w:w="11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Net Carrying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Liquidation</w:t>
            </w:r>
          </w:p>
        </w:tc>
        <w:tc>
          <w:tcPr>
            <w:tcW w:w="80" w:type="dxa"/>
            <w:vAlign w:val="bottom"/>
          </w:tcPr>
          <w:p>
            <w:pPr>
              <w:spacing w:after="0"/>
              <w:rPr>
                <w:sz w:val="10"/>
                <w:szCs w:val="10"/>
                <w:color w:val="auto"/>
              </w:rPr>
            </w:pPr>
          </w:p>
        </w:tc>
      </w:tr>
      <w:tr>
        <w:trPr>
          <w:trHeight w:val="171"/>
        </w:trPr>
        <w:tc>
          <w:tcPr>
            <w:tcW w:w="2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Authorized</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2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(in thousands, except shares)</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Convertible Preferred Stock</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Series A</w:t>
            </w:r>
          </w:p>
        </w:tc>
        <w:tc>
          <w:tcPr>
            <w:tcW w:w="4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8,316,666</w:t>
            </w:r>
          </w:p>
        </w:tc>
        <w:tc>
          <w:tcPr>
            <w:tcW w:w="14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8,316,662</w:t>
            </w:r>
          </w:p>
        </w:tc>
        <w:tc>
          <w:tcPr>
            <w:tcW w:w="260" w:type="dxa"/>
            <w:vAlign w:val="bottom"/>
            <w:tcBorders>
              <w:top w:val="single" w:sz="8" w:color="CCEEFF"/>
            </w:tcBorders>
          </w:tcPr>
          <w:p>
            <w:pPr>
              <w:jc w:val="right"/>
              <w:ind w:right="78"/>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43,393</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49,900</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9,259,254</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9,259,245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92,000</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920" w:type="dxa"/>
            <w:vAlign w:val="bottom"/>
          </w:tcPr>
          <w:p>
            <w:pPr>
              <w:jc w:val="right"/>
              <w:spacing w:after="0"/>
              <w:rPr>
                <w:sz w:val="20"/>
                <w:szCs w:val="20"/>
                <w:color w:val="auto"/>
              </w:rPr>
            </w:pPr>
            <w:r>
              <w:rPr>
                <w:rFonts w:ascii="Arial" w:cs="Arial" w:eastAsia="Arial" w:hAnsi="Arial"/>
                <w:sz w:val="18"/>
                <w:szCs w:val="18"/>
                <w:color w:val="auto"/>
              </w:rPr>
              <w:t>8,526,381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6,917,621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85,717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86,000</w:t>
            </w:r>
          </w:p>
        </w:tc>
      </w:tr>
      <w:tr>
        <w:trPr>
          <w:trHeight w:val="27"/>
        </w:trPr>
        <w:tc>
          <w:tcPr>
            <w:tcW w:w="2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26,102,301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24,493,528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220,754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227,900</w:t>
            </w:r>
          </w:p>
        </w:tc>
      </w:tr>
      <w:tr>
        <w:trPr>
          <w:trHeight w:val="20"/>
        </w:trPr>
        <w:tc>
          <w:tcPr>
            <w:tcW w:w="2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center"/>
              <w:ind w:left="460"/>
              <w:spacing w:after="0" w:line="143" w:lineRule="exact"/>
              <w:rPr>
                <w:sz w:val="20"/>
                <w:szCs w:val="20"/>
                <w:color w:val="auto"/>
              </w:rPr>
            </w:pPr>
            <w:r>
              <w:rPr>
                <w:rFonts w:ascii="Arial" w:cs="Arial" w:eastAsia="Arial" w:hAnsi="Arial"/>
                <w:sz w:val="14"/>
                <w:szCs w:val="14"/>
                <w:b w:val="1"/>
                <w:bCs w:val="1"/>
                <w:color w:val="auto"/>
                <w:w w:val="96"/>
              </w:rPr>
              <w:t>March 31, 2021</w:t>
            </w:r>
          </w:p>
        </w:tc>
        <w:tc>
          <w:tcPr>
            <w:tcW w:w="6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2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1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2"/>
              </w:rPr>
              <w:t>Shares</w:t>
            </w:r>
          </w:p>
        </w:tc>
        <w:tc>
          <w:tcPr>
            <w:tcW w:w="14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Shares Issued and</w:t>
            </w:r>
          </w:p>
        </w:tc>
        <w:tc>
          <w:tcPr>
            <w:tcW w:w="11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Net Carrying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Liquidation</w:t>
            </w:r>
          </w:p>
        </w:tc>
        <w:tc>
          <w:tcPr>
            <w:tcW w:w="80" w:type="dxa"/>
            <w:vAlign w:val="bottom"/>
          </w:tcPr>
          <w:p>
            <w:pPr>
              <w:spacing w:after="0"/>
              <w:rPr>
                <w:sz w:val="10"/>
                <w:szCs w:val="10"/>
                <w:color w:val="auto"/>
              </w:rPr>
            </w:pPr>
          </w:p>
        </w:tc>
      </w:tr>
      <w:tr>
        <w:trPr>
          <w:trHeight w:val="171"/>
        </w:trPr>
        <w:tc>
          <w:tcPr>
            <w:tcW w:w="2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Authorized</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2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(in thousands, except shares)</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Convertible Preferred Stock</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Series A</w:t>
            </w:r>
          </w:p>
        </w:tc>
        <w:tc>
          <w:tcPr>
            <w:tcW w:w="4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8,316,666</w:t>
            </w:r>
          </w:p>
        </w:tc>
        <w:tc>
          <w:tcPr>
            <w:tcW w:w="14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8,316,662</w:t>
            </w:r>
          </w:p>
        </w:tc>
        <w:tc>
          <w:tcPr>
            <w:tcW w:w="260" w:type="dxa"/>
            <w:vAlign w:val="bottom"/>
            <w:tcBorders>
              <w:top w:val="single" w:sz="8" w:color="CCEEFF"/>
            </w:tcBorders>
          </w:tcPr>
          <w:p>
            <w:pPr>
              <w:jc w:val="right"/>
              <w:ind w:right="78"/>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43,393</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49,900</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9,259,254</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9,259,245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92,000</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920" w:type="dxa"/>
            <w:vAlign w:val="bottom"/>
          </w:tcPr>
          <w:p>
            <w:pPr>
              <w:jc w:val="right"/>
              <w:spacing w:after="0"/>
              <w:rPr>
                <w:sz w:val="20"/>
                <w:szCs w:val="20"/>
                <w:color w:val="auto"/>
              </w:rPr>
            </w:pPr>
            <w:r>
              <w:rPr>
                <w:rFonts w:ascii="Arial" w:cs="Arial" w:eastAsia="Arial" w:hAnsi="Arial"/>
                <w:sz w:val="18"/>
                <w:szCs w:val="18"/>
                <w:color w:val="auto"/>
              </w:rPr>
              <w:t>8,526,381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8,526,371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105,698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106,000</w:t>
            </w:r>
          </w:p>
        </w:tc>
      </w:tr>
      <w:tr>
        <w:trPr>
          <w:trHeight w:val="27"/>
        </w:trPr>
        <w:tc>
          <w:tcPr>
            <w:tcW w:w="2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26,102,301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26,102,278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240,735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247,900</w:t>
            </w:r>
          </w:p>
        </w:tc>
      </w:tr>
      <w:tr>
        <w:trPr>
          <w:trHeight w:val="20"/>
        </w:trPr>
        <w:tc>
          <w:tcPr>
            <w:tcW w:w="2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Company classifies its convertible preferred stock outside of total stockholders’ deficit because, in the event of certain change of control events that are not solely within the control of the Company (including liquidation, sale or transfer of the Company), the shares would become redeemable at the option of the holders. As a result, the Company has classified its convertible preferred stock as mezzanine equity on the balance sheets as the preferred stock is contingently redeemable. The Company did not adjust the carrying values of the convertible preferred stock to the deemed liquidation values of such shares since a liquidation event was not probable as of each reporting date. Subsequent adjustments to increase or decrease the carrying values to the ultimate liquidation values will be made only if and when it becomes probable that such liquidation event will occur.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holders of the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condensed balance sheets and condensed statements of convertible preferred stock and stockholders’ deficit includes shares related to early exercised options and restricted stock that are subject to repurchase. Common stock issued and outstanding is reduced for any repurchases of early exercised stock options and restricted stock. As of December 31, 2020 and March 31, 2021, outstanding common stock included 138,127 and 101,592 shares, respectively, related to early exercised stock options and restricted stock that are unvested and subject to repurchase.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reserved the following shares of common stock for issuance, on an as-if converted basis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4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0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outstanding shares of convertible preferred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24,493,528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26,102,278</w:t>
            </w:r>
          </w:p>
        </w:tc>
        <w:tc>
          <w:tcPr>
            <w:tcW w:w="8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Options outstanding under the 2016 Plan</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1,160,808</w:t>
            </w:r>
          </w:p>
        </w:tc>
        <w:tc>
          <w:tcPr>
            <w:tcW w:w="3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1,727,968</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grant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412,170</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379,271</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26,066,506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28,209,517</w:t>
            </w:r>
          </w:p>
        </w:tc>
        <w:tc>
          <w:tcPr>
            <w:tcW w:w="8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In October 2016, the Company adopted the 2016 Equity Incentive Plan (the 2016 Plan), which provides for the granting of incentive and non-statutory stock options, stock appreciation rights, restricted stock and restricted stock units and other forms of stock awards to its employees, directors and non-employee service providers.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shares reserved and available for grant under the 2016 Plan as of March 31, 2021 are 379,271.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stock option activity under the 2016 Plan: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Price Per</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Share</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1,160,808</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1.74</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596,855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5.64</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(12,508)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2.49</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Arial" w:cs="Arial" w:eastAsia="Arial" w:hAnsi="Arial"/>
                <w:sz w:val="18"/>
                <w:szCs w:val="18"/>
                <w:color w:val="auto"/>
              </w:rPr>
              <w:t>Options cancelled</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(17,187)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3.14</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1,727,968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Exercisable as of March 31, 2021</w:t>
            </w: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1.39</w:t>
            </w: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7.93</w:t>
            </w:r>
          </w:p>
        </w:tc>
        <w:tc>
          <w:tcPr>
            <w:tcW w:w="360" w:type="dxa"/>
            <w:vAlign w:val="bottom"/>
            <w:gridSpan w:val="2"/>
            <w:vMerge w:val="restart"/>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520,105</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total intrinsic value of options exercised during the three months ended March 31, 2020 and 2021 was $6,000 and $70,000. The aggregate intrinsic value is the difference between the fair value of the Company’s common stock, as approved by the Company’s board of directors, and exercise price of the option.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weighted average grant-date fair value of options granted during the three months ended March 31, 2020 and 2021 was $4.74 and $7.74 per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stock-based compensation recognized in the Company’s condensed statements of operations and comprehensive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5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2"/>
                <w:szCs w:val="12"/>
                <w:color w:val="auto"/>
              </w:rPr>
            </w:pPr>
          </w:p>
        </w:tc>
      </w:tr>
      <w:tr>
        <w:trPr>
          <w:trHeight w:val="142"/>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r>
      <w:tr>
        <w:trPr>
          <w:trHeight w:val="20"/>
        </w:trPr>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As of March 31, 2021, there was $6.4 million of unrecognized stock-based compensation, which the Company expects to recognize over a weighted-average period of 3.5 years.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 option pricing model using the following assumptions: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34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758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 – 6.1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Expected volatility</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178%</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183%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0.7% – 1.5%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 – 1.0%</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Shares related to early exercised stock options and restricted stock are subject to the Company’s lapsing repurchase right upon termination at the original purchase price. In order to vest, the holders are required to provide continued service to the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restricted stock activity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1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Value at</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of Grant</w:t>
            </w: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138,127</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442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(36,612)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Repurchased</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March 31, 2021</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101,592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Employee Recourse Notes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2017 and 2018, the Company entered into full recourse notes with certain employees, including one of its officers, upon the exercise of stock options that are treated as substantive exercises for accounting purposes. The Company has the right to repurchase unvested shares up to 90 days after employment is terminated. As of March 31, 2021, the principal and accrued interest amount of the notes was $87,000. The notes are presented in the condensed statements of convertible preferred stock and stockholders’ deficit.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For the three months ended March 31, 2020 and 2021, the Company did not record any income tax expense. The Company has recorded a full valuation allowance against its U.S. federal and state deferred tax assets as the Company believes it is not more likely than not that the benefit will be realized.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Net Loss Per Share</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potentially dilutive securities were not included in the calculation of diluted net loss per share for the periods presented because the effect would have been anti-dilutive:</w:t>
      </w:r>
    </w:p>
    <w:p>
      <w:pPr>
        <w:spacing w:after="0" w:line="189"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w:t>
      </w:r>
    </w:p>
    <w:p>
      <w:pPr>
        <w:jc w:val="center"/>
        <w:ind w:left="70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98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2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14,489,492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26,102,278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Series B convertible preferred stock issuable in a future closing</w:t>
            </w:r>
          </w:p>
        </w:tc>
        <w:tc>
          <w:tcPr>
            <w:tcW w:w="980" w:type="dxa"/>
            <w:vAlign w:val="bottom"/>
          </w:tcPr>
          <w:p>
            <w:pPr>
              <w:jc w:val="right"/>
              <w:spacing w:after="0"/>
              <w:rPr>
                <w:sz w:val="20"/>
                <w:szCs w:val="20"/>
                <w:color w:val="auto"/>
              </w:rPr>
            </w:pPr>
            <w:r>
              <w:rPr>
                <w:rFonts w:ascii="Arial" w:cs="Arial" w:eastAsia="Arial" w:hAnsi="Arial"/>
                <w:sz w:val="18"/>
                <w:szCs w:val="18"/>
                <w:color w:val="auto"/>
              </w:rPr>
              <w:t>3,086,415</w:t>
            </w:r>
          </w:p>
        </w:tc>
        <w:tc>
          <w:tcPr>
            <w:tcW w:w="22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1,043,247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1,727,968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Restricted stock subject to future vesting</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278,790</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101,592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18,897,944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27,931,838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right="8620" w:hanging="444"/>
        <w:spacing w:after="0" w:line="425" w:lineRule="auto"/>
        <w:tabs>
          <w:tab w:leader="none" w:pos="389"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b w:val="1"/>
          <w:bCs w:val="1"/>
          <w:i w:val="1"/>
          <w:iCs w:val="1"/>
          <w:color w:val="auto"/>
        </w:rPr>
        <w:t>Scientific Founders</w:t>
      </w:r>
    </w:p>
    <w:p>
      <w:pPr>
        <w:ind w:left="120" w:firstLine="440"/>
        <w:spacing w:after="0" w:line="277" w:lineRule="auto"/>
        <w:rPr>
          <w:sz w:val="20"/>
          <w:szCs w:val="20"/>
          <w:color w:val="auto"/>
        </w:rPr>
      </w:pPr>
      <w:r>
        <w:rPr>
          <w:rFonts w:ascii="Arial" w:cs="Arial" w:eastAsia="Arial" w:hAnsi="Arial"/>
          <w:sz w:val="18"/>
          <w:szCs w:val="18"/>
          <w:color w:val="auto"/>
        </w:rPr>
        <w:t>During the three months ended March 31, 2020 and 2021, the Company recognized a total of $62,000 in each period in consulting expense paid to five of its scientific founders.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evaluated subsequent events through June 15, 2021, the date the condensed financial statements were available to be filed, except for the 1-for-6 reverse stock split discussed below, which was evaluated through July 26,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 Grants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June 2021, the Company granted 388,475 stock options at an exercise price of $9.36 per share. In July 2021, the Company granted 446,998 stock options at an exercise price of $10.56 per share. The awards generally vest over a four-year vesting schedule.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In July 2021, the Company’s board of directors and the stockholders approved an amendment to the Company’s amended and restated certificate of incorporation to effect a reverse split of shares of the Company’s common stock, convertible preferred stock and authorized shares on a 1-for-6 basis (the Reverse Stock Split) effective on July 23, 2021. The par value of the common stock and preferred stock was not adjusted as a result of the Reverse Stock Split. Accordingly, all share data and per share data amounts for all periods presented in the accompanying financial statements and notes thereto have been retrospectively adjusted to reflect the effect of the Reverse Stock Split.</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00"/>
          </w:cols>
          <w:pgMar w:left="320" w:top="459" w:right="47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32"/>
          <w:szCs w:val="32"/>
          <w:i w:val="1"/>
          <w:iCs w:val="1"/>
          <w:color w:val="auto"/>
        </w:rPr>
        <w:t>12,000,000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421640</wp:posOffset>
            </wp:positionV>
            <wp:extent cx="2331720" cy="8312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3172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tabs>
          <w:tab w:leader="none" w:pos="5220" w:val="left"/>
          <w:tab w:leader="none" w:pos="9300" w:val="left"/>
        </w:tabs>
        <w:rPr>
          <w:sz w:val="20"/>
          <w:szCs w:val="20"/>
          <w:color w:val="auto"/>
        </w:rPr>
      </w:pPr>
      <w:r>
        <w:rPr>
          <w:rFonts w:ascii="Arial" w:cs="Arial" w:eastAsia="Arial" w:hAnsi="Arial"/>
          <w:sz w:val="32"/>
          <w:szCs w:val="32"/>
          <w:i w:val="1"/>
          <w:iCs w:val="1"/>
          <w:color w:val="auto"/>
        </w:rPr>
        <w:t>Morgan Stanley</w:t>
      </w:r>
      <w:r>
        <w:rPr>
          <w:sz w:val="20"/>
          <w:szCs w:val="20"/>
          <w:color w:val="auto"/>
        </w:rPr>
        <w:tab/>
      </w:r>
      <w:r>
        <w:rPr>
          <w:rFonts w:ascii="Arial" w:cs="Arial" w:eastAsia="Arial" w:hAnsi="Arial"/>
          <w:sz w:val="32"/>
          <w:szCs w:val="32"/>
          <w:i w:val="1"/>
          <w:iCs w:val="1"/>
          <w:color w:val="auto"/>
        </w:rPr>
        <w:t>Cowen</w:t>
      </w:r>
      <w:r>
        <w:rPr>
          <w:sz w:val="20"/>
          <w:szCs w:val="20"/>
          <w:color w:val="auto"/>
        </w:rPr>
        <w:tab/>
      </w:r>
      <w:r>
        <w:rPr>
          <w:rFonts w:ascii="Arial" w:cs="Arial" w:eastAsia="Arial" w:hAnsi="Arial"/>
          <w:sz w:val="30"/>
          <w:szCs w:val="30"/>
          <w:i w:val="1"/>
          <w:iCs w:val="1"/>
          <w:color w:val="auto"/>
        </w:rPr>
        <w:t>Piper Sandler</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July 29, 2021</w:t>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decimal"/>
      <w:start w:val="1"/>
    </w:lvl>
  </w:abstractNum>
  <w:abstractNum w:abstractNumId="1">
    <w:nsid w:val="4962813B"/>
    <w:multiLevelType w:val="hybridMultilevel"/>
    <w:lvl w:ilvl="0">
      <w:lvlJc w:val="left"/>
      <w:lvlText w:val="%1."/>
      <w:numFmt w:val="decimal"/>
      <w:start w:val="1"/>
    </w:lvl>
  </w:abstractNum>
  <w:abstractNum w:abstractNumId="2">
    <w:nsid w:val="60B6DF70"/>
    <w:multiLevelType w:val="hybridMultilevel"/>
    <w:lvl w:ilvl="0">
      <w:lvlJc w:val="left"/>
      <w:lvlText w:val="%1."/>
      <w:numFmt w:val="decimal"/>
      <w:start w:val="1"/>
    </w:lvl>
  </w:abstractNum>
  <w:abstractNum w:abstractNumId="3">
    <w:nsid w:val="6A5EE64"/>
    <w:multiLevelType w:val="hybridMultilevel"/>
    <w:lvl w:ilvl="0">
      <w:lvlJc w:val="left"/>
      <w:lvlText w:val="%1."/>
      <w:numFmt w:val="decimal"/>
      <w:start w:val="4"/>
    </w:lvl>
  </w:abstractNum>
  <w:abstractNum w:abstractNumId="4">
    <w:nsid w:val="14330624"/>
    <w:multiLevelType w:val="hybridMultilevel"/>
    <w:lvl w:ilvl="0">
      <w:lvlJc w:val="left"/>
      <w:lvlText w:val="*"/>
      <w:numFmt w:val="bullet"/>
      <w:start w:val="1"/>
    </w:lvl>
    <w:lvl w:ilvl="1">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1)"/>
      <w:numFmt w:val="decimal"/>
      <w:start w:val="1"/>
    </w:lvl>
  </w:abstractNum>
  <w:abstractNum w:abstractNumId="15">
    <w:nsid w:val="4C04A8AF"/>
    <w:multiLevelType w:val="hybridMultilevel"/>
    <w:lvl w:ilvl="0">
      <w:lvlJc w:val="left"/>
      <w:lvlText w:val="(%1)"/>
      <w:numFmt w:val="decimal"/>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
      <w:numFmt w:val="bullet"/>
      <w:start w:val="1"/>
    </w:lvl>
  </w:abstractNum>
  <w:abstractNum w:abstractNumId="51">
    <w:nsid w:val="53299938"/>
    <w:multiLevelType w:val="hybridMultilevel"/>
    <w:lvl w:ilvl="0">
      <w:lvlJc w:val="left"/>
      <w:lvlText w:val="•"/>
      <w:numFmt w:val="bullet"/>
      <w:start w:val="1"/>
    </w:lvl>
  </w:abstractNum>
  <w:abstractNum w:abstractNumId="52">
    <w:nsid w:val="1FBFE8E0"/>
    <w:multiLevelType w:val="hybridMultilevel"/>
    <w:lvl w:ilvl="0">
      <w:lvlJc w:val="left"/>
      <w:lvlText w:val="•"/>
      <w:numFmt w:val="bullet"/>
      <w:start w:val="1"/>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
      <w:numFmt w:val="bullet"/>
      <w:start w:val="1"/>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
      <w:numFmt w:val="bullet"/>
      <w:start w:val="1"/>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
      <w:numFmt w:val="bullet"/>
      <w:start w:val="1"/>
    </w:lvl>
  </w:abstractNum>
  <w:abstractNum w:abstractNumId="61">
    <w:nsid w:val="1CA0C5FA"/>
    <w:multiLevelType w:val="hybridMultilevel"/>
    <w:lvl w:ilvl="0">
      <w:lvlJc w:val="left"/>
      <w:lvlText w:val="•"/>
      <w:numFmt w:val="bullet"/>
      <w:start w:val="1"/>
    </w:lvl>
  </w:abstractNum>
  <w:abstractNum w:abstractNumId="62">
    <w:nsid w:val="53584BCB"/>
    <w:multiLevelType w:val="hybridMultilevel"/>
    <w:lvl w:ilvl="0">
      <w:lvlJc w:val="left"/>
      <w:lvlText w:val="•"/>
      <w:numFmt w:val="bullet"/>
      <w:start w:val="1"/>
    </w:lvl>
  </w:abstractNum>
  <w:abstractNum w:abstractNumId="63">
    <w:nsid w:val="415E286C"/>
    <w:multiLevelType w:val="hybridMultilevel"/>
    <w:lvl w:ilvl="0">
      <w:lvlJc w:val="left"/>
      <w:lvlText w:val="•"/>
      <w:numFmt w:val="bullet"/>
      <w:start w:val="1"/>
    </w:lvl>
  </w:abstractNum>
  <w:abstractNum w:abstractNumId="64">
    <w:nsid w:val="7C58FD05"/>
    <w:multiLevelType w:val="hybridMultilevel"/>
    <w:lvl w:ilvl="0">
      <w:lvlJc w:val="left"/>
      <w:lvlText w:val="•"/>
      <w:numFmt w:val="bullet"/>
      <w:start w:val="1"/>
    </w:lvl>
  </w:abstractNum>
  <w:abstractNum w:abstractNumId="65">
    <w:nsid w:val="23D86AAC"/>
    <w:multiLevelType w:val="hybridMultilevel"/>
    <w:lvl w:ilvl="0">
      <w:lvlJc w:val="left"/>
      <w:lvlText w:val="•"/>
      <w:numFmt w:val="bullet"/>
      <w:start w:val="1"/>
    </w:lvl>
  </w:abstractNum>
  <w:abstractNum w:abstractNumId="66">
    <w:nsid w:val="45E6D486"/>
    <w:multiLevelType w:val="hybridMultilevel"/>
    <w:lvl w:ilvl="0">
      <w:lvlJc w:val="left"/>
      <w:lvlText w:val="(%1)"/>
      <w:numFmt w:val="decimal"/>
      <w:start w:val="1"/>
    </w:lvl>
  </w:abstractNum>
  <w:abstractNum w:abstractNumId="67">
    <w:nsid w:val="5C10FE21"/>
    <w:multiLevelType w:val="hybridMultilevel"/>
    <w:lvl w:ilvl="0">
      <w:lvlJc w:val="left"/>
      <w:lvlText w:val="(%1)"/>
      <w:numFmt w:val="decimal"/>
      <w:start w:val="1"/>
    </w:lvl>
  </w:abstractNum>
  <w:abstractNum w:abstractNumId="68">
    <w:nsid w:val="E7FFA2B"/>
    <w:multiLevelType w:val="hybridMultilevel"/>
    <w:lvl w:ilvl="0">
      <w:lvlJc w:val="left"/>
      <w:lvlText w:val="•"/>
      <w:numFmt w:val="bullet"/>
      <w:start w:val="1"/>
    </w:lvl>
  </w:abstractNum>
  <w:abstractNum w:abstractNumId="69">
    <w:nsid w:val="3C5991AA"/>
    <w:multiLevelType w:val="hybridMultilevel"/>
    <w:lvl w:ilvl="0">
      <w:lvlJc w:val="left"/>
      <w:lvlText w:val="•"/>
      <w:numFmt w:val="bullet"/>
      <w:start w:val="1"/>
    </w:lvl>
  </w:abstractNum>
  <w:abstractNum w:abstractNumId="70">
    <w:nsid w:val="4BD8591A"/>
    <w:multiLevelType w:val="hybridMultilevel"/>
    <w:lvl w:ilvl="0">
      <w:lvlJc w:val="left"/>
      <w:lvlText w:val="•"/>
      <w:numFmt w:val="bullet"/>
      <w:start w:val="1"/>
    </w:lvl>
  </w:abstractNum>
  <w:abstractNum w:abstractNumId="71">
    <w:nsid w:val="78DF6A55"/>
    <w:multiLevelType w:val="hybridMultilevel"/>
    <w:lvl w:ilvl="0">
      <w:lvlJc w:val="left"/>
      <w:lvlText w:val="•"/>
      <w:numFmt w:val="bullet"/>
      <w:start w:val="1"/>
    </w:lvl>
  </w:abstractNum>
  <w:abstractNum w:abstractNumId="72">
    <w:nsid w:val="39B7AAA2"/>
    <w:multiLevelType w:val="hybridMultilevel"/>
    <w:lvl w:ilvl="0">
      <w:lvlJc w:val="left"/>
      <w:lvlText w:val="•"/>
      <w:numFmt w:val="bullet"/>
      <w:start w:val="1"/>
    </w:lvl>
  </w:abstractNum>
  <w:abstractNum w:abstractNumId="73">
    <w:nsid w:val="2B0D8DBE"/>
    <w:multiLevelType w:val="hybridMultilevel"/>
    <w:lvl w:ilvl="0">
      <w:lvlJc w:val="left"/>
      <w:lvlText w:val="%1."/>
      <w:numFmt w:val="decimal"/>
      <w:start w:val="1"/>
    </w:lvl>
  </w:abstractNum>
  <w:abstractNum w:abstractNumId="74">
    <w:nsid w:val="6C80EC70"/>
    <w:multiLevelType w:val="hybridMultilevel"/>
    <w:lvl w:ilvl="0">
      <w:lvlJc w:val="left"/>
      <w:lvlText w:val="%1."/>
      <w:numFmt w:val="decimal"/>
      <w:start w:val="1"/>
    </w:lvl>
  </w:abstractNum>
  <w:abstractNum w:abstractNumId="75">
    <w:nsid w:val="379E21B5"/>
    <w:multiLevelType w:val="hybridMultilevel"/>
    <w:lvl w:ilvl="0">
      <w:lvlJc w:val="left"/>
      <w:lvlText w:val="%1."/>
      <w:numFmt w:val="decimal"/>
      <w:start w:val="3"/>
    </w:lvl>
  </w:abstractNum>
  <w:abstractNum w:abstractNumId="76">
    <w:nsid w:val="69E373"/>
    <w:multiLevelType w:val="hybridMultilevel"/>
    <w:lvl w:ilvl="0">
      <w:lvlJc w:val="left"/>
      <w:lvlText w:val="*"/>
      <w:numFmt w:val="bullet"/>
      <w:start w:val="1"/>
    </w:lvl>
  </w:abstractNum>
  <w:abstractNum w:abstractNumId="77">
    <w:nsid w:val="2C27173B"/>
    <w:multiLevelType w:val="hybridMultilevel"/>
    <w:lvl w:ilvl="0">
      <w:lvlJc w:val="left"/>
      <w:lvlText w:val="•"/>
      <w:numFmt w:val="bullet"/>
      <w:start w:val="1"/>
    </w:lvl>
  </w:abstractNum>
  <w:abstractNum w:abstractNumId="78">
    <w:nsid w:val="4C9B0904"/>
    <w:multiLevelType w:val="hybridMultilevel"/>
    <w:lvl w:ilvl="0">
      <w:lvlJc w:val="left"/>
      <w:lvlText w:val="•"/>
      <w:numFmt w:val="bullet"/>
      <w:start w:val="1"/>
    </w:lvl>
  </w:abstractNum>
  <w:abstractNum w:abstractNumId="79">
    <w:nsid w:val="6AA7B75C"/>
    <w:multiLevelType w:val="hybridMultilevel"/>
    <w:lvl w:ilvl="0">
      <w:lvlJc w:val="left"/>
      <w:lvlText w:val="•"/>
      <w:numFmt w:val="bullet"/>
      <w:start w:val="1"/>
    </w:lvl>
  </w:abstractNum>
  <w:abstractNum w:abstractNumId="80">
    <w:nsid w:val="1DF029D3"/>
    <w:multiLevelType w:val="hybridMultilevel"/>
    <w:lvl w:ilvl="0">
      <w:lvlJc w:val="left"/>
      <w:lvlText w:val="•"/>
      <w:numFmt w:val="bullet"/>
      <w:start w:val="1"/>
    </w:lvl>
  </w:abstractNum>
  <w:abstractNum w:abstractNumId="81">
    <w:nsid w:val="5675FF36"/>
    <w:multiLevelType w:val="hybridMultilevel"/>
    <w:lvl w:ilvl="0">
      <w:lvlJc w:val="left"/>
      <w:lvlText w:val="•"/>
      <w:numFmt w:val="bullet"/>
      <w:start w:val="1"/>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1)"/>
      <w:numFmt w:val="decimal"/>
      <w:start w:val="1"/>
    </w:lvl>
  </w:abstractNum>
  <w:abstractNum w:abstractNumId="84">
    <w:nsid w:val="2708C9AF"/>
    <w:multiLevelType w:val="hybridMultilevel"/>
    <w:lvl w:ilvl="0">
      <w:lvlJc w:val="left"/>
      <w:lvlText w:val="•"/>
      <w:numFmt w:val="bullet"/>
      <w:start w:val="1"/>
    </w:lvl>
  </w:abstractNum>
  <w:abstractNum w:abstractNumId="85">
    <w:nsid w:val="5B25ACE2"/>
    <w:multiLevelType w:val="hybridMultilevel"/>
    <w:lvl w:ilvl="0">
      <w:lvlJc w:val="left"/>
      <w:lvlText w:val="•"/>
      <w:numFmt w:val="bullet"/>
      <w:start w:val="1"/>
    </w:lvl>
  </w:abstractNum>
  <w:abstractNum w:abstractNumId="86">
    <w:nsid w:val="175DFCF0"/>
    <w:multiLevelType w:val="hybridMultilevel"/>
    <w:lvl w:ilvl="0">
      <w:lvlJc w:val="left"/>
      <w:lvlText w:val="•"/>
      <w:numFmt w:val="bullet"/>
      <w:start w:val="1"/>
    </w:lvl>
  </w:abstractNum>
  <w:abstractNum w:abstractNumId="87">
    <w:nsid w:val="4F97E3E4"/>
    <w:multiLevelType w:val="hybridMultilevel"/>
    <w:lvl w:ilvl="0">
      <w:lvlJc w:val="left"/>
      <w:lvlText w:val="%1."/>
      <w:numFmt w:val="decimal"/>
      <w:start w:val="1"/>
    </w:lvl>
    <w:lvl w:ilvl="1">
      <w:lvlJc w:val="left"/>
      <w:lvlText w:val="•"/>
      <w:numFmt w:val="bullet"/>
      <w:start w:val="1"/>
    </w:lvl>
  </w:abstractNum>
  <w:abstractNum w:abstractNumId="88">
    <w:nsid w:val="53B0A9E"/>
    <w:multiLevelType w:val="hybridMultilevel"/>
    <w:lvl w:ilvl="0">
      <w:lvlJc w:val="left"/>
      <w:lvlText w:val="•"/>
      <w:numFmt w:val="bullet"/>
      <w:start w:val="1"/>
    </w:lvl>
  </w:abstractNum>
  <w:abstractNum w:abstractNumId="89">
    <w:nsid w:val="34FD6B4F"/>
    <w:multiLevelType w:val="hybridMultilevel"/>
    <w:lvl w:ilvl="0">
      <w:lvlJc w:val="left"/>
      <w:lvlText w:val="•"/>
      <w:numFmt w:val="bullet"/>
      <w:start w:val="1"/>
    </w:lvl>
  </w:abstractNum>
  <w:abstractNum w:abstractNumId="90">
    <w:nsid w:val="5915FF32"/>
    <w:multiLevelType w:val="hybridMultilevel"/>
    <w:lvl w:ilvl="0">
      <w:lvlJc w:val="left"/>
      <w:lvlText w:val="•"/>
      <w:numFmt w:val="bullet"/>
      <w:start w:val="1"/>
    </w:lvl>
  </w:abstractNum>
  <w:abstractNum w:abstractNumId="91">
    <w:nsid w:val="56438D15"/>
    <w:multiLevelType w:val="hybridMultilevel"/>
    <w:lvl w:ilvl="0">
      <w:lvlJc w:val="left"/>
      <w:lvlText w:val="•"/>
      <w:numFmt w:val="bullet"/>
      <w:start w:val="1"/>
    </w:lvl>
  </w:abstractNum>
  <w:abstractNum w:abstractNumId="92">
    <w:nsid w:val="519E3149"/>
    <w:multiLevelType w:val="hybridMultilevel"/>
    <w:lvl w:ilvl="0">
      <w:lvlJc w:val="left"/>
      <w:lvlText w:val="•"/>
      <w:numFmt w:val="bullet"/>
      <w:start w:val="1"/>
    </w:lvl>
  </w:abstractNum>
  <w:abstractNum w:abstractNumId="93">
    <w:nsid w:val="2C6E4AFD"/>
    <w:multiLevelType w:val="hybridMultilevel"/>
    <w:lvl w:ilvl="0">
      <w:lvlJc w:val="left"/>
      <w:lvlText w:val="•"/>
      <w:numFmt w:val="bullet"/>
      <w:start w:val="1"/>
    </w:lvl>
  </w:abstractNum>
  <w:abstractNum w:abstractNumId="94">
    <w:nsid w:val="17A1B582"/>
    <w:multiLevelType w:val="hybridMultilevel"/>
    <w:lvl w:ilvl="0">
      <w:lvlJc w:val="left"/>
      <w:lvlText w:val="•"/>
      <w:numFmt w:val="bullet"/>
      <w:start w:val="1"/>
    </w:lvl>
  </w:abstractNum>
  <w:abstractNum w:abstractNumId="95">
    <w:nsid w:val="4DF72E4E"/>
    <w:multiLevelType w:val="hybridMultilevel"/>
    <w:lvl w:ilvl="0">
      <w:lvlJc w:val="left"/>
      <w:lvlText w:val="(%1)"/>
      <w:numFmt w:val="decimal"/>
    </w:lvl>
    <w:lvl w:ilvl="1">
      <w:lvlJc w:val="left"/>
      <w:lvlText w:val="•"/>
      <w:numFmt w:val="bullet"/>
      <w:start w:val="1"/>
    </w:lvl>
  </w:abstractNum>
  <w:abstractNum w:abstractNumId="96">
    <w:nsid w:val="5046B5A9"/>
    <w:multiLevelType w:val="hybridMultilevel"/>
    <w:lvl w:ilvl="0">
      <w:lvlJc w:val="left"/>
      <w:lvlText w:val="•"/>
      <w:numFmt w:val="bullet"/>
      <w:start w:val="1"/>
    </w:lvl>
  </w:abstractNum>
  <w:abstractNum w:abstractNumId="97">
    <w:nsid w:val="5D888A08"/>
    <w:multiLevelType w:val="hybridMultilevel"/>
    <w:lvl w:ilvl="0">
      <w:lvlJc w:val="left"/>
      <w:lvlText w:val="•"/>
      <w:numFmt w:val="bullet"/>
      <w:start w:val="1"/>
    </w:lvl>
  </w:abstractNum>
  <w:abstractNum w:abstractNumId="98">
    <w:nsid w:val="2A082C70"/>
    <w:multiLevelType w:val="hybridMultilevel"/>
    <w:lvl w:ilvl="0">
      <w:lvlJc w:val="left"/>
      <w:lvlText w:val="%1."/>
      <w:numFmt w:val="decimal"/>
      <w:start w:val="1"/>
    </w:lvl>
  </w:abstractNum>
  <w:abstractNum w:abstractNumId="99">
    <w:nsid w:val="5EC6AFD4"/>
    <w:multiLevelType w:val="hybridMultilevel"/>
    <w:lvl w:ilvl="0">
      <w:lvlJc w:val="left"/>
      <w:lvlText w:val="%1."/>
      <w:numFmt w:val="decimal"/>
      <w:start w:val="4"/>
    </w:lvl>
  </w:abstractNum>
  <w:abstractNum w:abstractNumId="100">
    <w:nsid w:val="19E21BB2"/>
    <w:multiLevelType w:val="hybridMultilevel"/>
    <w:lvl w:ilvl="0">
      <w:lvlJc w:val="left"/>
      <w:lvlText w:val="(%1)"/>
      <w:numFmt w:val="decimal"/>
      <w:start w:val="2"/>
    </w:lvl>
  </w:abstractNum>
  <w:abstractNum w:abstractNumId="101">
    <w:nsid w:val="75E0858A"/>
    <w:multiLevelType w:val="hybridMultilevel"/>
    <w:lvl w:ilvl="0">
      <w:lvlJc w:val="left"/>
      <w:lvlText w:val="(%1)"/>
      <w:numFmt w:val="decimal"/>
      <w:start w:val="3"/>
    </w:lvl>
  </w:abstractNum>
  <w:abstractNum w:abstractNumId="102">
    <w:nsid w:val="57A61A29"/>
    <w:multiLevelType w:val="hybridMultilevel"/>
    <w:lvl w:ilvl="0">
      <w:lvlJc w:val="left"/>
      <w:lvlText w:val="•"/>
      <w:numFmt w:val="bullet"/>
      <w:start w:val="1"/>
    </w:lvl>
  </w:abstractNum>
  <w:abstractNum w:abstractNumId="103">
    <w:nsid w:val="5399C654"/>
    <w:multiLevelType w:val="hybridMultilevel"/>
    <w:lvl w:ilvl="0">
      <w:lvlJc w:val="left"/>
      <w:lvlText w:val="•"/>
      <w:numFmt w:val="bullet"/>
      <w:start w:val="1"/>
    </w:lvl>
  </w:abstractNum>
  <w:abstractNum w:abstractNumId="104">
    <w:nsid w:val="20EE1348"/>
    <w:multiLevelType w:val="hybridMultilevel"/>
    <w:lvl w:ilvl="0">
      <w:lvlJc w:val="left"/>
      <w:lvlText w:val="•"/>
      <w:numFmt w:val="bullet"/>
      <w:start w:val="1"/>
    </w:lvl>
  </w:abstractNum>
  <w:abstractNum w:abstractNumId="105">
    <w:nsid w:val="4427069A"/>
    <w:multiLevelType w:val="hybridMultilevel"/>
    <w:lvl w:ilvl="0">
      <w:lvlJc w:val="left"/>
      <w:lvlText w:val="•"/>
      <w:numFmt w:val="bullet"/>
      <w:start w:val="1"/>
    </w:lvl>
  </w:abstractNum>
  <w:abstractNum w:abstractNumId="106">
    <w:nsid w:val="B37E80A"/>
    <w:multiLevelType w:val="hybridMultilevel"/>
    <w:lvl w:ilvl="0">
      <w:lvlJc w:val="left"/>
      <w:lvlText w:val="•"/>
      <w:numFmt w:val="bullet"/>
      <w:start w:val="1"/>
    </w:lvl>
  </w:abstractNum>
  <w:abstractNum w:abstractNumId="107">
    <w:nsid w:val="2157F6BC"/>
    <w:multiLevelType w:val="hybridMultilevel"/>
    <w:lvl w:ilvl="0">
      <w:lvlJc w:val="left"/>
      <w:lvlText w:val="•"/>
      <w:numFmt w:val="bullet"/>
      <w:start w:val="1"/>
    </w:lvl>
  </w:abstractNum>
  <w:abstractNum w:abstractNumId="108">
    <w:nsid w:val="704E1DD5"/>
    <w:multiLevelType w:val="hybridMultilevel"/>
    <w:lvl w:ilvl="0">
      <w:lvlJc w:val="left"/>
      <w:lvlText w:val="•"/>
      <w:numFmt w:val="bullet"/>
      <w:start w:val="1"/>
    </w:lvl>
  </w:abstractNum>
  <w:abstractNum w:abstractNumId="109">
    <w:nsid w:val="57D2F10E"/>
    <w:multiLevelType w:val="hybridMultilevel"/>
    <w:lvl w:ilvl="0">
      <w:lvlJc w:val="left"/>
      <w:lvlText w:val="•"/>
      <w:numFmt w:val="bullet"/>
      <w:start w:val="1"/>
    </w:lvl>
  </w:abstractNum>
  <w:abstractNum w:abstractNumId="110">
    <w:nsid w:val="BFFAE18"/>
    <w:multiLevelType w:val="hybridMultilevel"/>
    <w:lvl w:ilvl="0">
      <w:lvlJc w:val="left"/>
      <w:lvlText w:val="•"/>
      <w:numFmt w:val="bullet"/>
      <w:start w:val="1"/>
    </w:lvl>
  </w:abstractNum>
  <w:abstractNum w:abstractNumId="111">
    <w:nsid w:val="E3E47A8"/>
    <w:multiLevelType w:val="hybridMultilevel"/>
    <w:lvl w:ilvl="0">
      <w:lvlJc w:val="left"/>
      <w:lvlText w:val="•"/>
      <w:numFmt w:val="bullet"/>
      <w:start w:val="1"/>
    </w:lvl>
  </w:abstractNum>
  <w:abstractNum w:abstractNumId="112">
    <w:nsid w:val="2E48F044"/>
    <w:multiLevelType w:val="hybridMultilevel"/>
    <w:lvl w:ilvl="0">
      <w:lvlJc w:val="left"/>
      <w:lvlText w:val="•"/>
      <w:numFmt w:val="bullet"/>
      <w:start w:val="1"/>
    </w:lvl>
  </w:abstractNum>
  <w:abstractNum w:abstractNumId="113">
    <w:nsid w:val="49D0FEAC"/>
    <w:multiLevelType w:val="hybridMultilevel"/>
    <w:lvl w:ilvl="0">
      <w:lvlJc w:val="left"/>
      <w:lvlText w:val="•"/>
      <w:numFmt w:val="bullet"/>
      <w:start w:val="1"/>
    </w:lvl>
  </w:abstractNum>
  <w:abstractNum w:abstractNumId="114">
    <w:nsid w:val="4BEE5A5B"/>
    <w:multiLevelType w:val="hybridMultilevel"/>
    <w:lvl w:ilvl="0">
      <w:lvlJc w:val="left"/>
      <w:lvlText w:val="•"/>
      <w:numFmt w:val="bullet"/>
      <w:start w:val="1"/>
    </w:lvl>
  </w:abstractNum>
  <w:abstractNum w:abstractNumId="115">
    <w:nsid w:val="5551B9F3"/>
    <w:multiLevelType w:val="hybridMultilevel"/>
    <w:lvl w:ilvl="0">
      <w:lvlJc w:val="left"/>
      <w:lvlText w:val="•"/>
      <w:numFmt w:val="bullet"/>
      <w:start w:val="1"/>
    </w:lvl>
  </w:abstractNum>
  <w:abstractNum w:abstractNumId="116">
    <w:nsid w:val="24F6AB8E"/>
    <w:multiLevelType w:val="hybridMultilevel"/>
    <w:lvl w:ilvl="0">
      <w:lvlJc w:val="left"/>
      <w:lvlText w:val="•"/>
      <w:numFmt w:val="bullet"/>
      <w:start w:val="1"/>
    </w:lvl>
  </w:abstractNum>
  <w:abstractNum w:abstractNumId="117">
    <w:nsid w:val="634C574C"/>
    <w:multiLevelType w:val="hybridMultilevel"/>
    <w:lvl w:ilvl="0">
      <w:lvlJc w:val="left"/>
      <w:lvlText w:val="•"/>
      <w:numFmt w:val="bullet"/>
      <w:start w:val="1"/>
    </w:lvl>
  </w:abstractNum>
  <w:abstractNum w:abstractNumId="118">
    <w:nsid w:val="24E99DD7"/>
    <w:multiLevelType w:val="hybridMultilevel"/>
    <w:lvl w:ilvl="0">
      <w:lvlJc w:val="left"/>
      <w:lvlText w:val="•"/>
      <w:numFmt w:val="bullet"/>
      <w:start w:val="1"/>
    </w:lvl>
  </w:abstractNum>
  <w:abstractNum w:abstractNumId="119">
    <w:nsid w:val="2A31B62D"/>
    <w:multiLevelType w:val="hybridMultilevel"/>
    <w:lvl w:ilvl="0">
      <w:lvlJc w:val="left"/>
      <w:lvlText w:val="(%1)"/>
      <w:numFmt w:val="decimal"/>
      <w:start w:val="1"/>
    </w:lvl>
  </w:abstractNum>
  <w:abstractNum w:abstractNumId="120">
    <w:nsid w:val="1849C29B"/>
    <w:multiLevelType w:val="hybridMultilevel"/>
    <w:lvl w:ilvl="0">
      <w:lvlJc w:val="left"/>
      <w:lvlText w:val="•"/>
      <w:numFmt w:val="bullet"/>
      <w:start w:val="1"/>
    </w:lvl>
  </w:abstractNum>
  <w:abstractNum w:abstractNumId="121">
    <w:nsid w:val="7DFF9D09"/>
    <w:multiLevelType w:val="hybridMultilevel"/>
    <w:lvl w:ilvl="0">
      <w:lvlJc w:val="left"/>
      <w:lvlText w:val="•"/>
      <w:numFmt w:val="bullet"/>
      <w:start w:val="1"/>
    </w:lvl>
  </w:abstractNum>
  <w:abstractNum w:abstractNumId="122">
    <w:nsid w:val="754342"/>
    <w:multiLevelType w:val="hybridMultilevel"/>
    <w:lvl w:ilvl="0">
      <w:lvlJc w:val="left"/>
      <w:lvlText w:val="•"/>
      <w:numFmt w:val="bullet"/>
      <w:start w:val="1"/>
    </w:lvl>
  </w:abstractNum>
  <w:abstractNum w:abstractNumId="123">
    <w:nsid w:val="69E7F3E5"/>
    <w:multiLevelType w:val="hybridMultilevel"/>
    <w:lvl w:ilvl="0">
      <w:lvlJc w:val="left"/>
      <w:lvlText w:val="•"/>
      <w:numFmt w:val="bullet"/>
      <w:start w:val="1"/>
    </w:lvl>
  </w:abstractNum>
  <w:abstractNum w:abstractNumId="124">
    <w:nsid w:val="2A6DE806"/>
    <w:multiLevelType w:val="hybridMultilevel"/>
    <w:lvl w:ilvl="0">
      <w:lvlJc w:val="left"/>
      <w:lvlText w:val="•"/>
      <w:numFmt w:val="bullet"/>
      <w:start w:val="1"/>
    </w:lvl>
  </w:abstractNum>
  <w:abstractNum w:abstractNumId="125">
    <w:nsid w:val="1816F8C4"/>
    <w:multiLevelType w:val="hybridMultilevel"/>
    <w:lvl w:ilvl="0">
      <w:lvlJc w:val="left"/>
      <w:lvlText w:val="(%1)"/>
      <w:numFmt w:val="decimal"/>
      <w:start w:val="1"/>
    </w:lvl>
  </w:abstractNum>
  <w:abstractNum w:abstractNumId="126">
    <w:nsid w:val="37DF2233"/>
    <w:multiLevelType w:val="hybridMultilevel"/>
    <w:lvl w:ilvl="0">
      <w:lvlJc w:val="left"/>
      <w:lvlText w:val="(%1)"/>
      <w:numFmt w:val="decimal"/>
      <w:start w:val="2"/>
    </w:lvl>
  </w:abstractNum>
  <w:abstractNum w:abstractNumId="127">
    <w:nsid w:val="7AB49DAF"/>
    <w:multiLevelType w:val="hybridMultilevel"/>
    <w:lvl w:ilvl="0">
      <w:lvlJc w:val="left"/>
      <w:lvlText w:val="•"/>
      <w:numFmt w:val="bullet"/>
      <w:start w:val="1"/>
    </w:lvl>
  </w:abstractNum>
  <w:abstractNum w:abstractNumId="128">
    <w:nsid w:val="759F82CD"/>
    <w:multiLevelType w:val="hybridMultilevel"/>
    <w:lvl w:ilvl="0">
      <w:lvlJc w:val="left"/>
      <w:lvlText w:val="(%1)"/>
      <w:numFmt w:val="decimal"/>
      <w:start w:val="1"/>
    </w:lvl>
  </w:abstractNum>
  <w:abstractNum w:abstractNumId="129">
    <w:nsid w:val="61E74EA3"/>
    <w:multiLevelType w:val="hybridMultilevel"/>
    <w:lvl w:ilvl="0">
      <w:lvlJc w:val="left"/>
      <w:lvlText w:val="(%1)"/>
      <w:numFmt w:val="decimal"/>
      <w:start w:val="1"/>
    </w:lvl>
  </w:abstractNum>
  <w:abstractNum w:abstractNumId="130">
    <w:nsid w:val="597B4D84"/>
    <w:multiLevelType w:val="hybridMultilevel"/>
    <w:lvl w:ilvl="0">
      <w:lvlJc w:val="left"/>
      <w:lvlText w:val="(%1)"/>
      <w:numFmt w:val="decimal"/>
      <w:start w:val="3"/>
    </w:lvl>
  </w:abstractNum>
  <w:abstractNum w:abstractNumId="131">
    <w:nsid w:val="F819E7F"/>
    <w:multiLevelType w:val="hybridMultilevel"/>
    <w:lvl w:ilvl="0">
      <w:lvlJc w:val="left"/>
      <w:lvlText w:val="•"/>
      <w:numFmt w:val="bullet"/>
      <w:start w:val="1"/>
    </w:lvl>
  </w:abstractNum>
  <w:abstractNum w:abstractNumId="132">
    <w:nsid w:val="57C7D42D"/>
    <w:multiLevelType w:val="hybridMultilevel"/>
    <w:lvl w:ilvl="0">
      <w:lvlJc w:val="left"/>
      <w:lvlText w:val="•"/>
      <w:numFmt w:val="bullet"/>
      <w:start w:val="1"/>
    </w:lvl>
  </w:abstractNum>
  <w:abstractNum w:abstractNumId="133">
    <w:nsid w:val="312167AD"/>
    <w:multiLevelType w:val="hybridMultilevel"/>
    <w:lvl w:ilvl="0">
      <w:lvlJc w:val="left"/>
      <w:lvlText w:val="•"/>
      <w:numFmt w:val="bullet"/>
      <w:start w:val="1"/>
    </w:lvl>
  </w:abstractNum>
  <w:abstractNum w:abstractNumId="134">
    <w:nsid w:val="631B64D4"/>
    <w:multiLevelType w:val="hybridMultilevel"/>
    <w:lvl w:ilvl="0">
      <w:lvlJc w:val="left"/>
      <w:lvlText w:val="•"/>
      <w:numFmt w:val="bullet"/>
      <w:start w:val="1"/>
    </w:lvl>
  </w:abstractNum>
  <w:abstractNum w:abstractNumId="135">
    <w:nsid w:val="78B5E776"/>
    <w:multiLevelType w:val="hybridMultilevel"/>
    <w:lvl w:ilvl="0">
      <w:lvlJc w:val="left"/>
      <w:lvlText w:val="(%1)"/>
      <w:numFmt w:val="decimal"/>
      <w:start w:val="1"/>
    </w:lvl>
  </w:abstractNum>
  <w:abstractNum w:abstractNumId="136">
    <w:nsid w:val="75486E47"/>
    <w:multiLevelType w:val="hybridMultilevel"/>
    <w:lvl w:ilvl="0">
      <w:lvlJc w:val="left"/>
      <w:lvlText w:val="(%1)"/>
      <w:numFmt w:val="decimal"/>
      <w:start w:val="1"/>
    </w:lvl>
  </w:abstractNum>
  <w:abstractNum w:abstractNumId="137">
    <w:nsid w:val="6E534CDE"/>
    <w:multiLevelType w:val="hybridMultilevel"/>
    <w:lvl w:ilvl="0">
      <w:lvlJc w:val="left"/>
      <w:lvlText w:val="(%1)"/>
      <w:numFmt w:val="decimal"/>
      <w:start w:val="3"/>
    </w:lvl>
  </w:abstractNum>
  <w:abstractNum w:abstractNumId="138">
    <w:nsid w:val="1A0DDE32"/>
    <w:multiLevelType w:val="hybridMultilevel"/>
    <w:lvl w:ilvl="0">
      <w:lvlJc w:val="left"/>
      <w:lvlText w:val="•"/>
      <w:numFmt w:val="bullet"/>
      <w:start w:val="1"/>
    </w:lvl>
  </w:abstractNum>
  <w:abstractNum w:abstractNumId="139">
    <w:nsid w:val="65968C1C"/>
    <w:multiLevelType w:val="hybridMultilevel"/>
    <w:lvl w:ilvl="0">
      <w:lvlJc w:val="left"/>
      <w:lvlText w:val="*"/>
      <w:numFmt w:val="bullet"/>
      <w:start w:val="1"/>
    </w:lvl>
  </w:abstractNum>
  <w:abstractNum w:abstractNumId="140">
    <w:nsid w:val="46263DEC"/>
    <w:multiLevelType w:val="hybridMultilevel"/>
    <w:lvl w:ilvl="0">
      <w:lvlJc w:val="left"/>
      <w:lvlText w:val="(%1)"/>
      <w:numFmt w:val="decimal"/>
      <w:start w:val="1"/>
    </w:lvl>
  </w:abstractNum>
  <w:abstractNum w:abstractNumId="141">
    <w:nsid w:val="260D8C4A"/>
    <w:multiLevelType w:val="hybridMultilevel"/>
    <w:lvl w:ilvl="0">
      <w:lvlJc w:val="left"/>
      <w:lvlText w:val="(%1)"/>
      <w:numFmt w:val="decimal"/>
      <w:start w:val="5"/>
    </w:lvl>
  </w:abstractNum>
  <w:abstractNum w:abstractNumId="142">
    <w:nsid w:val="73D4D3C4"/>
    <w:multiLevelType w:val="hybridMultilevel"/>
    <w:lvl w:ilvl="0">
      <w:lvlJc w:val="left"/>
      <w:lvlText w:val="•"/>
      <w:numFmt w:val="bullet"/>
      <w:start w:val="1"/>
    </w:lvl>
  </w:abstractNum>
  <w:abstractNum w:abstractNumId="143">
    <w:nsid w:val="746F2E30"/>
    <w:multiLevelType w:val="hybridMultilevel"/>
    <w:lvl w:ilvl="0">
      <w:lvlJc w:val="left"/>
      <w:lvlText w:val="•"/>
      <w:numFmt w:val="bullet"/>
      <w:start w:val="1"/>
    </w:lvl>
  </w:abstractNum>
  <w:abstractNum w:abstractNumId="144">
    <w:nsid w:val="6FDE8AF6"/>
    <w:multiLevelType w:val="hybridMultilevel"/>
    <w:lvl w:ilvl="0">
      <w:lvlJc w:val="left"/>
      <w:lvlText w:val="•"/>
      <w:numFmt w:val="bullet"/>
      <w:start w:val="1"/>
    </w:lvl>
  </w:abstractNum>
  <w:abstractNum w:abstractNumId="145">
    <w:nsid w:val="3FC32E20"/>
    <w:multiLevelType w:val="hybridMultilevel"/>
    <w:lvl w:ilvl="0">
      <w:lvlJc w:val="left"/>
      <w:lvlText w:val="•"/>
      <w:numFmt w:val="bullet"/>
      <w:start w:val="1"/>
    </w:lvl>
  </w:abstractNum>
  <w:abstractNum w:abstractNumId="146">
    <w:nsid w:val="49C0E823"/>
    <w:multiLevelType w:val="hybridMultilevel"/>
    <w:lvl w:ilvl="0">
      <w:lvlJc w:val="left"/>
      <w:lvlText w:val="•"/>
      <w:numFmt w:val="bullet"/>
      <w:start w:val="1"/>
    </w:lvl>
  </w:abstractNum>
  <w:abstractNum w:abstractNumId="147">
    <w:nsid w:val="14D53685"/>
    <w:multiLevelType w:val="hybridMultilevel"/>
    <w:lvl w:ilvl="0">
      <w:lvlJc w:val="left"/>
      <w:lvlText w:val="•"/>
      <w:numFmt w:val="bullet"/>
      <w:start w:val="1"/>
    </w:lvl>
  </w:abstractNum>
  <w:abstractNum w:abstractNumId="148">
    <w:nsid w:val="230F856C"/>
    <w:multiLevelType w:val="hybridMultilevel"/>
    <w:lvl w:ilvl="0">
      <w:lvlJc w:val="left"/>
      <w:lvlText w:val="•"/>
      <w:numFmt w:val="bullet"/>
      <w:start w:val="1"/>
    </w:lvl>
  </w:abstractNum>
  <w:abstractNum w:abstractNumId="149">
    <w:nsid w:val="6EAA85FB"/>
    <w:multiLevelType w:val="hybridMultilevel"/>
    <w:lvl w:ilvl="0">
      <w:lvlJc w:val="left"/>
      <w:lvlText w:val="•"/>
      <w:numFmt w:val="bullet"/>
      <w:start w:val="1"/>
    </w:lvl>
  </w:abstractNum>
  <w:abstractNum w:abstractNumId="150">
    <w:nsid w:val="3F06ECB2"/>
    <w:multiLevelType w:val="hybridMultilevel"/>
    <w:lvl w:ilvl="0">
      <w:lvlJc w:val="left"/>
      <w:lvlText w:val="•"/>
      <w:numFmt w:val="bullet"/>
      <w:start w:val="1"/>
    </w:lvl>
  </w:abstractNum>
  <w:abstractNum w:abstractNumId="151">
    <w:nsid w:val="3B594807"/>
    <w:multiLevelType w:val="hybridMultilevel"/>
    <w:lvl w:ilvl="0">
      <w:lvlJc w:val="left"/>
      <w:lvlText w:val="(%1)"/>
      <w:numFmt w:val="lowerLetter"/>
      <w:start w:val="1"/>
    </w:lvl>
  </w:abstractNum>
  <w:abstractNum w:abstractNumId="152">
    <w:nsid w:val="6CAA2304"/>
    <w:multiLevelType w:val="hybridMultilevel"/>
    <w:lvl w:ilvl="0">
      <w:lvlJc w:val="left"/>
      <w:lvlText w:val="(%1)"/>
      <w:numFmt w:val="lowerLetter"/>
      <w:start w:val="1"/>
    </w:lvl>
  </w:abstractNum>
  <w:abstractNum w:abstractNumId="153">
    <w:nsid w:val="3F7C2FF4"/>
    <w:multiLevelType w:val="hybridMultilevel"/>
    <w:lvl w:ilvl="0">
      <w:lvlJc w:val="left"/>
      <w:lvlText w:val="(%1)"/>
      <w:numFmt w:val="lowerLetter"/>
      <w:start w:val="1"/>
    </w:lvl>
  </w:abstractNum>
  <w:abstractNum w:abstractNumId="154">
    <w:nsid w:val="25413BEC"/>
    <w:multiLevelType w:val="hybridMultilevel"/>
    <w:lvl w:ilvl="0">
      <w:lvlJc w:val="left"/>
      <w:lvlText w:val="(%1)"/>
      <w:numFmt w:val="lowerLetter"/>
      <w:start w:val="1"/>
    </w:lvl>
  </w:abstractNum>
  <w:abstractNum w:abstractNumId="155">
    <w:nsid w:val="17180B0B"/>
    <w:multiLevelType w:val="hybridMultilevel"/>
    <w:lvl w:ilvl="0">
      <w:lvlJc w:val="left"/>
      <w:lvlText w:val="(%1)"/>
      <w:numFmt w:val="lowerLetter"/>
      <w:start w:val="1"/>
    </w:lvl>
  </w:abstractNum>
  <w:abstractNum w:abstractNumId="156">
    <w:nsid w:val="579328B9"/>
    <w:multiLevelType w:val="hybridMultilevel"/>
    <w:lvl w:ilvl="0">
      <w:lvlJc w:val="left"/>
      <w:lvlText w:val="(%1)"/>
      <w:numFmt w:val="lowerLetter"/>
      <w:start w:val="1"/>
    </w:lvl>
  </w:abstractNum>
  <w:abstractNum w:abstractNumId="157">
    <w:nsid w:val="5D205E20"/>
    <w:multiLevelType w:val="hybridMultilevel"/>
    <w:lvl w:ilvl="0">
      <w:lvlJc w:val="left"/>
      <w:lvlText w:val="%1."/>
      <w:numFmt w:val="decimal"/>
      <w:start w:val="7"/>
    </w:lvl>
  </w:abstractNum>
  <w:abstractNum w:abstractNumId="158">
    <w:nsid w:val="11CCA8B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2021-07-30T16:26:56Z</dcterms:created>
  <dcterms:modified xsi:type="dcterms:W3CDTF">2021-07-30T16:26:56Z</dcterms:modified>
</cp:coreProperties>
</file>