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0001667937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Tenaya Therapeutics,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001-40656</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171 Oyster Point Boulevard</w:t>
              <w:br/>
              <w:t>Suite 500</w:t>
              <w:br/>
              <w:t>South San Francisco</w:t>
              <w:br/>
              <w:t xml:space="preserve">CALIFORNIA </w:t>
              <w:br/>
              <w:t>94080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(650)-825-6990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Faraz Ali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 Stock</w:t>
            </w:r>
          </w:p>
        </w:tc>
        <w:tc>
          <w:tcPr>
            <w:tcW w:w="1669" w:type="dxa"/>
            <w:tcBorders/>
            <w:vAlign w:val="center"/>
          </w:tcPr>
          <w:p>
            <w:pPr>
              <w:pStyle w:val="TableContents"/>
              <w:bidi w:val="0"/>
              <w:spacing w:before="0" w:after="0"/>
              <w:jc w:val="left"/>
              <w:rPr/>
            </w:pPr>
            <w:r>
              <w:rPr/>
              <w:t>Morgan Stanley Smith Barney</w:t>
              <w:br/>
              <w:t>Operations Department</w:t>
              <w:br/>
              <w:t>2000 Westchester Ave</w:t>
              <w:br/>
              <w:t>Purchase   NY   10577-2530</w:t>
            </w:r>
          </w:p>
        </w:tc>
        <w:tc>
          <w:tcPr>
            <w:tcW w:w="1156" w:type="dxa"/>
            <w:tcBorders/>
            <w:vAlign w:val="center"/>
          </w:tcPr>
          <w:p>
            <w:pPr>
              <w:pStyle w:val="TableContents"/>
              <w:bidi w:val="0"/>
              <w:spacing w:before="0" w:after="283"/>
              <w:jc w:val="left"/>
              <w:rPr/>
            </w:pPr>
            <w:r>
              <w:rPr/>
              <w:t>22232</w:t>
            </w:r>
          </w:p>
        </w:tc>
        <w:tc>
          <w:tcPr>
            <w:tcW w:w="1363" w:type="dxa"/>
            <w:tcBorders/>
            <w:vAlign w:val="center"/>
          </w:tcPr>
          <w:p>
            <w:pPr>
              <w:pStyle w:val="TableContents"/>
              <w:bidi w:val="0"/>
              <w:spacing w:before="0" w:after="283"/>
              <w:jc w:val="left"/>
              <w:rPr/>
            </w:pPr>
            <w:r>
              <w:rPr/>
              <w:t>15778.45</w:t>
            </w:r>
          </w:p>
        </w:tc>
        <w:tc>
          <w:tcPr>
            <w:tcW w:w="1541" w:type="dxa"/>
            <w:tcBorders/>
            <w:vAlign w:val="center"/>
          </w:tcPr>
          <w:p>
            <w:pPr>
              <w:pStyle w:val="TableContents"/>
              <w:bidi w:val="0"/>
              <w:spacing w:before="0" w:after="283"/>
              <w:jc w:val="left"/>
              <w:rPr/>
            </w:pPr>
            <w:r>
              <w:rPr/>
              <w:t>224230012</w:t>
            </w:r>
          </w:p>
        </w:tc>
        <w:tc>
          <w:tcPr>
            <w:tcW w:w="1560" w:type="dxa"/>
            <w:tcBorders/>
            <w:vAlign w:val="center"/>
          </w:tcPr>
          <w:p>
            <w:pPr>
              <w:pStyle w:val="TableContents"/>
              <w:bidi w:val="0"/>
              <w:spacing w:before="0" w:after="283"/>
              <w:jc w:val="left"/>
              <w:rPr/>
            </w:pPr>
            <w:r>
              <w:rPr/>
              <w:t>08/17/2026</w:t>
            </w:r>
          </w:p>
        </w:tc>
        <w:tc>
          <w:tcPr>
            <w:tcW w:w="1367" w:type="dxa"/>
            <w:tcBorders/>
            <w:vAlign w:val="center"/>
          </w:tcPr>
          <w:p>
            <w:pPr>
              <w:pStyle w:val="TableContents"/>
              <w:bidi w:val="0"/>
              <w:spacing w:before="0" w:after="0"/>
              <w:jc w:val="left"/>
              <w:rPr/>
            </w:pPr>
            <w:r>
              <w:rPr/>
              <w:t>Nasdaq Capital Mkt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59512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95"/>
        <w:gridCol w:w="4610"/>
      </w:tblGrid>
      <w:tr>
        <w:trPr/>
        <w:tc>
          <w:tcPr>
            <w:tcW w:w="5595" w:type="dxa"/>
            <w:tcBorders/>
            <w:vAlign w:val="center"/>
          </w:tcPr>
          <w:p>
            <w:pPr>
              <w:pStyle w:val="TableContents"/>
              <w:bidi w:val="0"/>
              <w:spacing w:before="0" w:after="283"/>
              <w:jc w:val="left"/>
              <w:rPr/>
            </w:pPr>
            <w:r>
              <w:rPr/>
              <w:t>Remarks</w:t>
            </w:r>
          </w:p>
        </w:tc>
        <w:tc>
          <w:tcPr>
            <w:tcW w:w="4610" w:type="dxa"/>
            <w:tcBorders/>
            <w:vAlign w:val="center"/>
          </w:tcPr>
          <w:p>
            <w:pPr>
              <w:pStyle w:val="TableContents"/>
              <w:bidi w:val="0"/>
              <w:spacing w:before="0" w:after="283"/>
              <w:jc w:val="left"/>
              <w:rPr>
                <w:sz w:val="4"/>
                <w:szCs w:val="4"/>
              </w:rPr>
            </w:pPr>
            <w:r>
              <w:rPr>
                <w:sz w:val="4"/>
                <w:szCs w:val="4"/>
              </w:rPr>
            </w:r>
          </w:p>
        </w:tc>
      </w:tr>
      <w:tr>
        <w:trPr/>
        <w:tc>
          <w:tcPr>
            <w:tcW w:w="5595" w:type="dxa"/>
            <w:tcBorders/>
            <w:vAlign w:val="center"/>
          </w:tcPr>
          <w:p>
            <w:pPr>
              <w:pStyle w:val="TableContents"/>
              <w:bidi w:val="0"/>
              <w:spacing w:before="0" w:after="283"/>
              <w:jc w:val="left"/>
              <w:rPr/>
            </w:pPr>
            <w:r>
              <w:rPr/>
              <w:t>Date of Notice</w:t>
            </w:r>
          </w:p>
        </w:tc>
        <w:tc>
          <w:tcPr>
            <w:tcW w:w="461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95" w:type="dxa"/>
            <w:tcBorders/>
            <w:vAlign w:val="center"/>
          </w:tcPr>
          <w:p>
            <w:pPr>
              <w:pStyle w:val="TableContents"/>
              <w:bidi w:val="0"/>
              <w:spacing w:before="0" w:after="283"/>
              <w:jc w:val="left"/>
              <w:rPr/>
            </w:pPr>
            <w:r>
              <w:rPr/>
              <w:t>Signature</w:t>
            </w:r>
          </w:p>
        </w:tc>
        <w:tc>
          <w:tcPr>
            <w:tcW w:w="4610" w:type="dxa"/>
            <w:tcBorders/>
            <w:vAlign w:val="center"/>
          </w:tcPr>
          <w:p>
            <w:pPr>
              <w:pStyle w:val="TableContents"/>
              <w:bidi w:val="0"/>
              <w:spacing w:before="0" w:after="0"/>
              <w:jc w:val="left"/>
              <w:rPr/>
            </w:pPr>
            <w:r>
              <w:rPr/>
              <w:t>/s/ Faraz Ali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2965</Characters>
  <CharactersWithSpaces>3492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