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pPr>
      <w:bookmarkStart w:id="0" w:name="tnya-20230331.htm"/>
      <w:bookmarkStart w:id="1" w:name="kstnya20230331"/>
      <w:bookmarkEnd w:id="0"/>
      <w:bookmarkEnd w:id="1"/>
      <w:r>
        <w:rPr/>
        <w:t> </w:t>
      </w:r>
    </w:p>
    <w:p>
      <w:pPr>
        <w:pStyle w:val="TextBody"/>
        <w:pBdr>
          <w:top w:val="double" w:sz="6" w:space="1" w:color="000000"/>
        </w:pBdr>
        <w:spacing w:before="0" w:after="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8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QUARTERLY REPORT PURSUANT TO SECTION 13 OR 15(d) OF THE SECURITIES EXCHANGE ACT OF 1934</w:t>
            </w:r>
          </w:p>
        </w:tc>
      </w:tr>
    </w:tbl>
    <w:p>
      <w:pPr>
        <w:pStyle w:val="TextBody"/>
        <w:spacing w:before="80" w:after="0"/>
        <w:jc w:val="center"/>
        <w:rPr>
          <w:rFonts w:ascii="Times New Roman;serif" w:hAnsi="Times New Roman;serif"/>
          <w:b/>
          <w:sz w:val="22"/>
        </w:rPr>
      </w:pPr>
      <w:r>
        <w:rPr>
          <w:rFonts w:ascii="Times New Roman;serif" w:hAnsi="Times New Roman;serif"/>
          <w:b/>
          <w:sz w:val="22"/>
        </w:rPr>
        <w:t>For the quarterly period ended March 31, 2023</w:t>
      </w:r>
    </w:p>
    <w:p>
      <w:pPr>
        <w:pStyle w:val="TextBody"/>
        <w:spacing w:before="80" w:after="0"/>
        <w:jc w:val="center"/>
        <w:rPr>
          <w:rFonts w:ascii="Times New Roman;serif" w:hAnsi="Times New Roman;serif"/>
          <w:b/>
          <w:sz w:val="22"/>
        </w:rPr>
      </w:pPr>
      <w:r>
        <w:rPr>
          <w:rFonts w:ascii="Times New Roman;serif" w:hAnsi="Times New Roman;serif"/>
          <w:b/>
          <w:sz w:val="22"/>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80" w:after="0"/>
              <w:ind w:left="0" w:right="0" w:hanging="0"/>
              <w:jc w:val="left"/>
              <w:rPr/>
            </w:pPr>
            <w:r>
              <w:rPr/>
              <w:t>☐</w:t>
            </w:r>
          </w:p>
        </w:tc>
        <w:tc>
          <w:tcPr>
            <w:tcW w:w="9874" w:type="dxa"/>
            <w:tcBorders/>
            <w:shd w:fill="auto" w:val="clear"/>
            <w:vAlign w:val="center"/>
          </w:tcPr>
          <w:p>
            <w:pPr>
              <w:pStyle w:val="TableContents"/>
              <w:spacing w:before="80" w:after="0"/>
              <w:ind w:left="0" w:right="0" w:hanging="0"/>
              <w:jc w:val="left"/>
              <w:rPr>
                <w:rFonts w:ascii="Times New Roman;serif" w:hAnsi="Times New Roman;serif"/>
                <w:b/>
                <w:sz w:val="22"/>
              </w:rPr>
            </w:pPr>
            <w:r>
              <w:rPr>
                <w:rFonts w:ascii="Times New Roman;serif" w:hAnsi="Times New Roman;serif"/>
                <w:b/>
                <w:sz w:val="22"/>
              </w:rPr>
              <w:t>TRANSITION REPORT PURSUANT TO SECTION 13 OR 15(d) OF THE SECURITIES EXCHANGE ACT OF 1934</w:t>
            </w:r>
          </w:p>
        </w:tc>
      </w:tr>
    </w:tbl>
    <w:p>
      <w:pPr>
        <w:pStyle w:val="TextBody"/>
        <w:spacing w:before="80" w:after="0"/>
        <w:jc w:val="center"/>
        <w:rPr>
          <w:rFonts w:ascii="Times New Roman;serif" w:hAnsi="Times New Roman;serif"/>
          <w:b/>
          <w:sz w:val="22"/>
        </w:rPr>
      </w:pPr>
      <w:r>
        <w:rPr>
          <w:rFonts w:ascii="Times New Roman;serif" w:hAnsi="Times New Roman;serif"/>
          <w:b/>
          <w:sz w:val="22"/>
        </w:rPr>
        <w:t>For the transition period from ________ to _________</w:t>
      </w:r>
    </w:p>
    <w:p>
      <w:pPr>
        <w:pStyle w:val="TextBody"/>
        <w:spacing w:before="80" w:after="0"/>
        <w:jc w:val="center"/>
        <w:rPr>
          <w:rFonts w:ascii="Times New Roman;serif" w:hAnsi="Times New Roman;serif"/>
          <w:b/>
          <w:sz w:val="22"/>
        </w:rPr>
      </w:pPr>
      <w:r>
        <w:rPr>
          <w:rFonts w:ascii="Times New Roman;serif" w:hAnsi="Times New Roman;serif"/>
          <w:b/>
          <w:sz w:val="22"/>
        </w:rPr>
        <w:t>Commission File Number: 001-40656</w:t>
      </w:r>
    </w:p>
    <w:p>
      <w:pPr>
        <w:pStyle w:val="TextBody"/>
        <w:pBdr>
          <w:bottom w:val="single" w:sz="4" w:space="1" w:color="000000"/>
        </w:pBdr>
        <w:spacing w:before="0" w:after="0"/>
        <w:jc w:val="center"/>
        <w:rPr/>
      </w:pPr>
      <w:r>
        <w:rPr/>
        <w:t> </w:t>
      </w:r>
    </w:p>
    <w:p>
      <w:pPr>
        <w:pStyle w:val="TextBody"/>
        <w:spacing w:before="0" w:after="0"/>
        <w:jc w:val="center"/>
        <w:rPr>
          <w:rFonts w:ascii="Times New Roman;serif" w:hAnsi="Times New Roman;serif"/>
          <w:b/>
          <w:sz w:val="44"/>
        </w:rPr>
      </w:pPr>
      <w:r>
        <w:rPr>
          <w:rFonts w:ascii="Times New Roman;serif" w:hAnsi="Times New Roman;serif"/>
          <w:b/>
          <w:sz w:val="44"/>
        </w:rPr>
        <w:t>TENAYA THERAPEUTICS,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5192" w:type="dxa"/>
        <w:jc w:val="left"/>
        <w:tblInd w:w="0" w:type="dxa"/>
        <w:tblCellMar>
          <w:top w:w="28" w:type="dxa"/>
          <w:left w:w="28" w:type="dxa"/>
          <w:bottom w:w="28" w:type="dxa"/>
          <w:right w:w="28" w:type="dxa"/>
        </w:tblCellMar>
      </w:tblPr>
      <w:tblGrid>
        <w:gridCol w:w="3886"/>
        <w:gridCol w:w="1306"/>
      </w:tblGrid>
      <w:tr>
        <w:trPr/>
        <w:tc>
          <w:tcPr>
            <w:tcW w:w="388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center"/>
              <w:rPr>
                <w:rFonts w:ascii="Times New Roman;serif" w:hAnsi="Times New Roman;serif"/>
                <w:b/>
                <w:sz w:val="22"/>
              </w:rPr>
            </w:pPr>
            <w:r>
              <w:rPr>
                <w:rFonts w:ascii="Times New Roman;serif" w:hAnsi="Times New Roman;serif"/>
                <w:b/>
                <w:sz w:val="22"/>
              </w:rPr>
              <w:t>Delaware</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sz w:val="22"/>
              </w:rPr>
            </w:pPr>
            <w:r>
              <w:rPr>
                <w:rFonts w:ascii="Times New Roman;serif" w:hAnsi="Times New Roman;serif"/>
                <w:b/>
                <w:sz w:val="22"/>
              </w:rPr>
              <w:t>81-3789973</w:t>
            </w:r>
          </w:p>
        </w:tc>
      </w:tr>
      <w:tr>
        <w:trPr/>
        <w:tc>
          <w:tcPr>
            <w:tcW w:w="388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3886" w:type="dxa"/>
            <w:tcBorders/>
            <w:shd w:fill="auto" w:val="clear"/>
            <w:vAlign w:val="center"/>
          </w:tcPr>
          <w:p>
            <w:pPr>
              <w:pStyle w:val="TableContents"/>
              <w:spacing w:before="0" w:after="15"/>
              <w:ind w:left="0" w:right="0" w:hanging="0"/>
              <w:jc w:val="center"/>
              <w:rPr>
                <w:rFonts w:ascii="Times New Roman;serif" w:hAnsi="Times New Roman;serif"/>
                <w:b/>
                <w:sz w:val="22"/>
              </w:rPr>
            </w:pPr>
            <w:r>
              <w:rPr>
                <w:rFonts w:ascii="Times New Roman;serif" w:hAnsi="Times New Roman;serif"/>
                <w:b/>
                <w:sz w:val="22"/>
              </w:rPr>
              <w:t>171 Oyster Point Boulevard, Suite 500</w:t>
            </w:r>
          </w:p>
          <w:p>
            <w:pPr>
              <w:pStyle w:val="TableContents"/>
              <w:spacing w:before="0" w:after="15"/>
              <w:ind w:left="0" w:right="0" w:hanging="0"/>
              <w:jc w:val="center"/>
              <w:rPr>
                <w:rFonts w:ascii="Times New Roman" w:hAnsi="Times New Roman"/>
                <w:sz w:val="22"/>
              </w:rPr>
            </w:pPr>
            <w:r>
              <w:rPr>
                <w:rFonts w:ascii="Times New Roman;serif" w:hAnsi="Times New Roman;serif"/>
                <w:b/>
                <w:sz w:val="22"/>
              </w:rPr>
              <w:t>South</w:t>
            </w:r>
            <w:r>
              <w:rPr>
                <w:rFonts w:ascii="Times New Roman;serif" w:hAnsi="Times New Roman;serif"/>
                <w:sz w:val="22"/>
              </w:rPr>
              <w:t xml:space="preserve"> </w:t>
            </w:r>
            <w:r>
              <w:rPr>
                <w:rFonts w:ascii="Times New Roman;serif" w:hAnsi="Times New Roman;serif"/>
                <w:b/>
                <w:sz w:val="22"/>
              </w:rPr>
              <w:t>San Francisco, CA</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sz w:val="22"/>
              </w:rPr>
            </w:pPr>
            <w:r>
              <w:rPr>
                <w:rFonts w:ascii="Times New Roman;serif" w:hAnsi="Times New Roman;serif"/>
                <w:b/>
                <w:sz w:val="22"/>
              </w:rPr>
              <w:t>94080</w:t>
            </w:r>
          </w:p>
        </w:tc>
      </w:tr>
      <w:tr>
        <w:trPr/>
        <w:tc>
          <w:tcPr>
            <w:tcW w:w="388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(650) 825-6990</w:t>
      </w:r>
    </w:p>
    <w:p>
      <w:pPr>
        <w:pStyle w:val="TextBody"/>
        <w:spacing w:before="0" w:after="0"/>
        <w:jc w:val="center"/>
        <w:rPr>
          <w:rFonts w:ascii="Times New Roman;serif" w:hAnsi="Times New Roman;serif"/>
          <w:b/>
          <w:sz w:val="14"/>
        </w:rPr>
      </w:pPr>
      <w:r>
        <w:rPr>
          <w:rFonts w:ascii="Times New Roman;serif" w:hAnsi="Times New Roman;serif"/>
          <w:b/>
          <w:sz w:val="14"/>
        </w:rPr>
        <w:t>(Registrant’s telephone number, including area code)</w:t>
      </w:r>
    </w:p>
    <w:p>
      <w:pPr>
        <w:pStyle w:val="TextBody"/>
        <w:pBdr>
          <w:bottom w:val="single" w:sz="4" w:space="1" w:color="000000"/>
        </w:pBdr>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720" w:type="dxa"/>
        <w:jc w:val="left"/>
        <w:tblInd w:w="0" w:type="dxa"/>
        <w:tblCellMar>
          <w:top w:w="28" w:type="dxa"/>
          <w:left w:w="28" w:type="dxa"/>
          <w:bottom w:w="28" w:type="dxa"/>
          <w:right w:w="28" w:type="dxa"/>
        </w:tblCellMar>
      </w:tblPr>
      <w:tblGrid>
        <w:gridCol w:w="3286"/>
        <w:gridCol w:w="146"/>
        <w:gridCol w:w="826"/>
        <w:gridCol w:w="14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TNYA</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 Global Select Market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2187" w:type="dxa"/>
            <w:gridSpan w:val="2"/>
            <w:tcBorders/>
            <w:shd w:fill="auto" w:val="clear"/>
            <w:vAlign w:val="center"/>
          </w:tcPr>
          <w:p>
            <w:pPr>
              <w:pStyle w:val="TableContents"/>
              <w:spacing w:before="0" w:after="0"/>
              <w:ind w:left="0" w:right="0" w:hanging="0"/>
              <w:jc w:val="left"/>
              <w:rPr/>
            </w:pPr>
            <w:r>
              <w:rPr/>
              <w:t> </w:t>
            </w:r>
          </w:p>
        </w:tc>
        <w:tc>
          <w:tcPr>
            <w:tcW w:w="507" w:type="dxa"/>
            <w:gridSpan w:val="2"/>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sz w:val="18"/>
        </w:rPr>
        <w:t>As of May 4, 2023, the registrant had 66,869,868</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66"/>
        <w:gridCol w:w="391"/>
        <w:gridCol w:w="8476"/>
        <w:gridCol w:w="572"/>
      </w:tblGrid>
      <w:tr>
        <w:trPr/>
        <w:tc>
          <w:tcPr>
            <w:tcW w:w="7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847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7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_financial_information">
              <w:r>
                <w:rPr>
                  <w:rStyle w:val="InternetLink"/>
                  <w:rFonts w:ascii="Times New Roman;serif" w:hAnsi="Times New Roman;serif"/>
                  <w:b/>
                  <w:sz w:val="20"/>
                  <w:u w:val="single"/>
                </w:rPr>
                <w:t>PART I—FINANCIAL INFORMATION</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245" w:right="0" w:hanging="0"/>
              <w:jc w:val="left"/>
              <w:rPr/>
            </w:pPr>
            <w:hyperlink w:anchor="condensed_balance_sheets">
              <w:r>
                <w:rPr>
                  <w:rStyle w:val="InternetLink"/>
                  <w:rFonts w:ascii="Times New Roman;serif" w:hAnsi="Times New Roman;serif"/>
                  <w:b w:val="false"/>
                  <w:sz w:val="20"/>
                  <w:u w:val="single"/>
                </w:rPr>
                <w:t>Condensed Balance Sheets as of March 31, 2023 and December 31, 2022</w:t>
              </w:r>
            </w:hyperlink>
            <w:r>
              <w:rPr>
                <w:rFonts w:ascii="Times New Roman" w:hAnsi="Times New Roman"/>
                <w:sz w:val="20"/>
              </w:rPr>
              <w:t xml:space="preserve"> </w:t>
            </w:r>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245" w:right="0" w:hanging="0"/>
              <w:jc w:val="left"/>
              <w:rPr/>
            </w:pPr>
            <w:hyperlink w:anchor="condensed_statements_operations_comprehe">
              <w:r>
                <w:rPr>
                  <w:rStyle w:val="InternetLink"/>
                  <w:rFonts w:ascii="Times New Roman;serif" w:hAnsi="Times New Roman;serif"/>
                  <w:b w:val="false"/>
                  <w:sz w:val="20"/>
                  <w:u w:val="single"/>
                </w:rPr>
                <w:t>Condensed Statements of Operations and Comprehensive Loss for the three months ended March 31, 2023 and 2022</w:t>
              </w:r>
            </w:hyperlink>
            <w:hyperlink w:anchor="condensed_statements_operations_comprehe">
              <w:r>
                <w:rPr>
                  <w:rStyle w:val="InternetLink"/>
                  <w:rFonts w:ascii="Times New Roman" w:hAnsi="Times New Roman"/>
                  <w:sz w:val="20"/>
                </w:rPr>
                <w:t xml:space="preserve"> </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245" w:right="0" w:hanging="0"/>
              <w:jc w:val="left"/>
              <w:rPr/>
            </w:pPr>
            <w:hyperlink w:anchor="condensed_statements_convertible_preferr">
              <w:r>
                <w:rPr>
                  <w:rStyle w:val="InternetLink"/>
                  <w:rFonts w:ascii="Times New Roman;serif" w:hAnsi="Times New Roman;serif"/>
                  <w:b w:val="false"/>
                  <w:sz w:val="20"/>
                  <w:u w:val="single"/>
                </w:rPr>
                <w:t>Condensed Statements of Stockholders’ Equity</w:t>
              </w:r>
            </w:hyperlink>
            <w:r>
              <w:rPr>
                <w:rFonts w:ascii="Times New Roman" w:hAnsi="Times New Roman"/>
                <w:sz w:val="20"/>
                <w:u w:val="single"/>
              </w:rPr>
              <w:t> </w:t>
            </w:r>
            <w:r>
              <w:rPr>
                <w:rFonts w:ascii="Times New Roman;serif" w:hAnsi="Times New Roman;serif"/>
                <w:b w:val="false"/>
                <w:sz w:val="20"/>
                <w:u w:val="single"/>
              </w:rPr>
              <w:t>for the three months ended March 31, 2023 and 2022</w:t>
            </w:r>
            <w:r>
              <w:rPr>
                <w:rFonts w:ascii="Times New Roman" w:hAnsi="Times New Roman"/>
                <w:sz w:val="20"/>
              </w:rPr>
              <w:t xml:space="preserve"> </w:t>
            </w:r>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245" w:right="0" w:hanging="0"/>
              <w:jc w:val="left"/>
              <w:rPr/>
            </w:pPr>
            <w:hyperlink w:anchor="condensed_statements_cash_flows">
              <w:r>
                <w:rPr>
                  <w:rStyle w:val="InternetLink"/>
                  <w:rFonts w:ascii="Times New Roman;serif" w:hAnsi="Times New Roman;serif"/>
                  <w:b w:val="false"/>
                  <w:sz w:val="20"/>
                  <w:u w:val="single"/>
                </w:rPr>
                <w:t>Condensed Statements of Cash Flows for the three months ended March 31, 2023 and 2022</w:t>
              </w:r>
            </w:hyperlink>
            <w:hyperlink w:anchor="condensed_statements_cash_flows">
              <w:r>
                <w:rPr>
                  <w:rStyle w:val="InternetLink"/>
                  <w:rFonts w:ascii="Times New Roman" w:hAnsi="Times New Roman"/>
                  <w:sz w:val="20"/>
                </w:rPr>
                <w:t xml:space="preserve"> </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245"/>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245" w:right="0" w:hanging="0"/>
              <w:jc w:val="left"/>
              <w:rPr/>
            </w:pPr>
            <w:hyperlink w:anchor="notes_to_unaudited_condensed_financial_s">
              <w:r>
                <w:rPr>
                  <w:rStyle w:val="InternetLink"/>
                  <w:rFonts w:ascii="Times New Roman;serif" w:hAnsi="Times New Roman;serif"/>
                  <w:b w:val="false"/>
                  <w:sz w:val="20"/>
                  <w:u w:val="single"/>
                </w:rPr>
                <w:t>Notes to Unaudited Condensed Financial Statements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7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ior_information">
              <w:r>
                <w:rPr>
                  <w:rStyle w:val="InternetLink"/>
                  <w:rFonts w:ascii="Times New Roman;serif" w:hAnsi="Times New Roman;serif"/>
                  <w:b/>
                  <w:sz w:val="20"/>
                  <w:u w:val="single"/>
                </w:rPr>
                <w:t>PART II—OTHER INFORMATION</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caps/>
          <w:sz w:val="20"/>
        </w:rPr>
      </w:pPr>
      <w:r>
        <w:rPr>
          <w:rFonts w:ascii="Times New Roman;serif" w:hAnsi="Times New Roman;serif"/>
          <w:b/>
          <w:caps/>
          <w:sz w:val="20"/>
        </w:rPr>
        <w:t>SPECIAL NOTE REGARDING FORWARD 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vision to change the treatment paradigm for heart disease;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of our ongoing preclinical studies and ongoing or planned clinical trials to demonstrate safety and efficacy of our product candidates, and other positive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dosing, patient enrollment and populations, progress, and results of preclinical studies and ongoing or planned clinical trials for our current product candidates and other product candidates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develop and advance our current product candidates and programs into, and successfully complete,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of the market opportunity for our product candidates, including our estimates of the number of patients who suffer from the diseases we are targeting;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manufacturing, commercialization, and marketing capabilities and strategy;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competitive position and the success of competing therapies that are or may become available;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plans relating to the further development of our product candidates, including additional indications and targets we may pursue;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existing laws and regulations and regulatory developments in the United States (U.S), Europe and other jurisdictions;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and negotiate favorable terms of, any collaboration, partnership, licensing or other arrangements that may be necessary or desirable to develop, manufacture or commercialize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rate and degree of market acceptance and clinical utility of our current product candidates and other product candidates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estimates regarding expenses, operating losses, future revenue, cash outlays, capital requirements and needs for additional financing, including expenses arising as a result of being a public company;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financial performance;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facilities;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period over which we estimate our existing cash, cash equivalents and investments in marketable securities will be sufficient to fund our future operating expenses and capital expenditure requirements;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critical accounting policies on investor’s ability to understand our financial performance;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expectations regarding the period during which we will remain an emerging growth company under the Jumpstart Our Business Startups Act of 2012 (JOBS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120" w:after="0"/>
        <w:jc w:val="left"/>
        <w:rPr/>
      </w:pPr>
      <w:r>
        <w:rPr/>
        <w:t> </w:t>
      </w:r>
    </w:p>
    <w:p>
      <w:pPr>
        <w:pStyle w:val="TextBody"/>
        <w:spacing w:before="0" w:after="0"/>
        <w:jc w:val="center"/>
        <w:rPr>
          <w:rFonts w:ascii="Times New Roman;serif" w:hAnsi="Times New Roman;serif"/>
          <w:b/>
          <w:caps/>
          <w:sz w:val="20"/>
        </w:rPr>
      </w:pPr>
      <w:bookmarkStart w:id="2" w:name="part_i_financial_information"/>
      <w:bookmarkEnd w:id="2"/>
      <w:r>
        <w:rPr>
          <w:rFonts w:ascii="Times New Roman;serif" w:hAnsi="Times New Roman;serif"/>
          <w:b/>
          <w:caps/>
          <w:sz w:val="20"/>
        </w:rPr>
        <w:t>PART I – FINANCIAL INFORMATION</w:t>
      </w:r>
    </w:p>
    <w:p>
      <w:pPr>
        <w:pStyle w:val="TextBody"/>
        <w:spacing w:before="240" w:after="0"/>
        <w:jc w:val="center"/>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24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spacing w:before="240" w:after="0"/>
        <w:jc w:val="center"/>
        <w:rPr>
          <w:rFonts w:ascii="Times New Roman;serif" w:hAnsi="Times New Roman;serif"/>
          <w:b/>
          <w:sz w:val="20"/>
        </w:rPr>
      </w:pPr>
      <w:bookmarkStart w:id="4" w:name="condensed_balance_sheets"/>
      <w:bookmarkEnd w:id="4"/>
      <w:r>
        <w:rPr>
          <w:rFonts w:ascii="Times New Roman;serif" w:hAnsi="Times New Roman;serif"/>
          <w:b/>
          <w:sz w:val="20"/>
        </w:rPr>
        <w:t>Condensed Balance Sheets</w:t>
      </w:r>
    </w:p>
    <w:p>
      <w:pPr>
        <w:pStyle w:val="TextBody"/>
        <w:spacing w:before="0" w:after="0"/>
        <w:jc w:val="center"/>
        <w:rPr>
          <w:rFonts w:ascii="Times New Roman;serif" w:hAnsi="Times New Roman;serif"/>
          <w:b/>
          <w:i/>
          <w:sz w:val="20"/>
        </w:rPr>
      </w:pPr>
      <w:r>
        <w:rPr>
          <w:rFonts w:ascii="Times New Roman;serif" w:hAnsi="Times New Roman;serif"/>
          <w:b/>
          <w:i/>
          <w:sz w:val="20"/>
        </w:rPr>
        <w:t>(In thousands)</w:t>
      </w:r>
    </w:p>
    <w:p>
      <w:pPr>
        <w:pStyle w:val="TextBody"/>
        <w:spacing w:before="0" w:after="0"/>
        <w:jc w:val="center"/>
        <w:rPr>
          <w:rFonts w:ascii="Times New Roman;serif" w:hAnsi="Times New Roman;serif"/>
          <w:b/>
          <w:i/>
          <w:sz w:val="20"/>
        </w:rPr>
      </w:pPr>
      <w:r>
        <w:rPr>
          <w:rFonts w:ascii="Times New Roman;serif" w:hAnsi="Times New Roman;serif"/>
          <w:b/>
          <w:i/>
          <w:sz w:val="20"/>
        </w:rPr>
        <w:t>(Unaudited)</w:t>
      </w:r>
    </w:p>
    <w:p>
      <w:pPr>
        <w:pStyle w:val="TextBody"/>
        <w:spacing w:before="0" w:after="0"/>
        <w:jc w:val="left"/>
        <w:rPr/>
      </w:pPr>
      <w:r>
        <w:rPr/>
        <w:t> </w:t>
      </w:r>
    </w:p>
    <w:tbl>
      <w:tblPr>
        <w:tblW w:w="7317" w:type="dxa"/>
        <w:jc w:val="left"/>
        <w:tblInd w:w="0" w:type="dxa"/>
        <w:tblCellMar>
          <w:top w:w="28" w:type="dxa"/>
          <w:left w:w="28" w:type="dxa"/>
          <w:bottom w:w="28" w:type="dxa"/>
          <w:right w:w="28" w:type="dxa"/>
        </w:tblCellMar>
      </w:tblPr>
      <w:tblGrid>
        <w:gridCol w:w="4321"/>
        <w:gridCol w:w="146"/>
        <w:gridCol w:w="211"/>
        <w:gridCol w:w="841"/>
        <w:gridCol w:w="166"/>
        <w:gridCol w:w="146"/>
        <w:gridCol w:w="219"/>
        <w:gridCol w:w="876"/>
        <w:gridCol w:w="39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95,272</w:t>
            </w:r>
          </w:p>
        </w:tc>
        <w:tc>
          <w:tcPr>
            <w:tcW w:w="3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Short-term investments in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75,271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91,255</w:t>
            </w:r>
          </w:p>
        </w:tc>
        <w:tc>
          <w:tcPr>
            <w:tcW w:w="3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154,628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193,754</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51,032</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11,663</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 in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17,703</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245,341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9,578</w:t>
            </w:r>
          </w:p>
        </w:tc>
        <w:tc>
          <w:tcPr>
            <w:tcW w:w="3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10,664</w:t>
            </w:r>
          </w:p>
        </w:tc>
        <w:tc>
          <w:tcPr>
            <w:tcW w:w="3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24,248</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35,569</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6)</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526,460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522,945</w:t>
            </w:r>
          </w:p>
        </w:tc>
        <w:tc>
          <w:tcPr>
            <w:tcW w:w="3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3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(310,935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(279,198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215,412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243,376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245,341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spacing w:before="240" w:after="0"/>
        <w:jc w:val="center"/>
        <w:rPr>
          <w:rFonts w:ascii="Times New Roman" w:hAnsi="Times New Roman"/>
          <w:sz w:val="20"/>
        </w:rPr>
      </w:pPr>
      <w:bookmarkStart w:id="5" w:name="condensed_statements_operations_comprehe"/>
      <w:bookmarkEnd w:id="5"/>
      <w:r>
        <w:rPr>
          <w:rFonts w:ascii="Times New Roman;serif" w:hAnsi="Times New Roman;serif"/>
          <w:b/>
          <w:sz w:val="20"/>
        </w:rPr>
        <w:t>Condensed Statements of Operations and Comprehensive Loss</w:t>
      </w:r>
      <w:r>
        <w:rPr>
          <w:rFonts w:ascii="Times New Roman" w:hAnsi="Times New Roman"/>
          <w:sz w:val="20"/>
        </w:rPr>
        <w:t xml:space="preserve"> </w:t>
      </w:r>
    </w:p>
    <w:p>
      <w:pPr>
        <w:pStyle w:val="TextBody"/>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p>
      <w:pPr>
        <w:pStyle w:val="TextBody"/>
        <w:spacing w:before="0" w:after="0"/>
        <w:jc w:val="center"/>
        <w:rPr>
          <w:rFonts w:ascii="Times New Roman;serif" w:hAnsi="Times New Roman;serif"/>
          <w:b/>
          <w:i/>
          <w:sz w:val="20"/>
        </w:rPr>
      </w:pPr>
      <w:r>
        <w:rPr>
          <w:rFonts w:ascii="Times New Roman;serif" w:hAnsi="Times New Roman;serif"/>
          <w:b/>
          <w:i/>
          <w:sz w:val="20"/>
        </w:rPr>
        <w:t>(Unaudited)</w:t>
      </w:r>
    </w:p>
    <w:p>
      <w:pPr>
        <w:pStyle w:val="TextBody"/>
        <w:spacing w:before="0" w:after="0"/>
        <w:jc w:val="both"/>
        <w:rPr/>
      </w:pPr>
      <w:r>
        <w:rPr/>
        <w:t> </w:t>
      </w:r>
    </w:p>
    <w:tbl>
      <w:tblPr>
        <w:tblW w:w="9979" w:type="dxa"/>
        <w:jc w:val="left"/>
        <w:tblInd w:w="0" w:type="dxa"/>
        <w:tblCellMar>
          <w:top w:w="28" w:type="dxa"/>
          <w:left w:w="28" w:type="dxa"/>
          <w:bottom w:w="28" w:type="dxa"/>
          <w:right w:w="28" w:type="dxa"/>
        </w:tblCellMar>
      </w:tblPr>
      <w:tblGrid>
        <w:gridCol w:w="6616"/>
        <w:gridCol w:w="146"/>
        <w:gridCol w:w="211"/>
        <w:gridCol w:w="1036"/>
        <w:gridCol w:w="166"/>
        <w:gridCol w:w="146"/>
        <w:gridCol w:w="211"/>
        <w:gridCol w:w="1036"/>
        <w:gridCol w:w="411"/>
      </w:tblGrid>
      <w:tr>
        <w:trPr/>
        <w:tc>
          <w:tcPr>
            <w:tcW w:w="6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66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24,155</w:t>
            </w:r>
          </w:p>
        </w:tc>
        <w:tc>
          <w:tcPr>
            <w:tcW w:w="4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66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4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before 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(31,056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(31,056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66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unrealized gain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(31,479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(31,546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73,097,889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41,267,990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caps/>
          <w:sz w:val="20"/>
        </w:rPr>
      </w:pPr>
      <w:r>
        <w:rPr>
          <w:rFonts w:ascii="Times New Roman;serif" w:hAnsi="Times New Roman;serif"/>
          <w:b/>
          <w:caps/>
          <w:sz w:val="20"/>
        </w:rPr>
        <w:t>TENAYA THERAPEUTICS, INC.</w:t>
      </w:r>
    </w:p>
    <w:p>
      <w:pPr>
        <w:pStyle w:val="TextBody"/>
        <w:spacing w:before="240" w:after="0"/>
        <w:jc w:val="center"/>
        <w:rPr>
          <w:rFonts w:ascii="Times New Roman;serif" w:hAnsi="Times New Roman;serif"/>
          <w:b/>
          <w:sz w:val="20"/>
        </w:rPr>
      </w:pPr>
      <w:bookmarkStart w:id="6" w:name="condensed_statements_convertible_preferr"/>
      <w:bookmarkEnd w:id="6"/>
      <w:r>
        <w:rPr>
          <w:rFonts w:ascii="Times New Roman;serif" w:hAnsi="Times New Roman;serif"/>
          <w:b/>
          <w:sz w:val="20"/>
        </w:rPr>
        <w:t>Condensed Statements of Stockholders’ Equity</w:t>
      </w:r>
    </w:p>
    <w:p>
      <w:pPr>
        <w:pStyle w:val="TextBody"/>
        <w:spacing w:before="0" w:after="0"/>
        <w:jc w:val="center"/>
        <w:rPr>
          <w:rFonts w:ascii="Times New Roman;serif" w:hAnsi="Times New Roman;serif"/>
          <w:b/>
          <w:i/>
          <w:sz w:val="20"/>
        </w:rPr>
      </w:pPr>
      <w:r>
        <w:rPr>
          <w:rFonts w:ascii="Times New Roman;serif" w:hAnsi="Times New Roman;serif"/>
          <w:b/>
          <w:i/>
          <w:sz w:val="20"/>
        </w:rPr>
        <w:t>(In thousands, except share data)</w:t>
      </w:r>
    </w:p>
    <w:p>
      <w:pPr>
        <w:pStyle w:val="TextBody"/>
        <w:spacing w:before="0" w:after="0"/>
        <w:jc w:val="center"/>
        <w:rPr>
          <w:rFonts w:ascii="Times New Roman;serif" w:hAnsi="Times New Roman;serif"/>
          <w:b/>
          <w:i/>
          <w:sz w:val="20"/>
        </w:rPr>
      </w:pPr>
      <w:r>
        <w:rPr>
          <w:rFonts w:ascii="Times New Roman;serif" w:hAnsi="Times New Roman;serif"/>
          <w:b/>
          <w:i/>
          <w:sz w:val="20"/>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1631"/>
        <w:gridCol w:w="146"/>
        <w:gridCol w:w="146"/>
        <w:gridCol w:w="146"/>
        <w:gridCol w:w="916"/>
        <w:gridCol w:w="146"/>
        <w:gridCol w:w="146"/>
        <w:gridCol w:w="249"/>
        <w:gridCol w:w="442"/>
        <w:gridCol w:w="146"/>
        <w:gridCol w:w="146"/>
        <w:gridCol w:w="196"/>
        <w:gridCol w:w="691"/>
        <w:gridCol w:w="146"/>
        <w:gridCol w:w="146"/>
        <w:gridCol w:w="480"/>
        <w:gridCol w:w="1070"/>
        <w:gridCol w:w="166"/>
        <w:gridCol w:w="146"/>
        <w:gridCol w:w="217"/>
        <w:gridCol w:w="834"/>
        <w:gridCol w:w="166"/>
        <w:gridCol w:w="146"/>
        <w:gridCol w:w="252"/>
        <w:gridCol w:w="896"/>
        <w:gridCol w:w="393"/>
      </w:tblGrid>
      <w:tr>
        <w:trPr/>
        <w:tc>
          <w:tcPr>
            <w:tcW w:w="1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1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Stockholders’</w:t>
            </w:r>
          </w:p>
        </w:tc>
        <w:tc>
          <w:tcPr>
            <w:tcW w:w="393" w:type="dxa"/>
            <w:tcBorders/>
            <w:shd w:fill="auto" w:val="clear"/>
            <w:vAlign w:val="center"/>
          </w:tcPr>
          <w:p>
            <w:pPr>
              <w:pStyle w:val="TableContents"/>
              <w:spacing w:before="0" w:after="0"/>
              <w:ind w:left="0" w:right="0" w:hanging="0"/>
              <w:jc w:val="center"/>
              <w:rPr/>
            </w:pPr>
            <w:r>
              <w:rPr/>
              <w:t> </w:t>
            </w:r>
          </w:p>
        </w:tc>
      </w:tr>
      <w:tr>
        <w:trPr/>
        <w:tc>
          <w:tcPr>
            <w:tcW w:w="1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66,857,113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522,945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(279,198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243,376</w:t>
            </w:r>
          </w:p>
        </w:tc>
        <w:tc>
          <w:tcPr>
            <w:tcW w:w="393" w:type="dxa"/>
            <w:tcBorders/>
            <w:shd w:fill="auto" w:val="clear"/>
            <w:vAlign w:val="center"/>
          </w:tcPr>
          <w:p>
            <w:pPr>
              <w:pStyle w:val="TableContents"/>
              <w:spacing w:before="0" w:after="0"/>
              <w:ind w:left="0" w:right="0" w:firstLine="200"/>
              <w:jc w:val="left"/>
              <w:rPr/>
            </w:pPr>
            <w:r>
              <w:rPr/>
              <w:t> </w:t>
            </w:r>
          </w:p>
        </w:tc>
      </w:tr>
      <w:tr>
        <w:trPr/>
        <w:tc>
          <w:tcPr>
            <w:tcW w:w="16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upon exercise</w:t>
              <w:br/>
              <w:t>   of stock options and vesting of restricted</w:t>
              <w:br/>
              <w:t>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pPr>
            <w:r>
              <w:rPr/>
              <w:t> </w:t>
            </w:r>
          </w:p>
        </w:tc>
        <w:tc>
          <w:tcPr>
            <w:tcW w:w="107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firstLine="200"/>
              <w:jc w:val="left"/>
              <w:rPr/>
            </w:pPr>
            <w:r>
              <w:rPr/>
              <w:t> </w:t>
            </w:r>
          </w:p>
        </w:tc>
      </w:tr>
      <w:tr>
        <w:trPr/>
        <w:tc>
          <w:tcPr>
            <w:tcW w:w="16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Vesting of early exercised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pPr>
            <w:r>
              <w:rPr/>
              <w:t> </w:t>
            </w:r>
          </w:p>
        </w:tc>
        <w:tc>
          <w:tcPr>
            <w:tcW w:w="107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393" w:type="dxa"/>
            <w:tcBorders/>
            <w:shd w:fill="auto" w:val="clear"/>
            <w:vAlign w:val="center"/>
          </w:tcPr>
          <w:p>
            <w:pPr>
              <w:pStyle w:val="TableContents"/>
              <w:spacing w:before="0" w:after="0"/>
              <w:ind w:left="0" w:right="0" w:firstLine="200"/>
              <w:jc w:val="left"/>
              <w:rPr/>
            </w:pPr>
            <w:r>
              <w:rPr/>
              <w:t> </w:t>
            </w:r>
          </w:p>
        </w:tc>
      </w:tr>
      <w:tr>
        <w:trPr/>
        <w:tc>
          <w:tcPr>
            <w:tcW w:w="16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pPr>
            <w:r>
              <w:rPr/>
              <w:t> </w:t>
            </w:r>
          </w:p>
        </w:tc>
        <w:tc>
          <w:tcPr>
            <w:tcW w:w="107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3,514</w:t>
            </w:r>
          </w:p>
        </w:tc>
        <w:tc>
          <w:tcPr>
            <w:tcW w:w="393" w:type="dxa"/>
            <w:tcBorders/>
            <w:shd w:fill="auto" w:val="clear"/>
            <w:vAlign w:val="center"/>
          </w:tcPr>
          <w:p>
            <w:pPr>
              <w:pStyle w:val="TableContents"/>
              <w:spacing w:before="0" w:after="0"/>
              <w:ind w:left="0" w:right="0" w:firstLine="200"/>
              <w:jc w:val="left"/>
              <w:rPr/>
            </w:pPr>
            <w:r>
              <w:rPr/>
              <w:t> </w:t>
            </w:r>
          </w:p>
        </w:tc>
      </w:tr>
      <w:tr>
        <w:trPr/>
        <w:tc>
          <w:tcPr>
            <w:tcW w:w="16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pPr>
            <w:r>
              <w:rPr/>
              <w:t> </w:t>
            </w:r>
          </w:p>
        </w:tc>
        <w:tc>
          <w:tcPr>
            <w:tcW w:w="10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393" w:type="dxa"/>
            <w:tcBorders/>
            <w:shd w:fill="auto" w:val="clear"/>
            <w:vAlign w:val="center"/>
          </w:tcPr>
          <w:p>
            <w:pPr>
              <w:pStyle w:val="TableContents"/>
              <w:spacing w:before="0" w:after="0"/>
              <w:ind w:left="0" w:right="0" w:firstLine="200"/>
              <w:jc w:val="left"/>
              <w:rPr/>
            </w:pPr>
            <w:r>
              <w:rPr/>
              <w:t> </w:t>
            </w:r>
          </w:p>
        </w:tc>
      </w:tr>
      <w:tr>
        <w:trPr/>
        <w:tc>
          <w:tcPr>
            <w:tcW w:w="16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(31,737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(31,737</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66,865,424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526,460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(310,935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215,412</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608"/>
        <w:gridCol w:w="146"/>
        <w:gridCol w:w="146"/>
        <w:gridCol w:w="146"/>
        <w:gridCol w:w="916"/>
        <w:gridCol w:w="146"/>
        <w:gridCol w:w="146"/>
        <w:gridCol w:w="249"/>
        <w:gridCol w:w="442"/>
        <w:gridCol w:w="146"/>
        <w:gridCol w:w="146"/>
        <w:gridCol w:w="196"/>
        <w:gridCol w:w="691"/>
        <w:gridCol w:w="146"/>
        <w:gridCol w:w="146"/>
        <w:gridCol w:w="481"/>
        <w:gridCol w:w="1071"/>
        <w:gridCol w:w="166"/>
        <w:gridCol w:w="146"/>
        <w:gridCol w:w="217"/>
        <w:gridCol w:w="834"/>
        <w:gridCol w:w="166"/>
        <w:gridCol w:w="146"/>
        <w:gridCol w:w="252"/>
        <w:gridCol w:w="896"/>
        <w:gridCol w:w="414"/>
      </w:tblGrid>
      <w:tr>
        <w:trPr/>
        <w:tc>
          <w:tcPr>
            <w:tcW w:w="16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1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Stockholders’</w:t>
            </w:r>
          </w:p>
        </w:tc>
        <w:tc>
          <w:tcPr>
            <w:tcW w:w="414" w:type="dxa"/>
            <w:tcBorders/>
            <w:shd w:fill="auto" w:val="clear"/>
            <w:vAlign w:val="center"/>
          </w:tcPr>
          <w:p>
            <w:pPr>
              <w:pStyle w:val="TableContents"/>
              <w:spacing w:before="0" w:after="0"/>
              <w:ind w:left="0" w:right="0" w:hanging="0"/>
              <w:jc w:val="center"/>
              <w:rPr/>
            </w:pPr>
            <w:r>
              <w:rPr/>
              <w:t> </w:t>
            </w:r>
          </w:p>
        </w:tc>
      </w:tr>
      <w:tr>
        <w:trPr/>
        <w:tc>
          <w:tcPr>
            <w:tcW w:w="1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41,291,374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434,196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(155,533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278,526</w:t>
            </w:r>
          </w:p>
        </w:tc>
        <w:tc>
          <w:tcPr>
            <w:tcW w:w="414" w:type="dxa"/>
            <w:tcBorders/>
            <w:shd w:fill="auto" w:val="clear"/>
            <w:vAlign w:val="center"/>
          </w:tcPr>
          <w:p>
            <w:pPr>
              <w:pStyle w:val="TableContents"/>
              <w:spacing w:before="0" w:after="0"/>
              <w:ind w:left="0" w:right="0" w:firstLine="200"/>
              <w:jc w:val="left"/>
              <w:rPr/>
            </w:pPr>
            <w:r>
              <w:rPr/>
              <w:t> </w:t>
            </w:r>
          </w:p>
        </w:tc>
      </w:tr>
      <w:tr>
        <w:trPr/>
        <w:tc>
          <w:tcPr>
            <w:tcW w:w="1608"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upon exercise</w:t>
              <w:br/>
              <w:t>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10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414" w:type="dxa"/>
            <w:tcBorders/>
            <w:shd w:fill="auto" w:val="clear"/>
            <w:vAlign w:val="center"/>
          </w:tcPr>
          <w:p>
            <w:pPr>
              <w:pStyle w:val="TableContents"/>
              <w:spacing w:before="0" w:after="0"/>
              <w:ind w:left="0" w:right="0" w:firstLine="200"/>
              <w:jc w:val="left"/>
              <w:rPr/>
            </w:pPr>
            <w:r>
              <w:rPr/>
              <w:t> </w:t>
            </w:r>
          </w:p>
        </w:tc>
      </w:tr>
      <w:tr>
        <w:trPr/>
        <w:tc>
          <w:tcPr>
            <w:tcW w:w="1608"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Vesting of early exercised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10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414" w:type="dxa"/>
            <w:tcBorders/>
            <w:shd w:fill="auto" w:val="clear"/>
            <w:vAlign w:val="center"/>
          </w:tcPr>
          <w:p>
            <w:pPr>
              <w:pStyle w:val="TableContents"/>
              <w:spacing w:before="0" w:after="0"/>
              <w:ind w:left="0" w:right="0" w:firstLine="200"/>
              <w:jc w:val="left"/>
              <w:rPr/>
            </w:pPr>
            <w:r>
              <w:rPr/>
              <w:t> </w:t>
            </w:r>
          </w:p>
        </w:tc>
      </w:tr>
      <w:tr>
        <w:trPr/>
        <w:tc>
          <w:tcPr>
            <w:tcW w:w="1608"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10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2,094</w:t>
            </w:r>
          </w:p>
        </w:tc>
        <w:tc>
          <w:tcPr>
            <w:tcW w:w="414" w:type="dxa"/>
            <w:tcBorders/>
            <w:shd w:fill="auto" w:val="clear"/>
            <w:vAlign w:val="center"/>
          </w:tcPr>
          <w:p>
            <w:pPr>
              <w:pStyle w:val="TableContents"/>
              <w:spacing w:before="0" w:after="0"/>
              <w:ind w:left="0" w:right="0" w:firstLine="200"/>
              <w:jc w:val="left"/>
              <w:rPr/>
            </w:pPr>
            <w:r>
              <w:rPr/>
              <w:t> </w:t>
            </w:r>
          </w:p>
        </w:tc>
      </w:tr>
      <w:tr>
        <w:trPr/>
        <w:tc>
          <w:tcPr>
            <w:tcW w:w="1608"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10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608"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(31,056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(31,056</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6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41,299,026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436,313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(186,589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249,097</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spacing w:before="240" w:after="0"/>
        <w:jc w:val="center"/>
        <w:rPr>
          <w:rFonts w:ascii="Times New Roman;serif" w:hAnsi="Times New Roman;serif"/>
          <w:b/>
          <w:sz w:val="20"/>
        </w:rPr>
      </w:pPr>
      <w:bookmarkStart w:id="7" w:name="condensed_statements_cash_flows"/>
      <w:bookmarkEnd w:id="7"/>
      <w:r>
        <w:rPr>
          <w:rFonts w:ascii="Times New Roman;serif" w:hAnsi="Times New Roman;serif"/>
          <w:b/>
          <w:sz w:val="20"/>
        </w:rPr>
        <w:t>Condensed Statements of Cash Flows</w:t>
      </w:r>
    </w:p>
    <w:p>
      <w:pPr>
        <w:pStyle w:val="TextBody"/>
        <w:spacing w:before="0" w:after="0"/>
        <w:jc w:val="center"/>
        <w:rPr>
          <w:rFonts w:ascii="Times New Roman;serif" w:hAnsi="Times New Roman;serif"/>
          <w:b/>
          <w:i/>
          <w:sz w:val="20"/>
        </w:rPr>
      </w:pPr>
      <w:r>
        <w:rPr>
          <w:rFonts w:ascii="Times New Roman;serif" w:hAnsi="Times New Roman;serif"/>
          <w:b/>
          <w:i/>
          <w:sz w:val="20"/>
        </w:rPr>
        <w:t>(In thousands)</w:t>
      </w:r>
    </w:p>
    <w:p>
      <w:pPr>
        <w:pStyle w:val="TextBody"/>
        <w:spacing w:before="0" w:after="0"/>
        <w:jc w:val="center"/>
        <w:rPr>
          <w:rFonts w:ascii="Times New Roman;serif" w:hAnsi="Times New Roman;serif"/>
          <w:b/>
          <w:i/>
          <w:sz w:val="20"/>
        </w:rPr>
      </w:pPr>
      <w:r>
        <w:rPr>
          <w:rFonts w:ascii="Times New Roman;serif" w:hAnsi="Times New Roman;serif"/>
          <w:b/>
          <w:i/>
          <w:sz w:val="20"/>
        </w:rPr>
        <w:t>(Unaudited)</w:t>
      </w:r>
    </w:p>
    <w:p>
      <w:pPr>
        <w:pStyle w:val="TextBody"/>
        <w:spacing w:before="0" w:after="0"/>
        <w:jc w:val="left"/>
        <w:rPr/>
      </w:pPr>
      <w:r>
        <w:rPr/>
        <w:t> </w:t>
      </w:r>
    </w:p>
    <w:tbl>
      <w:tblPr>
        <w:tblW w:w="9882" w:type="dxa"/>
        <w:jc w:val="left"/>
        <w:tblInd w:w="0" w:type="dxa"/>
        <w:tblCellMar>
          <w:top w:w="28" w:type="dxa"/>
          <w:left w:w="28" w:type="dxa"/>
          <w:bottom w:w="28" w:type="dxa"/>
          <w:right w:w="28" w:type="dxa"/>
        </w:tblCellMar>
      </w:tblPr>
      <w:tblGrid>
        <w:gridCol w:w="6646"/>
        <w:gridCol w:w="146"/>
        <w:gridCol w:w="232"/>
        <w:gridCol w:w="783"/>
        <w:gridCol w:w="196"/>
        <w:gridCol w:w="173"/>
        <w:gridCol w:w="232"/>
        <w:gridCol w:w="783"/>
        <w:gridCol w:w="691"/>
      </w:tblGrid>
      <w:tr>
        <w:trPr/>
        <w:tc>
          <w:tcPr>
            <w:tcW w:w="6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6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6"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(31,737</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righ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(31,056</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righ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2,130</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966</w:t>
            </w:r>
          </w:p>
        </w:tc>
        <w:tc>
          <w:tcPr>
            <w:tcW w:w="691" w:type="dxa"/>
            <w:tcBorders/>
            <w:shd w:fill="auto" w:val="clear"/>
            <w:vAlign w:val="center"/>
          </w:tcPr>
          <w:p>
            <w:pPr>
              <w:pStyle w:val="TableContents"/>
              <w:spacing w:before="0" w:after="0"/>
              <w:ind w:left="0" w:right="0" w:firstLine="200"/>
              <w:jc w:val="lef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amortization of (discount) premium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(567</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w:t>
            </w:r>
          </w:p>
        </w:tc>
        <w:tc>
          <w:tcPr>
            <w:tcW w:w="691" w:type="dxa"/>
            <w:tcBorders/>
            <w:shd w:fill="auto" w:val="clear"/>
            <w:vAlign w:val="center"/>
          </w:tcPr>
          <w:p>
            <w:pPr>
              <w:pStyle w:val="TableContents"/>
              <w:spacing w:before="0" w:after="0"/>
              <w:ind w:left="0" w:right="0" w:firstLine="200"/>
              <w:jc w:val="lef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3,514</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2,094</w:t>
            </w:r>
          </w:p>
        </w:tc>
        <w:tc>
          <w:tcPr>
            <w:tcW w:w="691" w:type="dxa"/>
            <w:tcBorders/>
            <w:shd w:fill="auto" w:val="clear"/>
            <w:vAlign w:val="center"/>
          </w:tcPr>
          <w:p>
            <w:pPr>
              <w:pStyle w:val="TableContents"/>
              <w:spacing w:before="0" w:after="0"/>
              <w:ind w:left="0" w:right="0" w:firstLine="200"/>
              <w:jc w:val="lef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Non-cash 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754</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332</w:t>
            </w:r>
          </w:p>
        </w:tc>
        <w:tc>
          <w:tcPr>
            <w:tcW w:w="691" w:type="dxa"/>
            <w:tcBorders/>
            <w:shd w:fill="auto" w:val="clear"/>
            <w:vAlign w:val="center"/>
          </w:tcPr>
          <w:p>
            <w:pPr>
              <w:pStyle w:val="TableContents"/>
              <w:spacing w:before="0" w:after="0"/>
              <w:ind w:left="0" w:right="0" w:firstLine="200"/>
              <w:jc w:val="lef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firstLine="200"/>
              <w:jc w:val="lef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400"/>
              <w:jc w:val="right"/>
              <w:rPr/>
            </w:pPr>
            <w:r>
              <w:rPr/>
              <w:t> </w:t>
            </w:r>
          </w:p>
        </w:tc>
      </w:tr>
      <w:tr>
        <w:trPr/>
        <w:tc>
          <w:tcPr>
            <w:tcW w:w="664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366</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691" w:type="dxa"/>
            <w:tcBorders/>
            <w:shd w:fill="auto" w:val="clear"/>
            <w:vAlign w:val="center"/>
          </w:tcPr>
          <w:p>
            <w:pPr>
              <w:pStyle w:val="TableContents"/>
              <w:spacing w:before="0" w:after="0"/>
              <w:ind w:left="0" w:right="0" w:firstLine="400"/>
              <w:jc w:val="left"/>
              <w:rPr/>
            </w:pPr>
            <w:r>
              <w:rPr/>
              <w:t> </w:t>
            </w:r>
          </w:p>
        </w:tc>
      </w:tr>
      <w:tr>
        <w:trPr/>
        <w:tc>
          <w:tcPr>
            <w:tcW w:w="664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691" w:type="dxa"/>
            <w:tcBorders/>
            <w:shd w:fill="auto" w:val="clear"/>
            <w:vAlign w:val="center"/>
          </w:tcPr>
          <w:p>
            <w:pPr>
              <w:pStyle w:val="TableContents"/>
              <w:spacing w:before="0" w:after="0"/>
              <w:ind w:left="0" w:right="0" w:firstLine="400"/>
              <w:jc w:val="left"/>
              <w:rPr/>
            </w:pPr>
            <w:r>
              <w:rPr/>
              <w:t> </w:t>
            </w:r>
          </w:p>
        </w:tc>
      </w:tr>
      <w:tr>
        <w:trPr/>
        <w:tc>
          <w:tcPr>
            <w:tcW w:w="664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(1,324</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(1,779</w:t>
            </w:r>
          </w:p>
        </w:tc>
        <w:tc>
          <w:tcPr>
            <w:tcW w:w="69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(2,662</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318</w:t>
            </w:r>
          </w:p>
        </w:tc>
        <w:tc>
          <w:tcPr>
            <w:tcW w:w="691" w:type="dxa"/>
            <w:tcBorders/>
            <w:shd w:fill="auto" w:val="clear"/>
            <w:vAlign w:val="center"/>
          </w:tcPr>
          <w:p>
            <w:pPr>
              <w:pStyle w:val="TableContents"/>
              <w:spacing w:before="0" w:after="0"/>
              <w:ind w:left="0" w:right="0" w:firstLine="400"/>
              <w:jc w:val="left"/>
              <w:rPr/>
            </w:pPr>
            <w:r>
              <w:rPr/>
              <w:t> </w:t>
            </w:r>
          </w:p>
        </w:tc>
      </w:tr>
      <w:tr>
        <w:trPr/>
        <w:tc>
          <w:tcPr>
            <w:tcW w:w="664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(979</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(533</w:t>
            </w:r>
          </w:p>
        </w:tc>
        <w:tc>
          <w:tcPr>
            <w:tcW w:w="69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6646" w:type="dxa"/>
            <w:tcBorders/>
            <w:shd w:fill="auto" w:val="clear"/>
            <w:vAlign w:val="center"/>
          </w:tcPr>
          <w:p>
            <w:pPr>
              <w:pStyle w:val="TableContents"/>
              <w:spacing w:before="0" w:after="0"/>
              <w:ind w:left="500" w:right="0" w:hanging="0"/>
              <w:jc w:val="left"/>
              <w:rPr>
                <w:rFonts w:ascii="Times New Roman;serif" w:hAnsi="Times New Roman;serif"/>
                <w:b w:val="false"/>
                <w:sz w:val="16"/>
              </w:rPr>
            </w:pPr>
            <w:r>
              <w:rPr>
                <w:rFonts w:ascii="Times New Roman;serif" w:hAnsi="Times New Roman;serif"/>
                <w:b w:val="false"/>
                <w:sz w:val="16"/>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(30,290</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(28,756</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righ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(629</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(8,595</w:t>
            </w:r>
          </w:p>
        </w:tc>
        <w:tc>
          <w:tcPr>
            <w:tcW w:w="6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(25,798</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(43,171</w:t>
            </w:r>
          </w:p>
        </w:tc>
        <w:tc>
          <w:tcPr>
            <w:tcW w:w="6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maturities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34,500</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68,200</w:t>
            </w:r>
          </w:p>
        </w:tc>
        <w:tc>
          <w:tcPr>
            <w:tcW w:w="691" w:type="dxa"/>
            <w:tcBorders/>
            <w:shd w:fill="auto" w:val="clear"/>
            <w:vAlign w:val="center"/>
          </w:tcPr>
          <w:p>
            <w:pPr>
              <w:pStyle w:val="TableContents"/>
              <w:spacing w:before="0" w:after="0"/>
              <w:ind w:left="0" w:right="0" w:firstLine="200"/>
              <w:jc w:val="lef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6646" w:type="dxa"/>
            <w:tcBorders/>
            <w:shd w:fill="auto" w:val="clear"/>
            <w:vAlign w:val="center"/>
          </w:tcPr>
          <w:p>
            <w:pPr>
              <w:pStyle w:val="TableContents"/>
              <w:spacing w:before="0" w:after="0"/>
              <w:ind w:left="500" w:right="0" w:hanging="0"/>
              <w:jc w:val="left"/>
              <w:rPr>
                <w:rFonts w:ascii="Times New Roman;serif" w:hAnsi="Times New Roman;serif"/>
                <w:b w:val="false"/>
                <w:sz w:val="16"/>
              </w:rPr>
            </w:pPr>
            <w:r>
              <w:rPr>
                <w:rFonts w:ascii="Times New Roman;serif" w:hAnsi="Times New Roman;serif"/>
                <w:b w:val="false"/>
                <w:sz w:val="16"/>
              </w:rPr>
              <w:t>Net cash provided by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8,061</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16,434</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righ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 of accrued offering costs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(501</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firstLine="200"/>
              <w:jc w:val="lef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exercise of stock options and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6646" w:type="dxa"/>
            <w:tcBorders/>
            <w:shd w:fill="auto" w:val="clear"/>
            <w:vAlign w:val="center"/>
          </w:tcPr>
          <w:p>
            <w:pPr>
              <w:pStyle w:val="TableContents"/>
              <w:spacing w:before="0" w:after="0"/>
              <w:ind w:left="500" w:right="0" w:hanging="0"/>
              <w:jc w:val="left"/>
              <w:rPr>
                <w:rFonts w:ascii="Times New Roman;serif" w:hAnsi="Times New Roman;serif"/>
                <w:b w:val="false"/>
                <w:sz w:val="16"/>
              </w:rPr>
            </w:pPr>
            <w:r>
              <w:rPr>
                <w:rFonts w:ascii="Times New Roman;serif" w:hAnsi="Times New Roman;serif"/>
                <w:b w:val="false"/>
                <w:sz w:val="16"/>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(501</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(22,730</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(12,307</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95,671</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38,676</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72,941</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26,369</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Components of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72,542</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25,970</w:t>
            </w:r>
          </w:p>
        </w:tc>
        <w:tc>
          <w:tcPr>
            <w:tcW w:w="691" w:type="dxa"/>
            <w:tcBorders/>
            <w:shd w:fill="auto" w:val="clear"/>
            <w:vAlign w:val="center"/>
          </w:tcPr>
          <w:p>
            <w:pPr>
              <w:pStyle w:val="TableContents"/>
              <w:spacing w:before="0" w:after="0"/>
              <w:ind w:left="0" w:right="0" w:hanging="0"/>
              <w:jc w:val="lef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Restricted cash included in 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399</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399</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72,941</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26,369</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Supplemental disclosure of 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right"/>
              <w:rPr/>
            </w:pPr>
            <w:r>
              <w:rPr/>
              <w:t> </w:t>
            </w:r>
          </w:p>
        </w:tc>
      </w:tr>
      <w:tr>
        <w:trPr/>
        <w:tc>
          <w:tcPr>
            <w:tcW w:w="664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Property and equipment included in accounts payable and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19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5,282</w:t>
            </w:r>
          </w:p>
        </w:tc>
        <w:tc>
          <w:tcPr>
            <w:tcW w:w="6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caps/>
          <w:sz w:val="20"/>
        </w:rPr>
        <w:t>TENAYA THERAPEUTICS, INC.</w:t>
      </w:r>
      <w:r>
        <w:rPr>
          <w:rFonts w:ascii="Times New Roman" w:hAnsi="Times New Roman"/>
          <w:caps/>
          <w:sz w:val="20"/>
        </w:rPr>
        <w:t xml:space="preserve"> </w:t>
      </w:r>
    </w:p>
    <w:p>
      <w:pPr>
        <w:pStyle w:val="TextBody"/>
        <w:spacing w:before="240" w:after="0"/>
        <w:jc w:val="center"/>
        <w:rPr>
          <w:rFonts w:ascii="Times New Roman" w:hAnsi="Times New Roman"/>
          <w:sz w:val="20"/>
        </w:rPr>
      </w:pPr>
      <w:bookmarkStart w:id="8" w:name="notes_to_unaudited_condensed_financial_s"/>
      <w:bookmarkEnd w:id="8"/>
      <w:r>
        <w:rPr>
          <w:rFonts w:ascii="Times New Roman;serif" w:hAnsi="Times New Roman;serif"/>
          <w:b/>
          <w:sz w:val="20"/>
        </w:rPr>
        <w:t>Notes to Unaudited Condensed Financial Statements</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1.</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Organization and Description of the Business </w:t>
      </w:r>
    </w:p>
    <w:p>
      <w:pPr>
        <w:pStyle w:val="TextBody"/>
        <w:spacing w:before="240" w:after="0"/>
        <w:jc w:val="left"/>
        <w:rPr>
          <w:rFonts w:ascii="Times New Roman;serif" w:hAnsi="Times New Roman;serif"/>
          <w:b/>
          <w:i/>
          <w:sz w:val="20"/>
        </w:rPr>
      </w:pPr>
      <w:r>
        <w:rPr>
          <w:rFonts w:ascii="Times New Roman;serif" w:hAnsi="Times New Roman;serif"/>
          <w:b/>
          <w:i/>
          <w:sz w:val="20"/>
        </w:rPr>
        <w:t>Description of the Business</w:t>
      </w:r>
    </w:p>
    <w:p>
      <w:pPr>
        <w:pStyle w:val="TextBody"/>
        <w:spacing w:before="120" w:after="0"/>
        <w:jc w:val="left"/>
        <w:rPr>
          <w:rFonts w:ascii="Times New Roman" w:hAnsi="Times New Roman"/>
          <w:sz w:val="20"/>
        </w:rPr>
      </w:pPr>
      <w:r>
        <w:rPr>
          <w:rFonts w:ascii="Times New Roman;serif" w:hAnsi="Times New Roman;serif"/>
          <w:b w:val="false"/>
          <w:sz w:val="20"/>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TN-301, a small molecule for heart failure with preserved ejection fraction, and TN-401, a gene therapy for plakophilin 2-associated arrhythmogenic right ventricular cardiomyopathy.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Liquidity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incurred net losses since inception and expects such losses to continue in the future as it conducts research and development activities. As of March 31, 2023, the Company had an accumulated deficit of $310.9</w:t>
      </w:r>
      <w:r>
        <w:rPr>
          <w:rFonts w:ascii="Times New Roman" w:hAnsi="Times New Roman"/>
          <w:sz w:val="20"/>
        </w:rPr>
        <w:t xml:space="preserve"> </w:t>
      </w:r>
      <w:r>
        <w:rPr>
          <w:rFonts w:ascii="Times New Roman;serif" w:hAnsi="Times New Roman;serif"/>
          <w:b w:val="false"/>
          <w:sz w:val="20"/>
        </w:rPr>
        <w:t>million. The Company incurred a net loss of $31.7</w:t>
      </w:r>
      <w:r>
        <w:rPr>
          <w:rFonts w:ascii="Times New Roman" w:hAnsi="Times New Roman"/>
          <w:sz w:val="20"/>
        </w:rPr>
        <w:t xml:space="preserve"> </w:t>
      </w:r>
      <w:r>
        <w:rPr>
          <w:rFonts w:ascii="Times New Roman;serif" w:hAnsi="Times New Roman;serif"/>
          <w:b w:val="false"/>
          <w:sz w:val="20"/>
        </w:rPr>
        <w:t>million and $31.1</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 The Company had $173.6</w:t>
      </w:r>
      <w:r>
        <w:rPr>
          <w:rFonts w:ascii="Times New Roman" w:hAnsi="Times New Roman"/>
          <w:sz w:val="20"/>
        </w:rPr>
        <w:t xml:space="preserve"> </w:t>
      </w:r>
      <w:r>
        <w:rPr>
          <w:rFonts w:ascii="Times New Roman;serif" w:hAnsi="Times New Roman;serif"/>
          <w:b w:val="false"/>
          <w:sz w:val="20"/>
        </w:rPr>
        <w:t>million of cash, cash equivalents and investments in marketable securities as of March 31,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March 31, 2023 will be sufficient to fund the Company’s operations for at least the next twelve months following the date these condensed financial statements are filed with the Securities and Exchange Commission (SEC).</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2.</w:t>
      </w:r>
    </w:p>
    <w:p>
      <w:pPr>
        <w:pStyle w:val="TextBody"/>
        <w:spacing w:before="36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spacing w:before="24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interim condensed balance sheet as of March 31, 2023, the interim condensed statements of operations and comprehensive loss, stockholders’ equity and cash flows for the three months ended March 31, 2023 and 2022 are unaudited. These unaudited interim condensed financial statements have been prepared on the same basis as the Company’s annual financial statements and reflect all adjustments (consisting only of normal recurring adjustments) that are necessary for the fair statement of the Company’s financial position, results of operations and cash flows for the interim periods presented. The condensed results of operations for the three months ended March 31, 2023, are not necessarily indicative of the results to be expected for the full year or for any other future annual or interim period. The condensed balance sheet as of December 31, 2022, included herein was derived from the audited financial statements as of that date. These condensed financial statements should be read in conjunction with the Company’s audited financial statements and the related notes thereto for the year ended December 31, 2022, included in Company’s Annual Report on Form 10-K, filed with the SEC on March 8, 2023.</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spacing w:before="120" w:after="0"/>
        <w:jc w:val="left"/>
        <w:rPr>
          <w:rFonts w:ascii="Times New Roman" w:hAnsi="Times New Roman"/>
          <w:sz w:val="20"/>
        </w:rPr>
      </w:pPr>
      <w:r>
        <w:rPr>
          <w:rFonts w:ascii="Times New Roman;serif" w:hAnsi="Times New Roman;serif"/>
          <w:b w:val="false"/>
          <w:sz w:val="20"/>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On an ongoing basis, management evaluates its estimates, including those related to clinical trial accrued liabilities, income tax valuation allowance and stock-based compensation.</w:t>
      </w:r>
      <w:r>
        <w:rPr>
          <w:rFonts w:ascii="Times New Roman" w:hAnsi="Times New Roman"/>
          <w:sz w:val="20"/>
        </w:rPr>
        <w:t xml:space="preserve"> </w:t>
      </w:r>
      <w:r>
        <w:rPr>
          <w:rFonts w:ascii="Times New Roman;serif" w:hAnsi="Times New Roman;serif"/>
          <w:b w:val="false"/>
          <w:sz w:val="20"/>
        </w:rPr>
        <w:t>Management bases its estimates on historical experience, the current economic environment, and on various other assumptions that are believed to be reasonable under the circumstances. Actual results may differ from those estimates or assumptions.</w:t>
      </w:r>
    </w:p>
    <w:p>
      <w:pPr>
        <w:pStyle w:val="TextBody"/>
        <w:spacing w:before="240" w:after="0"/>
        <w:jc w:val="left"/>
        <w:rPr>
          <w:rFonts w:ascii="Times New Roman" w:hAnsi="Times New Roman"/>
          <w:sz w:val="20"/>
        </w:rPr>
      </w:pPr>
      <w:r>
        <w:rPr>
          <w:rFonts w:ascii="Times New Roman;serif" w:hAnsi="Times New Roman;serif"/>
          <w:b/>
          <w:i/>
          <w:sz w:val="20"/>
        </w:rPr>
        <w:t>Significant Accounting Policies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Except for the changes below, there have been no material revisions in the Company’s significant accounting policies described in Note 2 to the consolidated financial statements included in the Company’s Annual Report on Form 10-K for the year ended December 31,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Marketable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(expense), net. The cost of securities sold is based on the specific-identification method. Interest earned on marketable securities is included in interest income.</w:t>
      </w:r>
      <w:r>
        <w:rPr>
          <w:rFonts w:ascii="Times New Roman" w:hAnsi="Times New Roman"/>
          <w:sz w:val="20"/>
        </w:rPr>
        <w:t xml:space="preserve"> </w:t>
      </w:r>
    </w:p>
    <w:p>
      <w:pPr>
        <w:pStyle w:val="TextBody"/>
        <w:spacing w:before="240" w:after="240"/>
        <w:jc w:val="left"/>
        <w:rPr>
          <w:rFonts w:ascii="Times New Roman;serif" w:hAnsi="Times New Roman;serif"/>
          <w:b/>
          <w:i/>
          <w:sz w:val="20"/>
        </w:rPr>
      </w:pPr>
      <w:r>
        <w:rPr>
          <w:rFonts w:ascii="Times New Roman;serif" w:hAnsi="Times New Roman;serif"/>
          <w:b/>
          <w:i/>
          <w:sz w:val="20"/>
        </w:rPr>
        <w:t>Recently Adopted Accounting Standards</w:t>
      </w:r>
    </w:p>
    <w:p>
      <w:pPr>
        <w:pStyle w:val="TextBody"/>
        <w:spacing w:before="120" w:after="240"/>
        <w:jc w:val="left"/>
        <w:rPr>
          <w:rFonts w:ascii="Times New Roman" w:hAnsi="Times New Roman"/>
          <w:sz w:val="20"/>
        </w:rPr>
      </w:pPr>
      <w:r>
        <w:rPr>
          <w:rFonts w:ascii="Times New Roman;serif" w:hAnsi="Times New Roman;serif"/>
          <w:b w:val="false"/>
          <w:sz w:val="20"/>
        </w:rPr>
        <w:t>In June 2016, the Financial Accounting Standards Board (FASB) issued Accounting Standards Update (ASU) No. 2016-13, Financial Instruments – Credit Losses (Topic 326): Measurement of Credit Losses on Financial Instruments (ASU 2016-13), which replaces the existing incurred loss impairment model with an expected credit loss model. This standard requires companies to recognize an allowance for credit losses on available-for-sale debt securities rather than the prior approach of recording a reduction to the carrying value of the asset. ASU 2016-13 became effective for the Company beginning January 1, 2023. The adoption</w:t>
      </w:r>
      <w:r>
        <w:rPr>
          <w:rFonts w:ascii="Times New Roman" w:hAnsi="Times New Roman"/>
          <w:sz w:val="20"/>
        </w:rPr>
        <w:t xml:space="preserve"> </w:t>
      </w:r>
      <w:r>
        <w:rPr>
          <w:rFonts w:ascii="Times New Roman;serif" w:hAnsi="Times New Roman;serif"/>
          <w:b w:val="false"/>
          <w:sz w:val="20"/>
        </w:rPr>
        <w:t>of this standard did not have a material impact on its financial statements.</w:t>
      </w:r>
    </w:p>
    <w:p>
      <w:pPr>
        <w:pStyle w:val="TextBody"/>
        <w:spacing w:before="240" w:after="0"/>
        <w:jc w:val="left"/>
        <w:rPr>
          <w:rFonts w:ascii="Times New Roman" w:hAnsi="Times New Roman"/>
          <w:b/>
          <w:sz w:val="20"/>
        </w:rPr>
      </w:pPr>
      <w:r>
        <w:rPr>
          <w:rFonts w:ascii="Times New Roman" w:hAnsi="Times New Roman"/>
          <w:b/>
          <w:sz w:val="20"/>
        </w:rPr>
        <w:t>3.</w:t>
      </w:r>
    </w:p>
    <w:p>
      <w:pPr>
        <w:pStyle w:val="TextBody"/>
        <w:spacing w:before="240" w:after="283"/>
        <w:jc w:val="left"/>
        <w:rPr>
          <w:rFonts w:ascii="Times New Roman;serif" w:hAnsi="Times New Roman;serif"/>
          <w:b/>
          <w:sz w:val="20"/>
        </w:rPr>
      </w:pPr>
      <w:r>
        <w:rPr>
          <w:rFonts w:ascii="Times New Roman;serif" w:hAnsi="Times New Roman;serif"/>
          <w:b/>
          <w:sz w:val="20"/>
        </w:rPr>
        <w:t>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1 - Inputs are unadjusted, quoted prices in active markets for identical assets or liabilities at the measurement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spacing w:before="120" w:after="0"/>
        <w:jc w:val="left"/>
        <w:rPr>
          <w:rFonts w:ascii="Times New Roman" w:hAnsi="Times New Roman"/>
          <w:sz w:val="20"/>
        </w:rPr>
      </w:pPr>
      <w:r>
        <w:rPr>
          <w:rFonts w:ascii="Times New Roman;serif" w:hAnsi="Times New Roman;serif"/>
          <w:b w:val="false"/>
          <w:sz w:val="20"/>
        </w:rPr>
        <w:t>The following tables summarize the Company’s financial assets measured at fair value on a recurring basis by level within the fair value hierarchy:</w:t>
      </w:r>
      <w:r>
        <w:rPr>
          <w:rFonts w:ascii="Times New Roman" w:hAnsi="Times New Roman"/>
          <w:sz w:val="20"/>
        </w:rPr>
        <w:t xml:space="preserve"> </w:t>
      </w:r>
    </w:p>
    <w:p>
      <w:pPr>
        <w:pStyle w:val="TextBody"/>
        <w:spacing w:before="0" w:after="0"/>
        <w:jc w:val="left"/>
        <w:rPr/>
      </w:pPr>
      <w:r>
        <w:rPr/>
        <w:t> </w:t>
      </w:r>
    </w:p>
    <w:tbl>
      <w:tblPr>
        <w:tblW w:w="8507" w:type="dxa"/>
        <w:jc w:val="left"/>
        <w:tblInd w:w="0" w:type="dxa"/>
        <w:tblCellMar>
          <w:top w:w="28" w:type="dxa"/>
          <w:left w:w="28" w:type="dxa"/>
          <w:bottom w:w="28" w:type="dxa"/>
          <w:right w:w="28" w:type="dxa"/>
        </w:tblCellMar>
      </w:tblPr>
      <w:tblGrid>
        <w:gridCol w:w="24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5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46,612</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25,604</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9,289</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38,917</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2,710</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50,177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173,503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173,383</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8507" w:type="dxa"/>
        <w:jc w:val="left"/>
        <w:tblInd w:w="0" w:type="dxa"/>
        <w:tblCellMar>
          <w:top w:w="28" w:type="dxa"/>
          <w:left w:w="28" w:type="dxa"/>
          <w:bottom w:w="28" w:type="dxa"/>
          <w:right w:w="28" w:type="dxa"/>
        </w:tblCellMar>
      </w:tblPr>
      <w:tblGrid>
        <w:gridCol w:w="24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5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20,532</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7,203</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11,968</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54,581</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25,127</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43,484</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2,678</w:t>
            </w:r>
          </w:p>
        </w:tc>
        <w:tc>
          <w:tcPr>
            <w:tcW w:w="291" w:type="dxa"/>
            <w:tcBorders/>
            <w:shd w:fill="auto" w:val="clear"/>
            <w:vAlign w:val="center"/>
          </w:tcPr>
          <w:p>
            <w:pPr>
              <w:pStyle w:val="TableContents"/>
              <w:spacing w:before="0" w:after="0"/>
              <w:ind w:left="0" w:right="0" w:firstLine="100"/>
              <w:jc w:val="left"/>
              <w:rPr/>
            </w:pPr>
            <w:r>
              <w:rPr/>
              <w:t> </w:t>
            </w:r>
          </w:p>
        </w:tc>
      </w:tr>
      <w:tr>
        <w:trPr/>
        <w:tc>
          <w:tcPr>
            <w:tcW w:w="24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Government agencies bonds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37,669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203,242</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Money market funds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fair value of available-for-sale marketable securities was $101.1</w:t>
      </w:r>
      <w:r>
        <w:rPr>
          <w:rFonts w:ascii="Times New Roman" w:hAnsi="Times New Roman"/>
          <w:sz w:val="20"/>
        </w:rPr>
        <w:t xml:space="preserve"> </w:t>
      </w:r>
      <w:r>
        <w:rPr>
          <w:rFonts w:ascii="Times New Roman;serif" w:hAnsi="Times New Roman;serif"/>
          <w:b w:val="false"/>
          <w:sz w:val="20"/>
        </w:rPr>
        <w:t>million. $75.3</w:t>
      </w:r>
      <w:r>
        <w:rPr>
          <w:rFonts w:ascii="Times New Roman" w:hAnsi="Times New Roman"/>
          <w:sz w:val="20"/>
        </w:rPr>
        <w:t xml:space="preserve"> </w:t>
      </w:r>
      <w:r>
        <w:rPr>
          <w:rFonts w:ascii="Times New Roman;serif" w:hAnsi="Times New Roman;serif"/>
          <w:b w:val="false"/>
          <w:sz w:val="20"/>
        </w:rPr>
        <w:t>million of available-for-sale marketable securities had remaining maturities of less than one year. The remaining $25.8</w:t>
      </w:r>
      <w:r>
        <w:rPr>
          <w:rFonts w:ascii="Times New Roman" w:hAnsi="Times New Roman"/>
          <w:sz w:val="20"/>
        </w:rPr>
        <w:t xml:space="preserve"> </w:t>
      </w:r>
      <w:r>
        <w:rPr>
          <w:rFonts w:ascii="Times New Roman;serif" w:hAnsi="Times New Roman;serif"/>
          <w:b w:val="false"/>
          <w:sz w:val="20"/>
        </w:rPr>
        <w:t>million of marketable securities had remaining maturities between one</w:t>
      </w:r>
      <w:r>
        <w:rPr>
          <w:rFonts w:ascii="Times New Roman" w:hAnsi="Times New Roman"/>
          <w:sz w:val="20"/>
        </w:rPr>
        <w:t xml:space="preserve"> </w:t>
      </w:r>
      <w:r>
        <w:rPr>
          <w:rFonts w:ascii="Times New Roman;serif" w:hAnsi="Times New Roman;serif"/>
          <w:b w:val="false"/>
          <w:sz w:val="20"/>
        </w:rPr>
        <w:t>and two years.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carrying amount of the Company’s remaining financial assets and liabilities, which include cash, receivables and payables, approximate their fair values due to their short-term nature.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sz w:val="20"/>
        </w:rPr>
      </w:pPr>
      <w:r>
        <w:rPr>
          <w:rFonts w:ascii="Times New Roman" w:hAnsi="Times New Roman"/>
          <w:b/>
          <w:sz w:val="20"/>
        </w:rPr>
        <w:t>4.</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Balance Sheet Components </w:t>
      </w:r>
    </w:p>
    <w:p>
      <w:pPr>
        <w:pStyle w:val="TextBody"/>
        <w:spacing w:before="240" w:after="0"/>
        <w:jc w:val="left"/>
        <w:rPr>
          <w:rFonts w:ascii="Times New Roman" w:hAnsi="Times New Roman"/>
          <w:sz w:val="20"/>
        </w:rPr>
      </w:pPr>
      <w:r>
        <w:rPr>
          <w:rFonts w:ascii="Times New Roman;serif" w:hAnsi="Times New Roman;serif"/>
          <w:b/>
          <w:i/>
          <w:sz w:val="20"/>
        </w:rPr>
        <w:t>Property and Equipment, Net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and equipment, net consists of the following:</w:t>
      </w:r>
    </w:p>
    <w:p>
      <w:pPr>
        <w:pStyle w:val="TextBody"/>
        <w:spacing w:before="0" w:after="0"/>
        <w:jc w:val="left"/>
        <w:rPr/>
      </w:pPr>
      <w:r>
        <w:rPr/>
        <w:t> </w:t>
      </w:r>
    </w:p>
    <w:tbl>
      <w:tblPr>
        <w:tblW w:w="6922" w:type="dxa"/>
        <w:jc w:val="left"/>
        <w:tblInd w:w="0" w:type="dxa"/>
        <w:tblCellMar>
          <w:top w:w="28" w:type="dxa"/>
          <w:left w:w="28" w:type="dxa"/>
          <w:bottom w:w="28" w:type="dxa"/>
          <w:right w:w="28" w:type="dxa"/>
        </w:tblCellMar>
      </w:tblPr>
      <w:tblGrid>
        <w:gridCol w:w="4111"/>
        <w:gridCol w:w="146"/>
        <w:gridCol w:w="211"/>
        <w:gridCol w:w="736"/>
        <w:gridCol w:w="166"/>
        <w:gridCol w:w="146"/>
        <w:gridCol w:w="244"/>
        <w:gridCol w:w="851"/>
        <w:gridCol w:w="311"/>
      </w:tblGrid>
      <w:tr>
        <w:trPr/>
        <w:tc>
          <w:tcPr>
            <w:tcW w:w="4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41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11" w:type="dxa"/>
            <w:tcBorders/>
            <w:shd w:fill="auto" w:val="cle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23,605</w:t>
            </w:r>
          </w:p>
        </w:tc>
        <w:tc>
          <w:tcPr>
            <w:tcW w:w="3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20,537</w:t>
            </w:r>
          </w:p>
        </w:tc>
        <w:tc>
          <w:tcPr>
            <w:tcW w:w="3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17,468</w:t>
            </w:r>
          </w:p>
        </w:tc>
        <w:tc>
          <w:tcPr>
            <w:tcW w:w="3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3,128</w:t>
            </w:r>
          </w:p>
        </w:tc>
        <w:tc>
          <w:tcPr>
            <w:tcW w:w="3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3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11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66,708</w:t>
            </w:r>
          </w:p>
        </w:tc>
        <w:tc>
          <w:tcPr>
            <w:tcW w:w="3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(15,676</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51,032</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Depreciation and amortization expense for the three months ended March 31, 2023 and 2022 was $2.1</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Accrued and Other Current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and other current liabilities consist of the following:</w:t>
      </w:r>
    </w:p>
    <w:p>
      <w:pPr>
        <w:pStyle w:val="TextBody"/>
        <w:spacing w:before="0" w:after="0"/>
        <w:jc w:val="left"/>
        <w:rPr/>
      </w:pPr>
      <w:r>
        <w:rPr/>
        <w:t> </w:t>
      </w:r>
    </w:p>
    <w:tbl>
      <w:tblPr>
        <w:tblW w:w="6415" w:type="dxa"/>
        <w:jc w:val="left"/>
        <w:tblInd w:w="0" w:type="dxa"/>
        <w:tblCellMar>
          <w:top w:w="28" w:type="dxa"/>
          <w:left w:w="28" w:type="dxa"/>
          <w:bottom w:w="28" w:type="dxa"/>
          <w:right w:w="28" w:type="dxa"/>
        </w:tblCellMar>
      </w:tblPr>
      <w:tblGrid>
        <w:gridCol w:w="3736"/>
        <w:gridCol w:w="146"/>
        <w:gridCol w:w="230"/>
        <w:gridCol w:w="625"/>
        <w:gridCol w:w="146"/>
        <w:gridCol w:w="146"/>
        <w:gridCol w:w="260"/>
        <w:gridCol w:w="835"/>
        <w:gridCol w:w="291"/>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related expenses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6,299</w:t>
            </w:r>
          </w:p>
        </w:tc>
        <w:tc>
          <w:tcPr>
            <w:tcW w:w="2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2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ESPP deduction liability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services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2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2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10,664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 w:hAnsi="Times New Roman"/>
          <w:b/>
          <w:sz w:val="20"/>
        </w:rPr>
      </w:pPr>
      <w:r>
        <w:rPr>
          <w:rFonts w:ascii="Times New Roman" w:hAnsi="Times New Roman"/>
          <w:b/>
          <w:sz w:val="20"/>
        </w:rPr>
        <w:t>5.</w:t>
      </w:r>
    </w:p>
    <w:p>
      <w:pPr>
        <w:pStyle w:val="TextBody"/>
        <w:spacing w:before="240" w:after="283"/>
        <w:jc w:val="left"/>
        <w:rPr>
          <w:rFonts w:ascii="Times New Roman;serif" w:hAnsi="Times New Roman;serif"/>
          <w:b/>
          <w:sz w:val="20"/>
        </w:rPr>
      </w:pPr>
      <w:r>
        <w:rPr>
          <w:rFonts w:ascii="Times New Roman;serif" w:hAnsi="Times New Roman;serif"/>
          <w:b/>
          <w:sz w:val="20"/>
        </w:rPr>
        <w:t>License Agreements</w:t>
      </w:r>
    </w:p>
    <w:p>
      <w:pPr>
        <w:pStyle w:val="TextBody"/>
        <w:spacing w:before="240" w:after="0"/>
        <w:jc w:val="left"/>
        <w:rPr>
          <w:rFonts w:ascii="Times New Roman;serif" w:hAnsi="Times New Roman;serif"/>
          <w:b/>
          <w:i/>
          <w:sz w:val="20"/>
        </w:rPr>
      </w:pPr>
      <w:r>
        <w:rPr>
          <w:rFonts w:ascii="Times New Roman;serif" w:hAnsi="Times New Roman;serif"/>
          <w:b/>
          <w:i/>
          <w:sz w:val="20"/>
        </w:rPr>
        <w:t>Gladstone License Agreement</w:t>
      </w:r>
    </w:p>
    <w:p>
      <w:pPr>
        <w:pStyle w:val="TextBody"/>
        <w:spacing w:before="120" w:after="0"/>
        <w:jc w:val="left"/>
        <w:rPr>
          <w:rFonts w:ascii="Times New Roman" w:hAnsi="Times New Roman"/>
          <w:sz w:val="20"/>
        </w:rPr>
      </w:pPr>
      <w:r>
        <w:rPr>
          <w:rFonts w:ascii="Times New Roman;serif" w:hAnsi="Times New Roman;serif"/>
          <w:b w:val="false"/>
          <w:sz w:val="20"/>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w:t>
      </w:r>
      <w:r>
        <w:rPr>
          <w:rFonts w:ascii="Times New Roman" w:hAnsi="Times New Roman"/>
          <w:sz w:val="20"/>
        </w:rPr>
        <w:t xml:space="preserve"> </w:t>
      </w:r>
      <w:r>
        <w:rPr>
          <w:rFonts w:ascii="Times New Roman;serif" w:hAnsi="Times New Roman;serif"/>
          <w:b w:val="false"/>
          <w:sz w:val="20"/>
        </w:rPr>
        <w:t>up to $0.1</w:t>
      </w:r>
      <w:r>
        <w:rPr>
          <w:rFonts w:ascii="Times New Roman" w:hAnsi="Times New Roman"/>
          <w:sz w:val="20"/>
        </w:rPr>
        <w:t xml:space="preserve"> </w:t>
      </w:r>
      <w:r>
        <w:rPr>
          <w:rFonts w:ascii="Times New Roman;serif" w:hAnsi="Times New Roman;serif"/>
          <w:b w:val="false"/>
          <w:sz w:val="20"/>
        </w:rPr>
        <w:t>million per year, which will be creditable against royalties paid in the following twelve month period, (ii) milestone payments up to $4.1</w:t>
      </w:r>
      <w:r>
        <w:rPr>
          <w:rFonts w:ascii="Times New Roman" w:hAnsi="Times New Roman"/>
          <w:sz w:val="20"/>
        </w:rPr>
        <w:t xml:space="preserve"> </w:t>
      </w:r>
      <w:r>
        <w:rPr>
          <w:rFonts w:ascii="Times New Roman;serif" w:hAnsi="Times New Roman;serif"/>
          <w:b w:val="false"/>
          <w:sz w:val="20"/>
        </w:rPr>
        <w:t>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w:t>
      </w:r>
      <w:r>
        <w:rPr>
          <w:rFonts w:ascii="Times New Roman" w:hAnsi="Times New Roman"/>
          <w:sz w:val="20"/>
        </w:rPr>
        <w:t xml:space="preserve"> </w:t>
      </w:r>
      <w:r>
        <w:rPr>
          <w:rFonts w:ascii="Times New Roman;serif" w:hAnsi="Times New Roman;serif"/>
          <w:b w:val="false"/>
          <w:sz w:val="20"/>
        </w:rPr>
        <w:t>to $100,000</w:t>
      </w:r>
      <w:r>
        <w:rPr>
          <w:rFonts w:ascii="Times New Roman" w:hAnsi="Times New Roman"/>
          <w:sz w:val="20"/>
        </w:rPr>
        <w:t xml:space="preserve"> </w:t>
      </w:r>
      <w:r>
        <w:rPr>
          <w:rFonts w:ascii="Times New Roman;serif" w:hAnsi="Times New Roman;serif"/>
          <w:b w:val="false"/>
          <w:sz w:val="20"/>
        </w:rPr>
        <w:t>to extend the deadline for its diligence milestone obligations for up to four</w:t>
      </w:r>
      <w:r>
        <w:rPr>
          <w:rFonts w:ascii="Times New Roman" w:hAnsi="Times New Roman"/>
          <w:sz w:val="20"/>
        </w:rPr>
        <w:t xml:space="preserve"> </w:t>
      </w:r>
      <w:r>
        <w:rPr>
          <w:rFonts w:ascii="Times New Roman;serif" w:hAnsi="Times New Roman;serif"/>
          <w:b w:val="false"/>
          <w:sz w:val="20"/>
        </w:rPr>
        <w:t>additional one-year</w:t>
      </w:r>
      <w:r>
        <w:rPr>
          <w:rFonts w:ascii="Times New Roman" w:hAnsi="Times New Roman"/>
          <w:sz w:val="20"/>
        </w:rPr>
        <w:t xml:space="preserve"> </w:t>
      </w:r>
      <w:r>
        <w:rPr>
          <w:rFonts w:ascii="Times New Roman;serif" w:hAnsi="Times New Roman;serif"/>
          <w:b w:val="false"/>
          <w:sz w:val="20"/>
        </w:rPr>
        <w:t>terms. Dr. Deepak Srivastava, M.D., a member of the Company’s board of directors, serves as President of Gladstone. As of March 31, 2023, the Company has not recognized any milestone and royalty payments under the Gladstone License Agreement.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and 2022, there were no material amounts recorded related to annual license fees payable pursuant to the Gladstone License Agreement.</w:t>
      </w:r>
    </w:p>
    <w:p>
      <w:pPr>
        <w:pStyle w:val="TextBody"/>
        <w:spacing w:before="240" w:after="0"/>
        <w:jc w:val="left"/>
        <w:rPr>
          <w:rFonts w:ascii="Times New Roman;serif" w:hAnsi="Times New Roman;serif"/>
          <w:b/>
          <w:i/>
          <w:sz w:val="20"/>
        </w:rPr>
      </w:pPr>
      <w:r>
        <w:rPr>
          <w:rFonts w:ascii="Times New Roman;serif" w:hAnsi="Times New Roman;serif"/>
          <w:b/>
          <w:i/>
          <w:sz w:val="20"/>
        </w:rPr>
        <w:t>University of Texas Southwestern License Agreements</w:t>
      </w:r>
    </w:p>
    <w:p>
      <w:pPr>
        <w:pStyle w:val="TextBody"/>
        <w:spacing w:before="120" w:after="0"/>
        <w:jc w:val="left"/>
        <w:rPr>
          <w:rFonts w:ascii="Times New Roman" w:hAnsi="Times New Roman"/>
          <w:sz w:val="20"/>
        </w:rPr>
      </w:pPr>
      <w:r>
        <w:rPr>
          <w:rFonts w:ascii="Times New Roman;serif" w:hAnsi="Times New Roman;serif"/>
          <w:b w:val="false"/>
          <w:sz w:val="20"/>
        </w:rPr>
        <w:t>In January 2020, the Company entered into a license agreement with the University of Texas Southwestern (UTSW License), pursuant to which UTSW granted the Company a royalty-bearing exclusive and sublicensable patent license and a non-exclusive,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non-sublicensable license for certain materials. Under the UTSW License, the Company is obligated to pay UTSW (i) a non-refundable upfront license fee of $0.1</w:t>
      </w:r>
      <w:r>
        <w:rPr>
          <w:rFonts w:ascii="Times New Roman" w:hAnsi="Times New Roman"/>
          <w:sz w:val="20"/>
        </w:rPr>
        <w:t xml:space="preserve"> </w:t>
      </w:r>
      <w:r>
        <w:rPr>
          <w:rFonts w:ascii="Times New Roman;serif" w:hAnsi="Times New Roman;serif"/>
          <w:b w:val="false"/>
          <w:sz w:val="20"/>
        </w:rPr>
        <w:t>million, (ii) milestone payments up to a total of $14.8</w:t>
      </w:r>
      <w:r>
        <w:rPr>
          <w:rFonts w:ascii="Times New Roman" w:hAnsi="Times New Roman"/>
          <w:sz w:val="20"/>
        </w:rPr>
        <w:t xml:space="preserve"> </w:t>
      </w:r>
      <w:r>
        <w:rPr>
          <w:rFonts w:ascii="Times New Roman;serif" w:hAnsi="Times New Roman;serif"/>
          <w:b w:val="false"/>
          <w:sz w:val="20"/>
        </w:rPr>
        <w:t>million in aggregate, which are contingent upon achieving specific development and commercialization milestone events, and (iii) royalties on future net sales of each royalty-bearing product ranging in the low-single digits. As of March 31, 2023, the Company has not recognized any milestone and royalty payments under the UTSW License.</w:t>
      </w:r>
    </w:p>
    <w:p>
      <w:pPr>
        <w:pStyle w:val="TextBody"/>
        <w:spacing w:before="240" w:after="0"/>
        <w:jc w:val="left"/>
        <w:rPr>
          <w:rFonts w:ascii="Times New Roman;serif" w:hAnsi="Times New Roman;serif"/>
          <w:b/>
          <w:i/>
          <w:sz w:val="20"/>
        </w:rPr>
      </w:pPr>
      <w:r>
        <w:rPr>
          <w:rFonts w:ascii="Times New Roman;serif" w:hAnsi="Times New Roman;serif"/>
          <w:b/>
          <w:i/>
          <w:sz w:val="20"/>
        </w:rPr>
        <w:t>Other License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Company has other license agreements with various institutions and business entities, none of which are material individually or in the aggregate.</w:t>
      </w:r>
    </w:p>
    <w:p>
      <w:pPr>
        <w:pStyle w:val="TextBody"/>
        <w:spacing w:before="240" w:after="0"/>
        <w:jc w:val="left"/>
        <w:rPr>
          <w:rFonts w:ascii="Times New Roman" w:hAnsi="Times New Roman"/>
          <w:b/>
          <w:sz w:val="20"/>
        </w:rPr>
      </w:pPr>
      <w:r>
        <w:rPr>
          <w:rFonts w:ascii="Times New Roman" w:hAnsi="Times New Roman"/>
          <w:b/>
          <w:sz w:val="20"/>
        </w:rPr>
        <w:t>6.</w:t>
      </w:r>
    </w:p>
    <w:p>
      <w:pPr>
        <w:pStyle w:val="TextBody"/>
        <w:spacing w:before="240" w:after="283"/>
        <w:jc w:val="left"/>
        <w:rPr>
          <w:rFonts w:ascii="Times New Roman;serif" w:hAnsi="Times New Roman;serif"/>
          <w:b/>
          <w:sz w:val="20"/>
        </w:rPr>
      </w:pPr>
      <w:r>
        <w:rPr>
          <w:rFonts w:ascii="Times New Roman;serif" w:hAnsi="Times New Roman;serif"/>
          <w:b/>
          <w:sz w:val="20"/>
        </w:rPr>
        <w:t>Commitments and Contingencies</w:t>
      </w:r>
    </w:p>
    <w:p>
      <w:pPr>
        <w:pStyle w:val="TextBody"/>
        <w:spacing w:before="240" w:after="0"/>
        <w:jc w:val="left"/>
        <w:rPr>
          <w:rFonts w:ascii="Times New Roman" w:hAnsi="Times New Roman"/>
          <w:sz w:val="20"/>
        </w:rPr>
      </w:pPr>
      <w:r>
        <w:rPr>
          <w:rFonts w:ascii="Times New Roman;serif" w:hAnsi="Times New Roman;serif"/>
          <w:b/>
          <w:i/>
          <w:sz w:val="20"/>
        </w:rPr>
        <w:t>Facility 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December 2016, the Company entered into a lease agreement for office and laboratory space in South San Francisco, California. The lease expires in May 2025</w:t>
      </w:r>
      <w:r>
        <w:rPr>
          <w:rFonts w:ascii="Times New Roman" w:hAnsi="Times New Roman"/>
          <w:sz w:val="20"/>
        </w:rPr>
        <w:t xml:space="preserve"> </w:t>
      </w:r>
      <w:r>
        <w:rPr>
          <w:rFonts w:ascii="Times New Roman;serif" w:hAnsi="Times New Roman;serif"/>
          <w:b w:val="false"/>
          <w:sz w:val="20"/>
        </w:rPr>
        <w:t>and the Company may renew the lease term for two</w:t>
      </w:r>
      <w:r>
        <w:rPr>
          <w:rFonts w:ascii="Times New Roman" w:hAnsi="Times New Roman"/>
          <w:sz w:val="20"/>
        </w:rPr>
        <w:t xml:space="preserve"> </w:t>
      </w:r>
      <w:r>
        <w:rPr>
          <w:rFonts w:ascii="Times New Roman;serif" w:hAnsi="Times New Roman;serif"/>
          <w:b w:val="false"/>
          <w:sz w:val="20"/>
        </w:rPr>
        <w:t>additional five-year</w:t>
      </w:r>
      <w:r>
        <w:rPr>
          <w:rFonts w:ascii="Times New Roman" w:hAnsi="Times New Roman"/>
          <w:sz w:val="20"/>
        </w:rPr>
        <w:t xml:space="preserve"> </w:t>
      </w:r>
      <w:r>
        <w:rPr>
          <w:rFonts w:ascii="Times New Roman;serif" w:hAnsi="Times New Roman;serif"/>
          <w:b w:val="false"/>
          <w:sz w:val="20"/>
        </w:rPr>
        <w:t>periods.</w:t>
      </w:r>
    </w:p>
    <w:p>
      <w:pPr>
        <w:pStyle w:val="TextBody"/>
        <w:spacing w:before="120" w:after="0"/>
        <w:jc w:val="left"/>
        <w:rPr>
          <w:rFonts w:ascii="Times New Roman" w:hAnsi="Times New Roman"/>
          <w:sz w:val="20"/>
        </w:rPr>
      </w:pPr>
      <w:r>
        <w:rPr>
          <w:rFonts w:ascii="Times New Roman;serif" w:hAnsi="Times New Roman;serif"/>
          <w:b w:val="false"/>
          <w:sz w:val="20"/>
        </w:rPr>
        <w:t>In February 2021, the Company entered into a lease agreement for the Union City Facility. The lease commenced in May 2021</w:t>
      </w:r>
      <w:r>
        <w:rPr>
          <w:rFonts w:ascii="Times New Roman" w:hAnsi="Times New Roman"/>
          <w:sz w:val="20"/>
        </w:rPr>
        <w:t xml:space="preserve"> </w:t>
      </w:r>
      <w:r>
        <w:rPr>
          <w:rFonts w:ascii="Times New Roman;serif" w:hAnsi="Times New Roman;serif"/>
          <w:b w:val="false"/>
          <w:sz w:val="20"/>
        </w:rPr>
        <w:t>and has a ten-year</w:t>
      </w:r>
      <w:r>
        <w:rPr>
          <w:rFonts w:ascii="Times New Roman" w:hAnsi="Times New Roman"/>
          <w:sz w:val="20"/>
        </w:rPr>
        <w:t xml:space="preserve"> </w:t>
      </w:r>
      <w:r>
        <w:rPr>
          <w:rFonts w:ascii="Times New Roman;serif" w:hAnsi="Times New Roman;serif"/>
          <w:b w:val="false"/>
          <w:sz w:val="20"/>
        </w:rPr>
        <w:t>term with one</w:t>
      </w:r>
      <w:r>
        <w:rPr>
          <w:rFonts w:ascii="Times New Roman" w:hAnsi="Times New Roman"/>
          <w:sz w:val="20"/>
        </w:rPr>
        <w:t xml:space="preserve"> </w:t>
      </w:r>
      <w:r>
        <w:rPr>
          <w:rFonts w:ascii="Times New Roman;serif" w:hAnsi="Times New Roman;serif"/>
          <w:b w:val="false"/>
          <w:sz w:val="20"/>
        </w:rPr>
        <w:t>five-year</w:t>
      </w:r>
      <w:r>
        <w:rPr>
          <w:rFonts w:ascii="Times New Roman" w:hAnsi="Times New Roman"/>
          <w:sz w:val="20"/>
        </w:rPr>
        <w:t xml:space="preserve"> </w:t>
      </w:r>
      <w:r>
        <w:rPr>
          <w:rFonts w:ascii="Times New Roman;serif" w:hAnsi="Times New Roman;serif"/>
          <w:b w:val="false"/>
          <w:sz w:val="20"/>
        </w:rPr>
        <w:t>renewal option. Upon the execution of the lease agreement, the Company provided the landlord with a refundable security deposit of $3.3</w:t>
      </w:r>
      <w:r>
        <w:rPr>
          <w:rFonts w:ascii="Times New Roman" w:hAnsi="Times New Roman"/>
          <w:sz w:val="20"/>
        </w:rPr>
        <w:t xml:space="preserve"> </w:t>
      </w:r>
      <w:r>
        <w:rPr>
          <w:rFonts w:ascii="Times New Roman;serif" w:hAnsi="Times New Roman;serif"/>
          <w:b w:val="false"/>
          <w:sz w:val="20"/>
        </w:rPr>
        <w:t>million, which was included in other noncurrent assets on the balance sheets.</w:t>
      </w:r>
    </w:p>
    <w:p>
      <w:pPr>
        <w:pStyle w:val="TextBody"/>
        <w:spacing w:before="120" w:after="0"/>
        <w:jc w:val="left"/>
        <w:rPr>
          <w:rFonts w:ascii="Times New Roman" w:hAnsi="Times New Roman"/>
          <w:sz w:val="20"/>
        </w:rPr>
      </w:pPr>
      <w:r>
        <w:rPr>
          <w:rFonts w:ascii="Times New Roman;serif" w:hAnsi="Times New Roman;serif"/>
          <w:b w:val="false"/>
          <w:sz w:val="20"/>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related to operating lease activity during the three and three months ended March 31, 2023 was as follows (in thousands):</w:t>
      </w:r>
    </w:p>
    <w:tbl>
      <w:tblPr>
        <w:tblW w:w="8199" w:type="dxa"/>
        <w:jc w:val="left"/>
        <w:tblInd w:w="0" w:type="dxa"/>
        <w:tblCellMar>
          <w:top w:w="28" w:type="dxa"/>
          <w:left w:w="28" w:type="dxa"/>
          <w:bottom w:w="28" w:type="dxa"/>
          <w:right w:w="28" w:type="dxa"/>
        </w:tblCellMar>
      </w:tblPr>
      <w:tblGrid>
        <w:gridCol w:w="5806"/>
        <w:gridCol w:w="146"/>
        <w:gridCol w:w="211"/>
        <w:gridCol w:w="571"/>
        <w:gridCol w:w="146"/>
        <w:gridCol w:w="146"/>
        <w:gridCol w:w="211"/>
        <w:gridCol w:w="571"/>
        <w:gridCol w:w="391"/>
      </w:tblGrid>
      <w:tr>
        <w:trPr/>
        <w:tc>
          <w:tcPr>
            <w:tcW w:w="5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391" w:type="dxa"/>
            <w:tcBorders/>
            <w:shd w:fill="auto" w:val="cle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391" w:type="dxa"/>
            <w:tcBorders/>
            <w:shd w:fill="auto" w:val="cle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8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leases included in operating cash outflows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1,366</w:t>
            </w:r>
          </w:p>
        </w:tc>
        <w:tc>
          <w:tcPr>
            <w:tcW w:w="391" w:type="dxa"/>
            <w:tcBorders/>
            <w:shd w:fill="auto" w:val="cle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Company’s operating leases had a weighted average remaining lease term of 5.5</w:t>
      </w:r>
      <w:r>
        <w:rPr>
          <w:rFonts w:ascii="Times New Roman" w:hAnsi="Times New Roman"/>
          <w:sz w:val="20"/>
        </w:rPr>
        <w:t xml:space="preserve"> </w:t>
      </w:r>
      <w:r>
        <w:rPr>
          <w:rFonts w:ascii="Times New Roman;serif" w:hAnsi="Times New Roman;serif"/>
          <w:b w:val="false"/>
          <w:sz w:val="20"/>
        </w:rPr>
        <w:t xml:space="preserve">years and a weighted average discount rate of 9.4%. Future minimum lease payments under the Company’s operating leases as of March 31, 2023 were as follows: </w:t>
      </w:r>
    </w:p>
    <w:p>
      <w:pPr>
        <w:pStyle w:val="TextBody"/>
        <w:spacing w:before="0" w:after="0"/>
        <w:jc w:val="left"/>
        <w:rPr/>
      </w:pPr>
      <w:r>
        <w:rPr/>
        <w:t> </w:t>
      </w:r>
    </w:p>
    <w:tbl>
      <w:tblPr>
        <w:tblW w:w="6013" w:type="dxa"/>
        <w:jc w:val="left"/>
        <w:tblInd w:w="0" w:type="dxa"/>
        <w:tblCellMar>
          <w:top w:w="28" w:type="dxa"/>
          <w:left w:w="28" w:type="dxa"/>
          <w:bottom w:w="28" w:type="dxa"/>
          <w:right w:w="28" w:type="dxa"/>
        </w:tblCellMar>
      </w:tblPr>
      <w:tblGrid>
        <w:gridCol w:w="4336"/>
        <w:gridCol w:w="146"/>
        <w:gridCol w:w="271"/>
        <w:gridCol w:w="869"/>
        <w:gridCol w:w="391"/>
      </w:tblGrid>
      <w:tr>
        <w:trPr/>
        <w:tc>
          <w:tcPr>
            <w:tcW w:w="4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9 months)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3,908</w:t>
            </w:r>
          </w:p>
        </w:tc>
        <w:tc>
          <w:tcPr>
            <w:tcW w:w="39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3,910</w:t>
            </w:r>
          </w:p>
        </w:tc>
        <w:tc>
          <w:tcPr>
            <w:tcW w:w="39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2,445</w:t>
            </w:r>
          </w:p>
        </w:tc>
        <w:tc>
          <w:tcPr>
            <w:tcW w:w="39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1,386</w:t>
            </w:r>
          </w:p>
        </w:tc>
        <w:tc>
          <w:tcPr>
            <w:tcW w:w="39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1,428</w:t>
            </w:r>
          </w:p>
        </w:tc>
        <w:tc>
          <w:tcPr>
            <w:tcW w:w="39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3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undiscounted future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18,554</w:t>
            </w:r>
          </w:p>
        </w:tc>
        <w:tc>
          <w:tcPr>
            <w:tcW w:w="391" w:type="dxa"/>
            <w:tcBorders/>
            <w:shd w:fill="auto" w:val="clear"/>
            <w:vAlign w:val="center"/>
          </w:tcPr>
          <w:p>
            <w:pPr>
              <w:pStyle w:val="TableContents"/>
              <w:spacing w:before="0" w:after="0"/>
              <w:ind w:left="0" w:right="0" w:firstLine="200"/>
              <w:jc w:val="left"/>
              <w:rPr/>
            </w:pPr>
            <w:r>
              <w:rPr/>
              <w:t> </w:t>
            </w:r>
          </w:p>
        </w:tc>
      </w:tr>
      <w:tr>
        <w:trPr/>
        <w:tc>
          <w:tcPr>
            <w:tcW w:w="43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Imputed interest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Asset Retirement Obligation</w:t>
      </w:r>
    </w:p>
    <w:p>
      <w:pPr>
        <w:pStyle w:val="TextBody"/>
        <w:spacing w:before="120" w:after="0"/>
        <w:jc w:val="left"/>
        <w:rPr>
          <w:rFonts w:ascii="Times New Roman" w:hAnsi="Times New Roman"/>
          <w:sz w:val="20"/>
        </w:rPr>
      </w:pPr>
      <w:r>
        <w:rPr>
          <w:rFonts w:ascii="Times New Roman;serif" w:hAnsi="Times New Roman;serif"/>
          <w:b w:val="false"/>
          <w:sz w:val="20"/>
        </w:rPr>
        <w:t>Under the lease agreement for the manufacturing and office facility in Union City, the Company is contractually obligated to remove constructed leasehold improvements related to capitalized machinery and equipment (see Note 4) and to restore the leased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space to its original condition upon termination of the lease agreement. As of March 31, 2023, the balance of the asset retirement obligation liability was not material.</w:t>
      </w:r>
    </w:p>
    <w:p>
      <w:pPr>
        <w:pStyle w:val="TextBody"/>
        <w:spacing w:before="240" w:after="0"/>
        <w:jc w:val="left"/>
        <w:rPr>
          <w:rFonts w:ascii="Times New Roman;serif" w:hAnsi="Times New Roman;serif"/>
          <w:b/>
          <w:i/>
          <w:sz w:val="20"/>
        </w:rPr>
      </w:pPr>
      <w:r>
        <w:rPr>
          <w:rFonts w:ascii="Times New Roman;serif" w:hAnsi="Times New Roman;serif"/>
          <w:b/>
          <w:i/>
          <w:sz w:val="20"/>
        </w:rPr>
        <w:t>Purchase Commitments</w:t>
      </w:r>
    </w:p>
    <w:p>
      <w:pPr>
        <w:pStyle w:val="TextBody"/>
        <w:spacing w:before="120" w:after="0"/>
        <w:jc w:val="left"/>
        <w:rPr>
          <w:rFonts w:ascii="Times New Roman" w:hAnsi="Times New Roman"/>
          <w:sz w:val="20"/>
        </w:rPr>
      </w:pPr>
      <w:r>
        <w:rPr>
          <w:rFonts w:ascii="Times New Roman;serif" w:hAnsi="Times New Roman;serif"/>
          <w:b w:val="false"/>
          <w:sz w:val="20"/>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Indemnification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consolidated financial statements indicates that it is probable that a liability had been incurred at the date of the consolidated financial statements and (ii) the range of loss can be reasonably estimated. The Company was not involved in any material litigation as of March 31, 2023.</w:t>
      </w:r>
    </w:p>
    <w:p>
      <w:pPr>
        <w:pStyle w:val="TextBody"/>
        <w:spacing w:before="120" w:after="0"/>
        <w:jc w:val="left"/>
        <w:rPr>
          <w:rFonts w:ascii="Times New Roman" w:hAnsi="Times New Roman"/>
          <w:sz w:val="20"/>
        </w:rPr>
      </w:pPr>
      <w:r>
        <w:rPr>
          <w:rFonts w:ascii="Times New Roman;serif" w:hAnsi="Times New Roman;serif"/>
          <w:b w:val="false"/>
          <w:sz w:val="20"/>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March 31, 2023, the Company did not have any material indemnification claims that were probable or reasonably possible and, consequently, has not recorded any related liabilities.</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7.</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Stock-Based Compensation </w:t>
      </w:r>
    </w:p>
    <w:p>
      <w:pPr>
        <w:pStyle w:val="TextBody"/>
        <w:spacing w:before="120" w:after="0"/>
        <w:jc w:val="left"/>
        <w:rPr>
          <w:rFonts w:ascii="Times New Roman" w:hAnsi="Times New Roman"/>
          <w:sz w:val="20"/>
        </w:rPr>
      </w:pPr>
      <w:r>
        <w:rPr>
          <w:rFonts w:ascii="Times New Roman;serif" w:hAnsi="Times New Roman;serif"/>
          <w:b/>
          <w:i/>
          <w:sz w:val="20"/>
        </w:rPr>
        <w:t>2021 Equity Incentive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July 2021, the Company adopted the 2021 Equity Incentive Plan (2021 Plan), which became effective in connection with the initial public offering (IPO). Under the 2021 Plan, 4,000,000</w:t>
      </w:r>
      <w:r>
        <w:rPr>
          <w:rFonts w:ascii="Times New Roman" w:hAnsi="Times New Roman"/>
          <w:sz w:val="20"/>
        </w:rPr>
        <w:t xml:space="preserve"> </w:t>
      </w:r>
      <w:r>
        <w:rPr>
          <w:rFonts w:ascii="Times New Roman;serif" w:hAnsi="Times New Roman;serif"/>
          <w:b w:val="false"/>
          <w:sz w:val="20"/>
        </w:rPr>
        <w:t>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w:t>
      </w:r>
      <w:r>
        <w:rPr>
          <w:rFonts w:ascii="Times New Roman" w:hAnsi="Times New Roman"/>
          <w:sz w:val="20"/>
        </w:rPr>
        <w:t xml:space="preserve"> </w:t>
      </w:r>
      <w:r>
        <w:rPr>
          <w:rFonts w:ascii="Times New Roman;serif" w:hAnsi="Times New Roman;serif"/>
          <w:b w:val="false"/>
          <w:sz w:val="20"/>
        </w:rPr>
        <w:t>shares; 4% of the outstanding shares of the Company’s common stock as of the last day of the immediately preceding year; or such other amount as the board of directors may determine. In addition, the Company’s 2016 Equity Incentive Plan (2016 Plan) was terminated in connection with the IPO. Shares subject to awards granted under the 2016 Plan that are repurchased by or forfeited to the Company will be reserved for issuance under the 2021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shares reserved and available for grant under the 2021 Plan as of March 31, 2023 are 1,519,594.</w:t>
      </w:r>
    </w:p>
    <w:p>
      <w:pPr>
        <w:pStyle w:val="TextBody"/>
        <w:spacing w:before="240" w:after="0"/>
        <w:jc w:val="left"/>
        <w:rPr>
          <w:rFonts w:ascii="Times New Roman" w:hAnsi="Times New Roman"/>
          <w:sz w:val="20"/>
        </w:rPr>
      </w:pPr>
      <w:r>
        <w:rPr>
          <w:rFonts w:ascii="Times New Roman;serif" w:hAnsi="Times New Roman;serif"/>
          <w:b/>
          <w:i/>
          <w:sz w:val="20"/>
        </w:rPr>
        <w:t>Stock Option Activity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stock option activity:</w:t>
      </w:r>
    </w:p>
    <w:p>
      <w:pPr>
        <w:pStyle w:val="TextBody"/>
        <w:spacing w:before="0" w:after="0"/>
        <w:jc w:val="left"/>
        <w:rPr/>
      </w:pPr>
      <w:r>
        <w:rPr/>
        <w:t> </w:t>
      </w:r>
    </w:p>
    <w:tbl>
      <w:tblPr>
        <w:tblW w:w="5992" w:type="dxa"/>
        <w:jc w:val="left"/>
        <w:tblInd w:w="0" w:type="dxa"/>
        <w:tblCellMar>
          <w:top w:w="28" w:type="dxa"/>
          <w:left w:w="28" w:type="dxa"/>
          <w:bottom w:w="28" w:type="dxa"/>
          <w:right w:w="28" w:type="dxa"/>
        </w:tblCellMar>
      </w:tblPr>
      <w:tblGrid>
        <w:gridCol w:w="3166"/>
        <w:gridCol w:w="146"/>
        <w:gridCol w:w="146"/>
        <w:gridCol w:w="931"/>
        <w:gridCol w:w="166"/>
        <w:gridCol w:w="146"/>
        <w:gridCol w:w="242"/>
        <w:gridCol w:w="658"/>
        <w:gridCol w:w="3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dollars)</w:t>
            </w:r>
          </w:p>
        </w:tc>
        <w:tc>
          <w:tcPr>
            <w:tcW w:w="39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5,210,182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391" w:type="dxa"/>
            <w:tcBorders/>
            <w:shd w:fill="auto" w:val="clear"/>
            <w:vAlign w:val="center"/>
          </w:tcPr>
          <w:p>
            <w:pPr>
              <w:pStyle w:val="TableContents"/>
              <w:spacing w:before="0" w:after="0"/>
              <w:ind w:left="0" w:right="0" w:firstLine="200"/>
              <w:jc w:val="lef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2,628,336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391" w:type="dxa"/>
            <w:tcBorders/>
            <w:shd w:fill="auto" w:val="clear"/>
            <w:vAlign w:val="center"/>
          </w:tcPr>
          <w:p>
            <w:pPr>
              <w:pStyle w:val="TableContents"/>
              <w:spacing w:before="0" w:after="0"/>
              <w:ind w:left="0" w:right="0" w:firstLine="200"/>
              <w:jc w:val="lef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7,783,078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240"/>
        <w:jc w:val="left"/>
        <w:rPr>
          <w:rFonts w:ascii="Times New Roman" w:hAnsi="Times New Roman"/>
          <w:sz w:val="20"/>
        </w:rPr>
      </w:pPr>
      <w:r>
        <w:rPr>
          <w:rFonts w:ascii="Times New Roman;serif" w:hAnsi="Times New Roman;serif"/>
          <w:b w:val="false"/>
          <w:sz w:val="20"/>
        </w:rPr>
        <w:t>Stock option awards granted to employees generally vest over a four-year</w:t>
      </w:r>
      <w:r>
        <w:rPr>
          <w:rFonts w:ascii="Times New Roman" w:hAnsi="Times New Roman"/>
          <w:sz w:val="20"/>
        </w:rPr>
        <w:t xml:space="preserve"> </w:t>
      </w:r>
      <w:r>
        <w:rPr>
          <w:rFonts w:ascii="Times New Roman;serif" w:hAnsi="Times New Roman;serif"/>
          <w:b w:val="false"/>
          <w:sz w:val="20"/>
        </w:rPr>
        <w:t>period. The contractual term of stock option awards is generally 10 years</w:t>
      </w:r>
      <w:r>
        <w:rPr>
          <w:rFonts w:ascii="Times New Roman" w:hAnsi="Times New Roman"/>
          <w:sz w:val="20"/>
        </w:rPr>
        <w:t xml:space="preserve"> </w:t>
      </w:r>
      <w:r>
        <w:rPr>
          <w:rFonts w:ascii="Times New Roman;serif" w:hAnsi="Times New Roman;serif"/>
          <w:b w:val="false"/>
          <w:sz w:val="20"/>
        </w:rPr>
        <w:t>from the grant date.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Stock Option Valuation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fair value of the Company’s stock option awards is estimated on the date of grant using the Black-Scholes option pricing model using the following assumptions:</w:t>
      </w:r>
      <w:r>
        <w:rPr>
          <w:rFonts w:ascii="Times New Roman" w:hAnsi="Times New Roman"/>
          <w:sz w:val="20"/>
        </w:rPr>
        <w:t xml:space="preserve"> </w:t>
      </w:r>
    </w:p>
    <w:tbl>
      <w:tblPr>
        <w:tblW w:w="4750" w:type="dxa"/>
        <w:jc w:val="left"/>
        <w:tblInd w:w="0" w:type="dxa"/>
        <w:tblCellMar>
          <w:top w:w="28" w:type="dxa"/>
          <w:left w:w="28" w:type="dxa"/>
          <w:bottom w:w="28" w:type="dxa"/>
          <w:right w:w="28" w:type="dxa"/>
        </w:tblCellMar>
      </w:tblPr>
      <w:tblGrid>
        <w:gridCol w:w="2131"/>
        <w:gridCol w:w="146"/>
        <w:gridCol w:w="1141"/>
        <w:gridCol w:w="146"/>
        <w:gridCol w:w="118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xml:space="preserve"> – </w:t>
            </w:r>
            <w:r>
              <w:rPr>
                <w:rFonts w:ascii="Times New Roman;serif" w:hAnsi="Times New Roman;serif"/>
                <w:b w:val="false"/>
                <w:sz w:val="20"/>
              </w:rPr>
              <w:t>6.1</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xml:space="preserve"> – </w:t>
            </w:r>
            <w:r>
              <w:rPr>
                <w:rFonts w:ascii="Times New Roman;serif" w:hAnsi="Times New Roman;serif"/>
                <w:b w:val="false"/>
                <w:sz w:val="20"/>
              </w:rPr>
              <w:t>6.1</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94% – 95%</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97%</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3.6% – 4.0%</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1.6% – 2.1%</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center"/>
              <w:rPr/>
            </w:pPr>
            <w:r>
              <w:rPr/>
              <w:t>—</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pPr>
            <w:r>
              <w:rPr/>
              <w:t>—</w:t>
            </w:r>
            <w:r>
              <w:rPr>
                <w:rFonts w:ascii="Times New Roman;serif" w:hAnsi="Times New Roman;serif"/>
                <w:b w:val="false"/>
                <w:sz w:val="20"/>
              </w:rPr>
              <w:t>%</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Restricted Stock Units</w:t>
      </w:r>
    </w:p>
    <w:p>
      <w:pPr>
        <w:pStyle w:val="TextBody"/>
        <w:spacing w:before="120" w:after="0"/>
        <w:jc w:val="left"/>
        <w:rPr>
          <w:rFonts w:ascii="Times New Roman" w:hAnsi="Times New Roman"/>
          <w:sz w:val="20"/>
        </w:rPr>
      </w:pPr>
      <w:r>
        <w:rPr>
          <w:rFonts w:ascii="Times New Roman;serif" w:hAnsi="Times New Roman;serif"/>
          <w:b w:val="false"/>
          <w:sz w:val="20"/>
        </w:rPr>
        <w:t>The Company began granting restricted stock units (RSUs) in the first quarter of 2022. RSUs are awards that entitle the holder to receive freely tradable shares of the Company’s common stock upon the completion of a specific period of continued service. RSUs generally vest over a two- to four-year</w:t>
      </w:r>
      <w:r>
        <w:rPr>
          <w:rFonts w:ascii="Times New Roman" w:hAnsi="Times New Roman"/>
          <w:sz w:val="20"/>
        </w:rPr>
        <w:t xml:space="preserve"> </w:t>
      </w:r>
      <w:r>
        <w:rPr>
          <w:rFonts w:ascii="Times New Roman;serif" w:hAnsi="Times New Roman;serif"/>
          <w:b w:val="false"/>
          <w:sz w:val="20"/>
        </w:rPr>
        <w:t xml:space="preserve">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 </w:t>
      </w:r>
    </w:p>
    <w:p>
      <w:pPr>
        <w:pStyle w:val="TextBody"/>
        <w:spacing w:before="120" w:after="0"/>
        <w:jc w:val="left"/>
        <w:rPr/>
      </w:pPr>
      <w:r>
        <w:rPr/>
        <w:t> </w:t>
      </w:r>
    </w:p>
    <w:tbl>
      <w:tblPr>
        <w:tblW w:w="5597" w:type="dxa"/>
        <w:jc w:val="left"/>
        <w:tblInd w:w="0" w:type="dxa"/>
        <w:tblCellMar>
          <w:top w:w="28" w:type="dxa"/>
          <w:left w:w="28" w:type="dxa"/>
          <w:bottom w:w="28" w:type="dxa"/>
          <w:right w:w="28" w:type="dxa"/>
        </w:tblCellMar>
      </w:tblPr>
      <w:tblGrid>
        <w:gridCol w:w="2926"/>
        <w:gridCol w:w="146"/>
        <w:gridCol w:w="146"/>
        <w:gridCol w:w="931"/>
        <w:gridCol w:w="166"/>
        <w:gridCol w:w="146"/>
        <w:gridCol w:w="254"/>
        <w:gridCol w:w="691"/>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w:t>
              <w:br/>
              <w:t xml:space="preserve">Average </w:t>
              <w:br/>
              <w:t>Grant Date</w:t>
              <w:br/>
              <w:t xml:space="preserve">Fair Value </w:t>
              <w:br/>
              <w:t>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dollars)</w:t>
            </w:r>
          </w:p>
        </w:tc>
        <w:tc>
          <w:tcPr>
            <w:tcW w:w="191"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459,192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907,813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1,351,436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2021 Employee Stock Purchase Plan</w:t>
      </w:r>
    </w:p>
    <w:p>
      <w:pPr>
        <w:pStyle w:val="TextBody"/>
        <w:spacing w:before="120" w:after="0"/>
        <w:jc w:val="left"/>
        <w:rPr>
          <w:rFonts w:ascii="Times New Roman" w:hAnsi="Times New Roman"/>
          <w:sz w:val="20"/>
        </w:rPr>
      </w:pPr>
      <w:r>
        <w:rPr>
          <w:rFonts w:ascii="Times New Roman;serif" w:hAnsi="Times New Roman;serif"/>
          <w:b w:val="false"/>
          <w:sz w:val="20"/>
        </w:rPr>
        <w:t>In July 2021, the Company adopted the 2021 Employee Stock Purchase Plan (ESPP), which became effective in connection with the IPO. The Company initially reserved 800,000</w:t>
      </w:r>
      <w:r>
        <w:rPr>
          <w:rFonts w:ascii="Times New Roman" w:hAnsi="Times New Roman"/>
          <w:sz w:val="20"/>
        </w:rPr>
        <w:t xml:space="preserve"> </w:t>
      </w:r>
      <w:r>
        <w:rPr>
          <w:rFonts w:ascii="Times New Roman;serif" w:hAnsi="Times New Roman;serif"/>
          <w:b w:val="false"/>
          <w:sz w:val="20"/>
        </w:rPr>
        <w:t>shares for future issuance under the ESPP. The number of shares of common stock available for issuance under the ESPP automatically increases on the first day of each fiscal year beginning with 2022 in an amount equal to the lesser of: 800,000</w:t>
      </w:r>
      <w:r>
        <w:rPr>
          <w:rFonts w:ascii="Times New Roman" w:hAnsi="Times New Roman"/>
          <w:sz w:val="20"/>
        </w:rPr>
        <w:t xml:space="preserve"> </w:t>
      </w:r>
      <w:r>
        <w:rPr>
          <w:rFonts w:ascii="Times New Roman;serif" w:hAnsi="Times New Roman;serif"/>
          <w:b w:val="false"/>
          <w:sz w:val="20"/>
        </w:rPr>
        <w:t>shares; 1% of the outstanding shares of the Company’s common stock as of the last day of the immediately preceding year; or such other amount as the board of directors may determine. As of March 31, 2023, 1,775,292</w:t>
      </w:r>
      <w:r>
        <w:rPr>
          <w:rFonts w:ascii="Times New Roman" w:hAnsi="Times New Roman"/>
          <w:sz w:val="20"/>
        </w:rPr>
        <w:t xml:space="preserve"> </w:t>
      </w:r>
      <w:r>
        <w:rPr>
          <w:rFonts w:ascii="Times New Roman;serif" w:hAnsi="Times New Roman;serif"/>
          <w:b w:val="false"/>
          <w:sz w:val="20"/>
        </w:rPr>
        <w:t>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w:t>
      </w:r>
      <w:r>
        <w:rPr>
          <w:rFonts w:ascii="Times New Roman" w:hAnsi="Times New Roman"/>
          <w:sz w:val="20"/>
        </w:rPr>
        <w:t xml:space="preserve"> </w:t>
      </w:r>
      <w:r>
        <w:rPr>
          <w:rFonts w:ascii="Times New Roman;serif" w:hAnsi="Times New Roman;serif"/>
          <w:b w:val="false"/>
          <w:sz w:val="20"/>
        </w:rPr>
        <w:t>per the Internal Revenue Service. The first offering period commenced in January 2022. For the three months ended March 31, 2023 and 2022, the stock-based compensation expense for ESPP was not material.</w:t>
      </w:r>
    </w:p>
    <w:p>
      <w:pPr>
        <w:pStyle w:val="TextBody"/>
        <w:spacing w:before="240" w:after="0"/>
        <w:jc w:val="left"/>
        <w:rPr>
          <w:rFonts w:ascii="Times New Roman;serif" w:hAnsi="Times New Roman;serif"/>
          <w:b/>
          <w:i/>
          <w:sz w:val="20"/>
        </w:rPr>
      </w:pPr>
      <w:r>
        <w:rPr>
          <w:rFonts w:ascii="Times New Roman;serif" w:hAnsi="Times New Roman;serif"/>
          <w:b/>
          <w:i/>
          <w:sz w:val="20"/>
        </w:rPr>
        <w:t>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stock-based compensation recognized in the Company’s condensed statements of operations and comprehensive loss:</w:t>
      </w:r>
    </w:p>
    <w:tbl>
      <w:tblPr>
        <w:tblW w:w="5059" w:type="dxa"/>
        <w:jc w:val="left"/>
        <w:tblInd w:w="0" w:type="dxa"/>
        <w:tblCellMar>
          <w:top w:w="28" w:type="dxa"/>
          <w:left w:w="28" w:type="dxa"/>
          <w:bottom w:w="28" w:type="dxa"/>
          <w:right w:w="28" w:type="dxa"/>
        </w:tblCellMar>
      </w:tblPr>
      <w:tblGrid>
        <w:gridCol w:w="2866"/>
        <w:gridCol w:w="146"/>
        <w:gridCol w:w="211"/>
        <w:gridCol w:w="571"/>
        <w:gridCol w:w="146"/>
        <w:gridCol w:w="146"/>
        <w:gridCol w:w="211"/>
        <w:gridCol w:w="571"/>
        <w:gridCol w:w="191"/>
      </w:tblGrid>
      <w:tr>
        <w:trPr/>
        <w:tc>
          <w:tcPr>
            <w:tcW w:w="2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19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sz w:val="20"/>
        </w:rPr>
      </w:pPr>
      <w:r>
        <w:rPr>
          <w:rFonts w:ascii="Times New Roman" w:hAnsi="Times New Roman"/>
          <w:b/>
          <w:sz w:val="20"/>
        </w:rPr>
        <w:t>8.</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Stockholders' Equity </w:t>
      </w:r>
    </w:p>
    <w:p>
      <w:pPr>
        <w:pStyle w:val="TextBody"/>
        <w:spacing w:before="240" w:after="0"/>
        <w:jc w:val="left"/>
        <w:rPr/>
      </w:pPr>
      <w:r>
        <w:rPr/>
        <w:t>“</w:t>
      </w:r>
      <w:r>
        <w:rPr>
          <w:rFonts w:ascii="Times New Roman;serif" w:hAnsi="Times New Roman;serif"/>
          <w:b/>
          <w:i/>
          <w:sz w:val="20"/>
        </w:rPr>
        <w:t>At-the-Market” Equity Offering</w:t>
      </w:r>
    </w:p>
    <w:p>
      <w:pPr>
        <w:pStyle w:val="TextBody"/>
        <w:spacing w:before="120" w:after="0"/>
        <w:jc w:val="left"/>
        <w:rPr>
          <w:rFonts w:ascii="Times New Roman" w:hAnsi="Times New Roman"/>
          <w:sz w:val="20"/>
        </w:rPr>
      </w:pPr>
      <w:r>
        <w:rPr>
          <w:rFonts w:ascii="Times New Roman;serif" w:hAnsi="Times New Roman;serif"/>
          <w:b w:val="false"/>
          <w:sz w:val="20"/>
        </w:rPr>
        <w:t>On August 10, 2022, the Company entered into a sales agreement with a sales agent to establish an at-the-market (ATM) offering defined in Rule 415 under the Securities Act. Pursuant to the sales agreement, the Company is permitted to offer and sell, from time to time, shares of its common stock having a maximum aggregate offering price of up to $75.0</w:t>
      </w:r>
      <w:r>
        <w:rPr>
          <w:rFonts w:ascii="Times New Roman" w:hAnsi="Times New Roman"/>
          <w:sz w:val="20"/>
        </w:rPr>
        <w:t xml:space="preserve"> </w:t>
      </w:r>
      <w:r>
        <w:rPr>
          <w:rFonts w:ascii="Times New Roman;serif" w:hAnsi="Times New Roman;serif"/>
          <w:b w:val="false"/>
          <w:sz w:val="20"/>
        </w:rPr>
        <w:t>million. As of March 31, 2023, no shares have been sold pursuant to the ATM program.</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Follow-On Offering</w:t>
      </w:r>
    </w:p>
    <w:p>
      <w:pPr>
        <w:pStyle w:val="TextBody"/>
        <w:spacing w:before="120" w:after="0"/>
        <w:jc w:val="left"/>
        <w:rPr>
          <w:rFonts w:ascii="Times New Roman" w:hAnsi="Times New Roman"/>
          <w:sz w:val="20"/>
        </w:rPr>
      </w:pPr>
      <w:r>
        <w:rPr>
          <w:rFonts w:ascii="Times New Roman;serif" w:hAnsi="Times New Roman;serif"/>
          <w:b w:val="false"/>
          <w:sz w:val="20"/>
        </w:rPr>
        <w:t>On November 21, 2022, the Company completed an underwritten public offering of 22,613,307</w:t>
      </w:r>
      <w:r>
        <w:rPr>
          <w:rFonts w:ascii="Times New Roman" w:hAnsi="Times New Roman"/>
          <w:sz w:val="20"/>
        </w:rPr>
        <w:t xml:space="preserve"> </w:t>
      </w:r>
      <w:r>
        <w:rPr>
          <w:rFonts w:ascii="Times New Roman;serif" w:hAnsi="Times New Roman;serif"/>
          <w:b w:val="false"/>
          <w:sz w:val="20"/>
        </w:rPr>
        <w:t>shares of its common stock at a price of $2.60</w:t>
      </w:r>
      <w:r>
        <w:rPr>
          <w:rFonts w:ascii="Times New Roman" w:hAnsi="Times New Roman"/>
          <w:sz w:val="20"/>
        </w:rPr>
        <w:t xml:space="preserve"> </w:t>
      </w:r>
      <w:r>
        <w:rPr>
          <w:rFonts w:ascii="Times New Roman;serif" w:hAnsi="Times New Roman;serif"/>
          <w:b w:val="false"/>
          <w:sz w:val="20"/>
        </w:rPr>
        <w:t>per share and, to certain investors in lieu of common stock, pre-funded warrants to purchase 6,236,693</w:t>
      </w:r>
      <w:r>
        <w:rPr>
          <w:rFonts w:ascii="Times New Roman" w:hAnsi="Times New Roman"/>
          <w:sz w:val="20"/>
        </w:rPr>
        <w:t xml:space="preserve"> </w:t>
      </w:r>
      <w:r>
        <w:rPr>
          <w:rFonts w:ascii="Times New Roman;serif" w:hAnsi="Times New Roman;serif"/>
          <w:b w:val="false"/>
          <w:sz w:val="20"/>
        </w:rPr>
        <w:t>shares of its common stock at a price of $2.599</w:t>
      </w:r>
      <w:r>
        <w:rPr>
          <w:rFonts w:ascii="Times New Roman" w:hAnsi="Times New Roman"/>
          <w:sz w:val="20"/>
        </w:rPr>
        <w:t xml:space="preserve"> </w:t>
      </w:r>
      <w:r>
        <w:rPr>
          <w:rFonts w:ascii="Times New Roman;serif" w:hAnsi="Times New Roman;serif"/>
          <w:b w:val="false"/>
          <w:sz w:val="20"/>
        </w:rPr>
        <w:t>per pre-funded warrant. The pre-funded warrants can be exercised at any time after issuance for an exercise price of $0.001</w:t>
      </w:r>
      <w:r>
        <w:rPr>
          <w:rFonts w:ascii="Times New Roman" w:hAnsi="Times New Roman"/>
          <w:sz w:val="20"/>
        </w:rPr>
        <w:t xml:space="preserve"> </w:t>
      </w:r>
      <w:r>
        <w:rPr>
          <w:rFonts w:ascii="Times New Roman;serif" w:hAnsi="Times New Roman;serif"/>
          <w:b w:val="false"/>
          <w:sz w:val="20"/>
        </w:rPr>
        <w:t>per share, subject to certain ownership limitations. The Company determined the pre-funded warrants qualified for equity accounting. In addition, the Company granted the underwriters a 30-day option to purchase up to an additional 4,327,500</w:t>
      </w:r>
      <w:r>
        <w:rPr>
          <w:rFonts w:ascii="Times New Roman" w:hAnsi="Times New Roman"/>
          <w:sz w:val="20"/>
        </w:rPr>
        <w:t xml:space="preserve"> </w:t>
      </w:r>
      <w:r>
        <w:rPr>
          <w:rFonts w:ascii="Times New Roman;serif" w:hAnsi="Times New Roman;serif"/>
          <w:b w:val="false"/>
          <w:sz w:val="20"/>
        </w:rPr>
        <w:t>shares of its common stock to cover overallotments, if any, at $2.60</w:t>
      </w:r>
      <w:r>
        <w:rPr>
          <w:rFonts w:ascii="Times New Roman" w:hAnsi="Times New Roman"/>
          <w:sz w:val="20"/>
        </w:rPr>
        <w:t xml:space="preserve"> </w:t>
      </w:r>
      <w:r>
        <w:rPr>
          <w:rFonts w:ascii="Times New Roman;serif" w:hAnsi="Times New Roman;serif"/>
          <w:b w:val="false"/>
          <w:sz w:val="20"/>
        </w:rPr>
        <w:t>per share. On November 29, 2022, the underwriters partially exercised the option and purchased an additional 2,816,409</w:t>
      </w:r>
      <w:r>
        <w:rPr>
          <w:rFonts w:ascii="Times New Roman" w:hAnsi="Times New Roman"/>
          <w:sz w:val="20"/>
        </w:rPr>
        <w:t xml:space="preserve"> </w:t>
      </w:r>
      <w:r>
        <w:rPr>
          <w:rFonts w:ascii="Times New Roman;serif" w:hAnsi="Times New Roman;serif"/>
          <w:b w:val="false"/>
          <w:sz w:val="20"/>
        </w:rPr>
        <w:t>shares of Company</w:t>
      </w:r>
      <w:r>
        <w:rPr>
          <w:rFonts w:ascii="Times New Roman" w:hAnsi="Times New Roman"/>
          <w:sz w:val="20"/>
        </w:rPr>
        <w:t>’</w:t>
      </w:r>
      <w:r>
        <w:rPr>
          <w:rFonts w:ascii="Times New Roman;serif" w:hAnsi="Times New Roman;serif"/>
          <w:b w:val="false"/>
          <w:sz w:val="20"/>
        </w:rPr>
        <w:t>s common stock. The Company received net proceeds of $76.9</w:t>
      </w:r>
      <w:r>
        <w:rPr>
          <w:rFonts w:ascii="Times New Roman" w:hAnsi="Times New Roman"/>
          <w:sz w:val="20"/>
        </w:rPr>
        <w:t xml:space="preserve"> </w:t>
      </w:r>
      <w:r>
        <w:rPr>
          <w:rFonts w:ascii="Times New Roman;serif" w:hAnsi="Times New Roman;serif"/>
          <w:b w:val="false"/>
          <w:sz w:val="20"/>
        </w:rPr>
        <w:t>million, inclusive of the additional shares purchased by the underwriters, after deducting underwriting discounts and commissions of $4.9</w:t>
      </w:r>
      <w:r>
        <w:rPr>
          <w:rFonts w:ascii="Times New Roman" w:hAnsi="Times New Roman"/>
          <w:sz w:val="20"/>
        </w:rPr>
        <w:t xml:space="preserve"> </w:t>
      </w:r>
      <w:r>
        <w:rPr>
          <w:rFonts w:ascii="Times New Roman;serif" w:hAnsi="Times New Roman;serif"/>
          <w:b w:val="false"/>
          <w:sz w:val="20"/>
        </w:rPr>
        <w:t>million and other offering expenses of $0.5</w:t>
      </w:r>
      <w:r>
        <w:rPr>
          <w:rFonts w:ascii="Times New Roman" w:hAnsi="Times New Roman"/>
          <w:sz w:val="20"/>
        </w:rPr>
        <w:t xml:space="preserve"> </w:t>
      </w:r>
      <w:r>
        <w:rPr>
          <w:rFonts w:ascii="Times New Roman;serif" w:hAnsi="Times New Roman;serif"/>
          <w:b w:val="false"/>
          <w:sz w:val="20"/>
        </w:rPr>
        <w:t>million. As of March 31, 2023, no</w:t>
      </w:r>
      <w:r>
        <w:rPr>
          <w:rFonts w:ascii="Times New Roman" w:hAnsi="Times New Roman"/>
          <w:sz w:val="20"/>
        </w:rPr>
        <w:t xml:space="preserve"> </w:t>
      </w:r>
      <w:r>
        <w:rPr>
          <w:rFonts w:ascii="Times New Roman;serif" w:hAnsi="Times New Roman;serif"/>
          <w:b w:val="false"/>
          <w:sz w:val="20"/>
        </w:rPr>
        <w:t>pre-funded warrants have been exercised.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total shares of common stock reserved for issuance, on an as-if converted basis, are as follows:</w:t>
      </w:r>
    </w:p>
    <w:tbl>
      <w:tblPr>
        <w:tblW w:w="7950" w:type="dxa"/>
        <w:jc w:val="left"/>
        <w:tblInd w:w="0" w:type="dxa"/>
        <w:tblCellMar>
          <w:top w:w="28" w:type="dxa"/>
          <w:left w:w="28" w:type="dxa"/>
          <w:bottom w:w="28" w:type="dxa"/>
          <w:right w:w="28" w:type="dxa"/>
        </w:tblCellMar>
      </w:tblPr>
      <w:tblGrid>
        <w:gridCol w:w="6331"/>
        <w:gridCol w:w="146"/>
        <w:gridCol w:w="146"/>
        <w:gridCol w:w="1036"/>
        <w:gridCol w:w="291"/>
      </w:tblGrid>
      <w:tr>
        <w:trPr/>
        <w:tc>
          <w:tcPr>
            <w:tcW w:w="6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6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 and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9,134,514</w:t>
            </w:r>
          </w:p>
        </w:tc>
        <w:tc>
          <w:tcPr>
            <w:tcW w:w="2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pre-funded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6,236,693</w:t>
            </w:r>
          </w:p>
        </w:tc>
        <w:tc>
          <w:tcPr>
            <w:tcW w:w="2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and awards available for future grant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1,519,594</w:t>
            </w:r>
          </w:p>
        </w:tc>
        <w:tc>
          <w:tcPr>
            <w:tcW w:w="2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further issuance under the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1,775,292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33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18,666,093</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 w:hAnsi="Times New Roman"/>
          <w:b/>
          <w:sz w:val="20"/>
        </w:rPr>
      </w:pPr>
      <w:r>
        <w:rPr>
          <w:rFonts w:ascii="Times New Roman" w:hAnsi="Times New Roman"/>
          <w:b/>
          <w:sz w:val="20"/>
        </w:rPr>
        <w:t>9.</w:t>
      </w:r>
    </w:p>
    <w:p>
      <w:pPr>
        <w:pStyle w:val="TextBody"/>
        <w:spacing w:before="240" w:after="283"/>
        <w:jc w:val="left"/>
        <w:rPr>
          <w:rFonts w:ascii="Times New Roman;serif" w:hAnsi="Times New Roman;serif"/>
          <w:b/>
          <w:sz w:val="20"/>
        </w:rPr>
      </w:pPr>
      <w:r>
        <w:rPr>
          <w:rFonts w:ascii="Times New Roman;serif" w:hAnsi="Times New Roman;serif"/>
          <w:b/>
          <w:sz w:val="20"/>
        </w:rPr>
        <w:t>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and 2022, the Company did not record any income tax expense or benefit. The Company has recorded a full valuation allowance against its U.S. federal and state deferred tax assets as the Company believes it is not more likely than not that the benefit will be realized.</w:t>
      </w:r>
    </w:p>
    <w:p>
      <w:pPr>
        <w:pStyle w:val="TextBody"/>
        <w:spacing w:before="240" w:after="0"/>
        <w:jc w:val="left"/>
        <w:rPr>
          <w:rFonts w:ascii="Times New Roman" w:hAnsi="Times New Roman"/>
          <w:b/>
          <w:sz w:val="20"/>
        </w:rPr>
      </w:pPr>
      <w:r>
        <w:rPr>
          <w:rFonts w:ascii="Times New Roman" w:hAnsi="Times New Roman"/>
          <w:b/>
          <w:sz w:val="20"/>
        </w:rPr>
        <w:t>10.</w:t>
      </w:r>
    </w:p>
    <w:p>
      <w:pPr>
        <w:pStyle w:val="TextBody"/>
        <w:spacing w:before="240" w:after="283"/>
        <w:jc w:val="left"/>
        <w:rPr>
          <w:rFonts w:ascii="Times New Roman;serif" w:hAnsi="Times New Roman;serif"/>
          <w:b/>
          <w:sz w:val="20"/>
        </w:rPr>
      </w:pPr>
      <w:r>
        <w:rPr>
          <w:rFonts w:ascii="Times New Roman;serif" w:hAnsi="Times New Roman;serif"/>
          <w:b/>
          <w:sz w:val="20"/>
        </w:rPr>
        <w:t>Net Loss Per Share</w:t>
      </w:r>
    </w:p>
    <w:p>
      <w:pPr>
        <w:pStyle w:val="TextBody"/>
        <w:spacing w:before="120" w:after="0"/>
        <w:jc w:val="left"/>
        <w:rPr>
          <w:rFonts w:ascii="Times New Roman" w:hAnsi="Times New Roman"/>
          <w:sz w:val="20"/>
        </w:rPr>
      </w:pPr>
      <w:r>
        <w:rPr>
          <w:rFonts w:ascii="Times New Roman;serif" w:hAnsi="Times New Roman;serif"/>
          <w:b w:val="false"/>
          <w:sz w:val="20"/>
        </w:rPr>
        <w:t>Basic and diluted loss per share are computed by dividing net loss by the weighted-average number of common shares outstanding during the reporting period. Basic weighted-average shares of common stock outstanding includes the weighted-average effect of the Company’s pre-funded warrants issued in November 2022.</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potentially dilutive securities were not included in the calculation of diluted net loss per share as of the periods presented because the effect would have been anti-dilutive:</w:t>
      </w:r>
    </w:p>
    <w:p>
      <w:pPr>
        <w:pStyle w:val="TextBody"/>
        <w:spacing w:before="0" w:after="0"/>
        <w:jc w:val="left"/>
        <w:rPr/>
      </w:pPr>
      <w:r>
        <w:rPr/>
        <w:t> </w:t>
      </w:r>
    </w:p>
    <w:tbl>
      <w:tblPr>
        <w:tblW w:w="6219" w:type="dxa"/>
        <w:jc w:val="left"/>
        <w:tblInd w:w="0" w:type="dxa"/>
        <w:tblCellMar>
          <w:top w:w="28" w:type="dxa"/>
          <w:left w:w="28" w:type="dxa"/>
          <w:bottom w:w="28" w:type="dxa"/>
          <w:right w:w="28" w:type="dxa"/>
        </w:tblCellMar>
      </w:tblPr>
      <w:tblGrid>
        <w:gridCol w:w="3436"/>
        <w:gridCol w:w="146"/>
        <w:gridCol w:w="146"/>
        <w:gridCol w:w="931"/>
        <w:gridCol w:w="146"/>
        <w:gridCol w:w="146"/>
        <w:gridCol w:w="146"/>
        <w:gridCol w:w="931"/>
        <w:gridCol w:w="19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 and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9,134,514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4,860,612</w:t>
            </w:r>
          </w:p>
        </w:tc>
        <w:tc>
          <w:tcPr>
            <w:tcW w:w="1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subject to future vesting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21,799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9,134,552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4,882,411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2022, included in our Annual Report on Form 10-K filed with the Securities and Exchange Commission on March 8, 2023, or Annual Report.</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pStyle w:val="TextBody"/>
        <w:spacing w:before="24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individuals and families.</w:t>
      </w:r>
    </w:p>
    <w:p>
      <w:pPr>
        <w:pStyle w:val="TextBody"/>
        <w:spacing w:before="120" w:after="0"/>
        <w:jc w:val="left"/>
        <w:rPr>
          <w:rFonts w:ascii="Times New Roman" w:hAnsi="Times New Roman"/>
          <w:sz w:val="20"/>
        </w:rPr>
      </w:pPr>
      <w:r>
        <w:rPr>
          <w:rFonts w:ascii="Times New Roman;serif" w:hAnsi="Times New Roman;serif"/>
          <w:b w:val="false"/>
          <w:sz w:val="20"/>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lead product candidates include, TN-201, a gene therapy for myosin binding protein C3 (</w:t>
      </w:r>
      <w:r>
        <w:rPr>
          <w:rFonts w:ascii="Times New Roman;serif" w:hAnsi="Times New Roman;serif"/>
          <w:b w:val="false"/>
          <w:i/>
          <w:sz w:val="20"/>
        </w:rPr>
        <w:t>MYBPC3)</w:t>
      </w:r>
      <w:r>
        <w:rPr>
          <w:rFonts w:ascii="Times New Roman;serif" w:hAnsi="Times New Roman;serif"/>
          <w:b w:val="false"/>
          <w:sz w:val="20"/>
        </w:rPr>
        <w:t>-associated hypertrophic cardiomyopathy (HCM), TN-301, a small molecule for heart failure with preserved ejection fraction (HFpEF), and TN-401, a gene therapy for plakophilin 2 (</w:t>
      </w:r>
      <w:r>
        <w:rPr>
          <w:rFonts w:ascii="Times New Roman;serif" w:hAnsi="Times New Roman;serif"/>
          <w:b w:val="false"/>
          <w:i/>
          <w:sz w:val="20"/>
        </w:rPr>
        <w:t>PKP2)</w:t>
      </w:r>
      <w:r>
        <w:rPr>
          <w:rFonts w:ascii="Times New Roman;serif" w:hAnsi="Times New Roman;serif"/>
          <w:b w:val="false"/>
          <w:sz w:val="20"/>
        </w:rPr>
        <w:t>-associated arrhythmogenic right ventricular cardiomyopathy (ARVC).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TN-201 is our potential first-in-class gene therapy for adults and children with HCM due to </w:t>
      </w:r>
      <w:r>
        <w:rPr>
          <w:rFonts w:ascii="Times New Roman;serif" w:hAnsi="Times New Roman;serif"/>
          <w:b w:val="false"/>
          <w:i/>
          <w:sz w:val="20"/>
        </w:rPr>
        <w:t xml:space="preserve">MYBPC3 </w:t>
      </w:r>
      <w:r>
        <w:rPr>
          <w:rFonts w:ascii="Times New Roman;serif" w:hAnsi="Times New Roman;serif"/>
          <w:b w:val="false"/>
          <w:sz w:val="20"/>
        </w:rPr>
        <w:t xml:space="preserve">gene mutations. These mutations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TN-201 uses a differentiated approach to deliver a functional </w:t>
      </w:r>
      <w:r>
        <w:rPr>
          <w:rFonts w:ascii="Times New Roman;serif" w:hAnsi="Times New Roman;serif"/>
          <w:b w:val="false"/>
          <w:i/>
          <w:sz w:val="20"/>
        </w:rPr>
        <w:t xml:space="preserve">MYBPC3 </w:t>
      </w:r>
      <w:r>
        <w:rPr>
          <w:rFonts w:ascii="Times New Roman;serif" w:hAnsi="Times New Roman;serif"/>
          <w:b w:val="false"/>
          <w:sz w:val="20"/>
        </w:rPr>
        <w:t>gene to the heart utilizing a recombinant adeno-associated virus serotype 9 (AAV9) capsid to restore expression of the cardiac myosin binding protein to halt disease progression and potentially reverse the course of genetic HCM following a single intravenous injection. In January 2023, we received notification from the FDA that clinical testing of TN-201 may proceed, and in the third quarter of 2023, we expect to begin dosing patients in a Phase 1b multi-center, open-label clinical trial, designed to assess the safety, tolerability and efficacy of a one-time intravenous infusion of TN-201. TN-201 has received orphan drug designation from the FDA and orphan medicinal product designation from the European Commission, and in April 2023, received Fast Track Designation from the FDA.</w:t>
      </w:r>
    </w:p>
    <w:p>
      <w:pPr>
        <w:pStyle w:val="TextBody"/>
        <w:spacing w:before="120" w:after="0"/>
        <w:jc w:val="left"/>
        <w:rPr>
          <w:rFonts w:ascii="Times New Roman" w:hAnsi="Times New Roman"/>
          <w:sz w:val="20"/>
        </w:rPr>
      </w:pPr>
      <w:r>
        <w:rPr>
          <w:rFonts w:ascii="Times New Roman;serif" w:hAnsi="Times New Roman;serif"/>
          <w:b w:val="false"/>
          <w:sz w:val="20"/>
        </w:rPr>
        <w:t xml:space="preserve">In order to support our development efforts for TN-201, we have initiated two noninterventional studies: a study evaluating seroprevalence to AAV9 antibodies among adults with </w:t>
      </w:r>
      <w:r>
        <w:rPr>
          <w:rFonts w:ascii="Times New Roman;serif" w:hAnsi="Times New Roman;serif"/>
          <w:b w:val="false"/>
          <w:i/>
          <w:sz w:val="20"/>
        </w:rPr>
        <w:t>MYBPC3</w:t>
      </w:r>
      <w:r>
        <w:rPr>
          <w:rFonts w:ascii="Times New Roman;serif" w:hAnsi="Times New Roman;serif"/>
          <w:b w:val="false"/>
          <w:sz w:val="20"/>
        </w:rPr>
        <w:t>-associated HCM, and</w:t>
      </w:r>
      <w:r>
        <w:rPr>
          <w:rFonts w:ascii="Times New Roman" w:hAnsi="Times New Roman"/>
          <w:sz w:val="20"/>
        </w:rPr>
        <w:t xml:space="preserve"> </w:t>
      </w:r>
      <w:r>
        <w:rPr>
          <w:rFonts w:ascii="Times New Roman;serif" w:hAnsi="Times New Roman;serif"/>
          <w:b w:val="false"/>
          <w:sz w:val="20"/>
        </w:rPr>
        <w:t xml:space="preserve">MyClimb, a prospective and retrospective global natural history study focused on pediatric patients with </w:t>
      </w:r>
      <w:r>
        <w:rPr>
          <w:rFonts w:ascii="Times New Roman;serif" w:hAnsi="Times New Roman;serif"/>
          <w:b w:val="false"/>
          <w:i/>
          <w:sz w:val="20"/>
        </w:rPr>
        <w:t>MYBPC3</w:t>
      </w:r>
      <w:r>
        <w:rPr>
          <w:rFonts w:ascii="Times New Roman" w:hAnsi="Times New Roman"/>
          <w:sz w:val="20"/>
        </w:rPr>
        <w:t xml:space="preserve"> </w:t>
      </w:r>
      <w:r>
        <w:rPr>
          <w:rFonts w:ascii="Times New Roman;serif" w:hAnsi="Times New Roman;serif"/>
          <w:b w:val="false"/>
          <w:sz w:val="20"/>
        </w:rPr>
        <w:t xml:space="preserve">mutation-associated cardiomyopathy. The objective of the natural history study is to characterize the outcomes, burden of illness, risk factors, quality of life, and biomarkers associated with disease progression in pediatric patients with cardiomyopathy due to </w:t>
      </w:r>
      <w:r>
        <w:rPr>
          <w:rFonts w:ascii="Times New Roman;serif" w:hAnsi="Times New Roman;serif"/>
          <w:b w:val="false"/>
          <w:i/>
          <w:sz w:val="20"/>
        </w:rPr>
        <w:t xml:space="preserve">MYBPC3 </w:t>
      </w:r>
      <w:r>
        <w:rPr>
          <w:rFonts w:ascii="Times New Roman;serif" w:hAnsi="Times New Roman;serif"/>
          <w:b w:val="false"/>
          <w:sz w:val="20"/>
        </w:rPr>
        <w:t>gene mutations, as well as treatments, procedures, and patient outcomes. MyClimb complements existing disease registries focused primarily on adult patient HCM populations and may support and expedite the development of TN-201 in the pediatric patient population.</w:t>
      </w:r>
    </w:p>
    <w:p>
      <w:pPr>
        <w:pStyle w:val="TextBody"/>
        <w:spacing w:before="120" w:after="0"/>
        <w:jc w:val="left"/>
        <w:rPr>
          <w:rFonts w:ascii="Times New Roman" w:hAnsi="Times New Roman"/>
          <w:sz w:val="20"/>
        </w:rPr>
      </w:pPr>
      <w:r>
        <w:rPr>
          <w:rFonts w:ascii="Times New Roman;serif" w:hAnsi="Times New Roman;serif"/>
          <w:b w:val="false"/>
          <w:sz w:val="20"/>
        </w:rPr>
        <w:t>TN-301 is our highly specific small molecule inhibitor of histone deacetylase 6. TN-301 is initially being developed for the potential treatment of HFpEF. HFpEF is characterized by a stiffening of the heart muscle resulting in an inability for the left ventricle to relax properly during normal heart rhythm, referred to as diastolic dysfunction. There are several cellular processes thought to underly the pathophysiology of HFpEF, including increases in fibrosis and inflammation and defects in metabolism. Although HFpEF accounts for approximately 50% of all heart failures, there are few proven treatment options.</w:t>
      </w:r>
      <w:r>
        <w:rPr>
          <w:rFonts w:ascii="Times New Roman" w:hAnsi="Times New Roman"/>
          <w:sz w:val="20"/>
        </w:rPr>
        <w:t xml:space="preserve"> </w:t>
      </w:r>
      <w:r>
        <w:rPr>
          <w:rFonts w:ascii="Times New Roman;serif" w:hAnsi="Times New Roman;serif"/>
          <w:b w:val="false"/>
          <w:sz w:val="20"/>
        </w:rPr>
        <w:t>We are currently conducting a Phase 1 clinical trial in healthy adult participants to evaluate the safety, tolerability, pharmacokinetics and pharmacodynamics (PD) of escalating oral doses of TN-301. The Phase 1 clinical trial is being conducted in two stages: a single-ascending dose (SAD) stage and a multiple-ascending dose (MAD) stage. In the SAD stage of the trial, initial target engagement (as measured by the PD biomarker of tubulin acetylation) was achieved at dose levels thought to be in therapeutic ranges, enabling initiation of the MAD stage of the trial. In preclinical studies, dose dependent tubulin acetylation measured in circulating blood cells was found to correlate to levels in the heart. Dosing for both the SAD and MAD stages of the trial has been completed and no dose-limiting toxicities were reported. Topline data from the trial are anticipated in the second half of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 xml:space="preserve">TN-401 is our other potential first-in-class AAV-based gene therapy designed to deliver a functional </w:t>
      </w:r>
      <w:r>
        <w:rPr>
          <w:rFonts w:ascii="Times New Roman;serif" w:hAnsi="Times New Roman;serif"/>
          <w:b w:val="false"/>
          <w:i/>
          <w:sz w:val="20"/>
        </w:rPr>
        <w:t>PKP2</w:t>
      </w:r>
      <w:r>
        <w:rPr>
          <w:rFonts w:ascii="Times New Roman;serif" w:hAnsi="Times New Roman;serif"/>
          <w:b w:val="false"/>
          <w:sz w:val="20"/>
        </w:rPr>
        <w:t xml:space="preserve">gene in adults with ARVC due to a </w:t>
      </w:r>
      <w:r>
        <w:rPr>
          <w:rFonts w:ascii="Times New Roman;serif" w:hAnsi="Times New Roman;serif"/>
          <w:b w:val="false"/>
          <w:i/>
          <w:sz w:val="20"/>
        </w:rPr>
        <w:t>PKP2</w:t>
      </w:r>
      <w:r>
        <w:rPr>
          <w:rFonts w:ascii="Times New Roman;serif" w:hAnsi="Times New Roman;serif"/>
          <w:b w:val="false"/>
          <w:sz w:val="20"/>
        </w:rPr>
        <w:t xml:space="preserve">genetic mutation. </w:t>
      </w:r>
      <w:r>
        <w:rPr>
          <w:rFonts w:ascii="Times New Roman;serif" w:hAnsi="Times New Roman;serif"/>
          <w:b w:val="false"/>
          <w:i/>
          <w:sz w:val="20"/>
        </w:rPr>
        <w:t xml:space="preserve">PKP2 </w:t>
      </w:r>
      <w:r>
        <w:rPr>
          <w:rFonts w:ascii="Times New Roman;serif" w:hAnsi="Times New Roman;serif"/>
          <w:b w:val="false"/>
          <w:sz w:val="20"/>
        </w:rPr>
        <w:t xml:space="preserve">mutations can cause enlargement of the right ventricle in affected individuals, replacement of heart muscle with fibrotic tissue and fatty deposits, and severely abnormal heart rhythms (arrhythmia) that can make it harder for the heart to function properly and result in sudden cardiac death in some adults and children. TN-401 has demonstrated prevention of disease progression and survival benefit after a single dose in a mouse model of ARVC, as well as tolerability in a pilot non-Good Laboratory Practices toxicology and biodistribution study. We have initiated IND-enabling studies for TN-401 and expect to submit an IND to the FDA in the second half of 2023 to enable clinical development of TN-401. TN-401 has received orphan drug designation from the FDA. Additionally, in support of our development efforts for TN-401, we have initiated a global non-interventional study to collect treatment history and seroprevalence to AAV9 antibodies data among ARVC patients who carry pathogenic or likely pathogenic </w:t>
      </w:r>
      <w:r>
        <w:rPr>
          <w:rFonts w:ascii="Times New Roman;serif" w:hAnsi="Times New Roman;serif"/>
          <w:b w:val="false"/>
          <w:i/>
          <w:sz w:val="20"/>
        </w:rPr>
        <w:t>PKP2</w:t>
      </w:r>
      <w:r>
        <w:rPr>
          <w:rFonts w:ascii="Times New Roman" w:hAnsi="Times New Roman"/>
          <w:sz w:val="20"/>
        </w:rPr>
        <w:t xml:space="preserve"> </w:t>
      </w:r>
      <w:r>
        <w:rPr>
          <w:rFonts w:ascii="Times New Roman;serif" w:hAnsi="Times New Roman;serif"/>
          <w:b w:val="false"/>
          <w:sz w:val="20"/>
        </w:rPr>
        <w:t>gene mutations.</w:t>
      </w:r>
    </w:p>
    <w:p>
      <w:pPr>
        <w:pStyle w:val="TextBody"/>
        <w:spacing w:before="120" w:after="0"/>
        <w:jc w:val="left"/>
        <w:rPr>
          <w:rFonts w:ascii="Times New Roman" w:hAnsi="Times New Roman"/>
          <w:sz w:val="20"/>
        </w:rPr>
      </w:pPr>
      <w:r>
        <w:rPr>
          <w:rFonts w:ascii="Times New Roman;serif" w:hAnsi="Times New Roman;serif"/>
          <w:b w:val="false"/>
          <w:sz w:val="20"/>
        </w:rPr>
        <w:t>In addition to our lead product candidates, we have multiple early-stage programs progressing through pre-clinical development. These programs include an AAV-based gene therapy designed to express the dwarf open reading frame gene in the heart with potentially broad utility in dilated cardiomyopathy, as well as our reprogramming program for cardiac regeneration which aims to replace heart cells lost in patients experiencing heart failure due to prior myocardial infarction. While these named programs are approaching candidate selection stage, we also have numerous earlier-stage programs emerging from our proprietary product platforms to address other forms of heart failure.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distinct, but interrelated Gene Therapy, Cellular Regeneration and Precision Medicine platforms and suite of integrated capabilities support our efforts to discover disease-modifying treatments focused on heart disease in a modality-agnostic manner.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internalized and integrated both current Good Manufacturing Practices (GMP) and non-GMP AAV manufacturing capabilities to support our emerging portfolio of gene therapy and cellular regeneration product candidates. Our Genetic Medicines Manufacturing Center, a cGMP facility, is strategically located near our research labs in the San Francisco Bay Area to enable smooth scale-up of production to support our clinical studies and utilizes a modular, scalable design to produce AAV-based gene therapies under current GMP standards.</w:t>
      </w:r>
    </w:p>
    <w:p>
      <w:pPr>
        <w:pStyle w:val="TextBody"/>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presented:</w:t>
      </w:r>
    </w:p>
    <w:p>
      <w:pPr>
        <w:pStyle w:val="TextBody"/>
        <w:spacing w:before="0" w:after="0"/>
        <w:jc w:val="left"/>
        <w:rPr/>
      </w:pPr>
      <w:r>
        <w:rPr/>
        <w:t> </w:t>
      </w:r>
    </w:p>
    <w:tbl>
      <w:tblPr>
        <w:tblW w:w="7535" w:type="dxa"/>
        <w:jc w:val="left"/>
        <w:tblInd w:w="0" w:type="dxa"/>
        <w:tblCellMar>
          <w:top w:w="28" w:type="dxa"/>
          <w:left w:w="28" w:type="dxa"/>
          <w:bottom w:w="28" w:type="dxa"/>
          <w:right w:w="28" w:type="dxa"/>
        </w:tblCellMar>
      </w:tblPr>
      <w:tblGrid>
        <w:gridCol w:w="2836"/>
        <w:gridCol w:w="146"/>
        <w:gridCol w:w="211"/>
        <w:gridCol w:w="736"/>
        <w:gridCol w:w="166"/>
        <w:gridCol w:w="146"/>
        <w:gridCol w:w="211"/>
        <w:gridCol w:w="736"/>
        <w:gridCol w:w="166"/>
        <w:gridCol w:w="146"/>
        <w:gridCol w:w="211"/>
        <w:gridCol w:w="631"/>
        <w:gridCol w:w="166"/>
        <w:gridCol w:w="146"/>
        <w:gridCol w:w="881"/>
      </w:tblGrid>
      <w:tr>
        <w:trPr/>
        <w:tc>
          <w:tcPr>
            <w:tcW w:w="2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r>
      <w:tr>
        <w:trPr/>
        <w:tc>
          <w:tcPr>
            <w:tcW w:w="28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hanging="0"/>
              <w:jc w:val="center"/>
              <w:rPr/>
            </w:pPr>
            <w:r>
              <w:rPr/>
              <w:t> </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16%</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8%</w:t>
            </w:r>
          </w:p>
        </w:tc>
      </w:tr>
      <w:tr>
        <w:trPr/>
        <w:tc>
          <w:tcPr>
            <w:tcW w:w="2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firstLine="100"/>
              <w:jc w:val="center"/>
              <w:rPr/>
            </w:pPr>
            <w:r>
              <w:rPr/>
              <w:t> </w:t>
            </w:r>
          </w:p>
        </w:tc>
      </w:tr>
      <w:tr>
        <w:trPr/>
        <w:tc>
          <w:tcPr>
            <w:tcW w:w="28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1,893%</w:t>
            </w:r>
          </w:p>
        </w:tc>
      </w:tr>
      <w:tr>
        <w:trPr/>
        <w:tc>
          <w:tcPr>
            <w:tcW w:w="28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NM</w:t>
            </w:r>
          </w:p>
        </w:tc>
      </w:tr>
      <w:tr>
        <w:trPr/>
        <w:tc>
          <w:tcPr>
            <w:tcW w:w="2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1,927%</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r>
    </w:tbl>
    <w:p>
      <w:pPr>
        <w:pStyle w:val="TextBody"/>
        <w:spacing w:before="120" w:after="0"/>
        <w:jc w:val="left"/>
        <w:rPr>
          <w:rFonts w:ascii="Times New Roman;serif" w:hAnsi="Times New Roman;serif"/>
          <w:b w:val="false"/>
          <w:sz w:val="16"/>
        </w:rPr>
      </w:pPr>
      <w:r>
        <w:rPr>
          <w:rFonts w:ascii="Times New Roman;serif" w:hAnsi="Times New Roman;serif"/>
          <w:b w:val="false"/>
          <w:sz w:val="16"/>
        </w:rPr>
        <w:t>NM - Not Meaningful</w:t>
      </w:r>
    </w:p>
    <w:p>
      <w:pPr>
        <w:pStyle w:val="TextBody"/>
        <w:spacing w:before="24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activities account for a significant portion of our operating expenses. Research and development expenses relate primarily to discovery and development of our platforms, programs and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(CROs) to execute preclinical studies and clinical trials on our behalf, consulting fees and fees related to licensing agreements. We do not allocate our costs by platform, program or product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candidate or proprietary platform technology, as a significant amount of research and development expenses include internal costs, which are deployed across multiple platforms, programs, product candidates and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expense all research and development costs in the periods in which they are incurred. We enter into various agreements with CROs. Costs of certain research and development activities are recognized based on estimates generally based on an evaluation of the progress and input from external service providers.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periods presented:</w:t>
      </w:r>
    </w:p>
    <w:p>
      <w:pPr>
        <w:pStyle w:val="TextBody"/>
        <w:spacing w:before="0" w:after="0"/>
        <w:jc w:val="left"/>
        <w:rPr/>
      </w:pPr>
      <w:r>
        <w:rPr/>
        <w:t> </w:t>
      </w:r>
    </w:p>
    <w:tbl>
      <w:tblPr>
        <w:tblW w:w="7895" w:type="dxa"/>
        <w:jc w:val="left"/>
        <w:tblInd w:w="0" w:type="dxa"/>
        <w:tblCellMar>
          <w:top w:w="28" w:type="dxa"/>
          <w:left w:w="28" w:type="dxa"/>
          <w:bottom w:w="28" w:type="dxa"/>
          <w:right w:w="28" w:type="dxa"/>
        </w:tblCellMar>
      </w:tblPr>
      <w:tblGrid>
        <w:gridCol w:w="3511"/>
        <w:gridCol w:w="146"/>
        <w:gridCol w:w="211"/>
        <w:gridCol w:w="676"/>
        <w:gridCol w:w="146"/>
        <w:gridCol w:w="146"/>
        <w:gridCol w:w="211"/>
        <w:gridCol w:w="676"/>
        <w:gridCol w:w="146"/>
        <w:gridCol w:w="146"/>
        <w:gridCol w:w="211"/>
        <w:gridCol w:w="631"/>
        <w:gridCol w:w="166"/>
        <w:gridCol w:w="146"/>
        <w:gridCol w:w="726"/>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Personnel-related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29%</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and laboratory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Outside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(19%)</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45%</w:t>
            </w:r>
          </w:p>
        </w:tc>
      </w:tr>
      <w:tr>
        <w:trPr/>
        <w:tc>
          <w:tcPr>
            <w:tcW w:w="35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were $25.6 million and $24.2 million for the three months ended March 31, 2023 and 2022, respectively. The year-over-year increase of $1.5 million, or 6%, was primarily due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of $2.2 million in employee-related costs reflecting higher stock-based compensation;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of $0.6 million in facility and laboratory costs, including manufacturing and laboratory supplies and materials and other allocated costs; partially offset by</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 decrease of $1.5 million in outside services costs. The outside service costs include costs incurred for contract research organizations on the IND-enabling and other research and development activities, preclinical studies and other external research expenses. The decrease was primarily due to a decrease in outside lab services costs, partially offset by an increase in clinical trial activities.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our research and development expenses to increase for the foreseeable future as we continue to invest in research and development activities related to the preclinical and clinical development of our product candidates and proprietary platform technology. 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w:t>
      </w:r>
    </w:p>
    <w:p>
      <w:pPr>
        <w:pStyle w:val="TextBody"/>
        <w:spacing w:before="240" w:after="0"/>
        <w:jc w:val="left"/>
        <w:rPr>
          <w:rFonts w:ascii="Times New Roman;serif" w:hAnsi="Times New Roman;serif"/>
          <w:b/>
          <w:i/>
          <w:sz w:val="20"/>
        </w:rPr>
      </w:pPr>
      <w:r>
        <w:rPr>
          <w:rFonts w:ascii="Times New Roman;serif" w:hAnsi="Times New Roman;serif"/>
          <w:b/>
          <w:i/>
          <w:sz w:val="20"/>
        </w:rPr>
        <w:t>General and Administrative</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that our general and administrative expenses will generally increase for the foreseeable future to support our continued research and development activities, future business development opportunities and professional fees. In addition, we will continue to incur legal, accounting, insurance and other expenses in operating our business as a public company, including costs associated with regulatory and compliance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$8.1 million and $7.0 million for the three months ended March 31, 2023 and 2022, respectively. The change of $1.1 million, or 16%, was primarily due to an increase in stock-based compensation.</w:t>
      </w:r>
    </w:p>
    <w:p>
      <w:pPr>
        <w:pStyle w:val="TextBody"/>
        <w:spacing w:before="240" w:after="0"/>
        <w:jc w:val="left"/>
        <w:rPr>
          <w:rFonts w:ascii="Times New Roman;serif" w:hAnsi="Times New Roman;serif"/>
          <w:b/>
          <w:i/>
          <w:sz w:val="20"/>
        </w:rPr>
      </w:pPr>
      <w:r>
        <w:rPr>
          <w:rFonts w:ascii="Times New Roman;serif" w:hAnsi="Times New Roman;serif"/>
          <w:b/>
          <w:i/>
          <w:sz w:val="20"/>
        </w:rPr>
        <w:t>Interest Income</w:t>
      </w:r>
    </w:p>
    <w:p>
      <w:pPr>
        <w:pStyle w:val="TextBody"/>
        <w:spacing w:before="120" w:after="0"/>
        <w:jc w:val="left"/>
        <w:rPr>
          <w:rFonts w:ascii="Times New Roman" w:hAnsi="Times New Roman"/>
          <w:sz w:val="20"/>
        </w:rPr>
      </w:pPr>
      <w:r>
        <w:rPr>
          <w:rFonts w:ascii="Times New Roman;serif" w:hAnsi="Times New Roman;serif"/>
          <w:b w:val="false"/>
          <w:sz w:val="20"/>
        </w:rPr>
        <w:t>Interest income primarily consists of accretion of investments purchased at discounts and interest earned on our cash, cash equivalents and investment balances. The year-over-year increase of $1.9 million was primarily due to higher interest rates on investments and higher accretion of marketable securities.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Other Income (Expense), Net</w:t>
      </w:r>
    </w:p>
    <w:p>
      <w:pPr>
        <w:pStyle w:val="TextBody"/>
        <w:spacing w:before="120" w:after="0"/>
        <w:jc w:val="left"/>
        <w:rPr>
          <w:rFonts w:ascii="Times New Roman" w:hAnsi="Times New Roman"/>
          <w:sz w:val="20"/>
        </w:rPr>
      </w:pPr>
      <w:r>
        <w:rPr>
          <w:rFonts w:ascii="Times New Roman;serif" w:hAnsi="Times New Roman;serif"/>
          <w:b w:val="false"/>
          <w:sz w:val="20"/>
        </w:rPr>
        <w:t>Other income (expense), net primarily consists of gain and loss on disposal of assets.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Net Loss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loss for the three months ended March 31, 2023, was $31.7 million, compared to a net loss of $31.1 million for the three months ended March 31, 2022.</w:t>
      </w:r>
    </w:p>
    <w:p>
      <w:pPr>
        <w:pStyle w:val="TextBody"/>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240" w:after="0"/>
        <w:jc w:val="left"/>
        <w:rPr>
          <w:rFonts w:ascii="Times New Roman;serif" w:hAnsi="Times New Roman;serif"/>
          <w:b/>
          <w:i/>
          <w:sz w:val="20"/>
        </w:rPr>
      </w:pPr>
      <w:r>
        <w:rPr>
          <w:rFonts w:ascii="Times New Roman;serif" w:hAnsi="Times New Roman;serif"/>
          <w:b/>
          <w:i/>
          <w:sz w:val="20"/>
        </w:rPr>
        <w:t>Sources of Liquidity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our inception, we have not generated any revenue and we have incurred significant net losses and negative cash flows from operations. From our inception through March 31, 2023, we have funded our operations primarily from the sale and issuance of our equity securities. As of March 31, 2023, we had cash, cash equivalents and investments in marketable securities of $173.6 million and an accumulated deficit of $310.9 million.</w:t>
      </w:r>
    </w:p>
    <w:p>
      <w:pPr>
        <w:pStyle w:val="TextBody"/>
        <w:spacing w:before="240" w:after="0"/>
        <w:jc w:val="left"/>
        <w:rPr>
          <w:rFonts w:ascii="Times New Roman;serif" w:hAnsi="Times New Roman;serif"/>
          <w:b/>
          <w:i/>
          <w:sz w:val="20"/>
        </w:rPr>
      </w:pPr>
      <w:r>
        <w:rPr>
          <w:rFonts w:ascii="Times New Roman;serif" w:hAnsi="Times New Roman;serif"/>
          <w:b/>
          <w:i/>
          <w:sz w:val="20"/>
        </w:rPr>
        <w:t>Follow-on Offering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November 21, 2022, we completed an underwritten public offering of 22,613,307 shares of our common stock at a price of $2.60 per share and, to certain investors in lieu of common stock, pre-funded warrants to purchase 6,236,693 shares of our common stock at a price of $2.599 per pre-funded warrant under our registration statement on Form S-3 (File No. 333-266741) (the Shelf Registration Statement). The pre-funded warrants can be exercised at any time after issuance for an exercise price of $0.001 per share, subject to certain ownership limitations. In addition, we granted the underwriters a 30-day option to purchase up to an additional 4,327,500 shares of our common stock to cover overallotments, if any, at $2.60 per share. On November 29, 2022, the underwriters partially exercised the option and purchased an additional 2,816,409 shares of our common stock. We received total net proceeds of $76.9 million after deducting underwriting discounts and commissions of $4.9 million and offering expenses of $0.5 million. As of March 31, 2023, no pre-funded warrants have been exercised.</w:t>
      </w:r>
    </w:p>
    <w:p>
      <w:pPr>
        <w:pStyle w:val="TextBody"/>
        <w:spacing w:before="0" w:after="0"/>
        <w:jc w:val="both"/>
        <w:rPr/>
      </w:pPr>
      <w:r>
        <w:rPr/>
        <w:t> </w:t>
      </w:r>
    </w:p>
    <w:p>
      <w:pPr>
        <w:pStyle w:val="TextBody"/>
        <w:spacing w:before="0" w:after="0"/>
        <w:jc w:val="both"/>
        <w:rPr/>
      </w:pPr>
      <w:r>
        <w:rPr/>
        <w:t>“</w:t>
      </w:r>
      <w:r>
        <w:rPr>
          <w:rFonts w:ascii="Times New Roman;serif" w:hAnsi="Times New Roman;serif"/>
          <w:b/>
          <w:i/>
          <w:sz w:val="20"/>
        </w:rPr>
        <w:t>At-the-Market” Equity Offering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10, 2022, we entered into a sales agreement (Sales Agreement) with SVB Securities LLC (SVB Securities). Pursuant to the Sales Agreement we may sell, from time to time up to an aggregate of $75.0 million of our common stock through an “at-the-market” offering defined in Rule 415 under the Securities Act. We will pay SVB Securities a commission equal to 3.0% of the gross proceeds from the sale of shares of our common stock under the Sales Agreement. The $75.0 million of common stock that may be offered, issued and sold under the Sales Agreement is included in the $300.0 million of securities that may be offered, issued and sold by us under our registration statement on Form S-3 (File No. 333-266741). As of March 31, 2023, no shares have been sold pursuant to the Sales Agreement.</w:t>
      </w:r>
    </w:p>
    <w:p>
      <w:pPr>
        <w:pStyle w:val="TextBody"/>
        <w:spacing w:before="240" w:after="0"/>
        <w:jc w:val="left"/>
        <w:rPr>
          <w:rFonts w:ascii="Times New Roman;serif" w:hAnsi="Times New Roman;serif"/>
          <w:b/>
          <w:i/>
          <w:sz w:val="20"/>
        </w:rPr>
      </w:pPr>
      <w:r>
        <w:rPr>
          <w:rFonts w:ascii="Times New Roman;serif" w:hAnsi="Times New Roman;serif"/>
          <w:b/>
          <w:i/>
          <w:sz w:val="20"/>
        </w:rPr>
        <w:t>Funding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our expenses and operating losses will continue to increase over the foreseeable future. The expected increase in expenses will be driven in large part by our ongoing activities, if and as we: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 to advance our lead product candidates, TN-201, TN-301 and TN-401, in and toward the clinic;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 preclinical development of our earlier-stage product candidates and initiate additional preclinical studies using our Gene Therapy, Cellular Regeneration and Precision Medicine platforms and core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operate our manufacturing facility and develop our manufacturing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seek regulatory approval of our product candidates that successfully complete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expand our operational, financial, and information systems, including personnel to support our preclinical and clinical development, manufacturing, system infrastructure, regulatory compliance and future commercialization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 to develop, grow, perfect, enforce and defend our intellectual property portfolio;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continue to incur legal, accounting, insurance and other expenses in operating our business as a public company, including costs associated with regulatory and compliance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pStyle w:val="TextBody"/>
        <w:spacing w:before="120" w:after="0"/>
        <w:jc w:val="left"/>
        <w:rPr>
          <w:rFonts w:ascii="Times New Roman" w:hAnsi="Times New Roman"/>
          <w:sz w:val="20"/>
        </w:rPr>
      </w:pPr>
      <w:r>
        <w:rPr>
          <w:rFonts w:ascii="Times New Roman;serif" w:hAnsi="Times New Roman;serif"/>
          <w:b w:val="false"/>
          <w:sz w:val="20"/>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spacing w:before="120" w:after="0"/>
        <w:jc w:val="left"/>
        <w:rPr>
          <w:rFonts w:ascii="Times New Roman" w:hAnsi="Times New Roman"/>
          <w:sz w:val="20"/>
        </w:rPr>
      </w:pPr>
      <w:r>
        <w:rPr>
          <w:rFonts w:ascii="Times New Roman;serif" w:hAnsi="Times New Roman;serif"/>
          <w:b w:val="false"/>
          <w:sz w:val="20"/>
        </w:rPr>
        <w:t>Our ability to raise additional funds may be adversely impacted by continued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Cash Flows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cash flows for each of the periods presented:</w:t>
      </w:r>
    </w:p>
    <w:p>
      <w:pPr>
        <w:pStyle w:val="TextBody"/>
        <w:spacing w:before="0" w:after="0"/>
        <w:jc w:val="left"/>
        <w:rPr/>
      </w:pPr>
      <w:r>
        <w:rPr/>
        <w:t> </w:t>
      </w:r>
    </w:p>
    <w:tbl>
      <w:tblPr>
        <w:tblW w:w="7379" w:type="dxa"/>
        <w:jc w:val="left"/>
        <w:tblInd w:w="0" w:type="dxa"/>
        <w:tblCellMar>
          <w:top w:w="28" w:type="dxa"/>
          <w:left w:w="28" w:type="dxa"/>
          <w:bottom w:w="28" w:type="dxa"/>
          <w:right w:w="28" w:type="dxa"/>
        </w:tblCellMar>
      </w:tblPr>
      <w:tblGrid>
        <w:gridCol w:w="4636"/>
        <w:gridCol w:w="146"/>
        <w:gridCol w:w="211"/>
        <w:gridCol w:w="736"/>
        <w:gridCol w:w="166"/>
        <w:gridCol w:w="146"/>
        <w:gridCol w:w="211"/>
        <w:gridCol w:w="736"/>
        <w:gridCol w:w="391"/>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100"/>
              <w:jc w:val="center"/>
              <w:rPr/>
            </w:pPr>
            <w:r>
              <w:rPr/>
              <w:t> </w:t>
            </w:r>
          </w:p>
        </w:tc>
      </w:tr>
      <w:tr>
        <w:trPr/>
        <w:tc>
          <w:tcPr>
            <w:tcW w:w="46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(28,756</w:t>
            </w:r>
          </w:p>
        </w:tc>
        <w:tc>
          <w:tcPr>
            <w:tcW w:w="3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16,434</w:t>
            </w:r>
          </w:p>
        </w:tc>
        <w:tc>
          <w:tcPr>
            <w:tcW w:w="391" w:type="dxa"/>
            <w:tcBorders/>
            <w:shd w:fill="auto" w:val="clear"/>
            <w:vAlign w:val="center"/>
          </w:tcPr>
          <w:p>
            <w:pPr>
              <w:pStyle w:val="TableContents"/>
              <w:spacing w:before="0" w:after="0"/>
              <w:ind w:left="0" w:right="0" w:firstLine="100"/>
              <w:jc w:val="left"/>
              <w:rPr/>
            </w:pPr>
            <w:r>
              <w:rPr/>
              <w:t> </w:t>
            </w:r>
          </w:p>
        </w:tc>
      </w:tr>
      <w:tr>
        <w:trPr/>
        <w:tc>
          <w:tcPr>
            <w:tcW w:w="46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6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(12,307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i/>
          <w:sz w:val="20"/>
        </w:rPr>
      </w:pPr>
      <w:r>
        <w:rPr>
          <w:rFonts w:ascii="Times New Roman;serif" w:hAnsi="Times New Roman;serif"/>
          <w:b/>
          <w:i/>
          <w:sz w:val="20"/>
        </w:rPr>
        <w:t>Operating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operating activities for the three months ended March 31, 2023 was $30.3 million, which consisted primarily of a net loss of $31.7 million and a net change in operating assets and liabilities of $4.4 million, partially offset by $5.9 million in non-cash charges. The change in net operating assets and liabilities was primarily due to a decrease in accounts payable and accrued expenses and other current liabilities of $4.0 million and a decrease in operating lease liabilities of $1.0 million. Cash flows from operations are generally impacted by the timing of payments to vendors and vendor payment terms. The non-cash charges primarily consisted of stock-based compensation of $3.5 million and depreciation and amortization of $2.1 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used in operating activities for the three months ended March 31, 2022 was $28.8 million, which consisted primarily of a net loss of $31.1 million and a net change in net operating assets and liabilities of $1.2 million, partially offset by $3.5 million in non-cash charges. The change in net operating assets and liabilities was primarily due to a decrease in accounts payable of $1.8 million. Cash flows from operations are generally impacted by the timing of payments to vendors and vendor payment terms. The non-cash charges primarily consisted of stock-based compensation of $2.1 million and depreciation and amortization of $1.0 million.</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for the three months ended March 31, 2023 was $8.1 million, which consisted of proceeds from maturities of marketable securities of $34.5 million, partially offset by purchases of marketable securities of $25.8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for the three months ended March 31, 2022 was $16.4 million, which consisted of proceeds from maturities of marketable securities of $68.2 million, partially offset by purchases of marketable securities of $43.2 million and purchases of property and equipment of $8.6 million primarily related to our manufacturing and office space located in</w:t>
        <w:br/>
        <w:t>Union City, California.</w:t>
      </w:r>
    </w:p>
    <w:p>
      <w:pPr>
        <w:pStyle w:val="TextBody"/>
        <w:spacing w:before="240" w:after="0"/>
        <w:jc w:val="left"/>
        <w:rPr>
          <w:rFonts w:ascii="Times New Roman;serif" w:hAnsi="Times New Roman;serif"/>
          <w:b/>
          <w:i/>
          <w:sz w:val="20"/>
        </w:rPr>
      </w:pPr>
      <w:r>
        <w:rPr>
          <w:rFonts w:ascii="Times New Roman;serif" w:hAnsi="Times New Roman;serif"/>
          <w:b/>
          <w:i/>
          <w:sz w:val="20"/>
        </w:rPr>
        <w:t>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financing activities for the three months ended March 31, 2023 consisted of payments of accrued offering costs.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for the three months ended March 31, 2022 consisted of proceeds from the exercise of stock options.</w:t>
      </w:r>
    </w:p>
    <w:p>
      <w:pPr>
        <w:pStyle w:val="TextBody"/>
        <w:spacing w:before="240" w:after="0"/>
        <w:jc w:val="left"/>
        <w:rPr>
          <w:rFonts w:ascii="Times New Roman;serif" w:hAnsi="Times New Roman;serif"/>
          <w:b/>
          <w:sz w:val="20"/>
        </w:rPr>
      </w:pPr>
      <w:r>
        <w:rPr>
          <w:rFonts w:ascii="Times New Roman;serif" w:hAnsi="Times New Roman;serif"/>
          <w:b/>
          <w:sz w:val="20"/>
        </w:rPr>
        <w:t>Contractual Obligations and Other Commitments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there have been no material changes from the contractual obligations and commitments previously disclosed in our Annual Report on Form 10-K for the year ended December 31, 2022.</w:t>
      </w:r>
    </w:p>
    <w:p>
      <w:pPr>
        <w:pStyle w:val="TextBody"/>
        <w:spacing w:before="240" w:after="0"/>
        <w:jc w:val="left"/>
        <w:rPr>
          <w:rFonts w:ascii="Times New Roman;serif" w:hAnsi="Times New Roman;serif"/>
          <w:b/>
          <w:sz w:val="20"/>
        </w:rPr>
      </w:pPr>
      <w:r>
        <w:rPr>
          <w:rFonts w:ascii="Times New Roman;serif" w:hAnsi="Times New Roman;serif"/>
          <w:b/>
          <w:sz w:val="20"/>
        </w:rPr>
        <w:t>Off-Balance Sheet Arrangements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inception, we have not engaged in any off-balance sheet arrangements as defined in the rules and regulations of the SEC.</w:t>
      </w:r>
    </w:p>
    <w:p>
      <w:pPr>
        <w:pStyle w:val="TextBody"/>
        <w:spacing w:before="24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summary of our critical accounting policies and estimates is presented in Part II, Item 7 of our Annual Report on Form 10-K for the year ended December 31, 2022. There were no material changes to our critical accounting policies and estimates during the three months ended March 31, 2023.</w:t>
      </w:r>
    </w:p>
    <w:p>
      <w:pPr>
        <w:pStyle w:val="TextBody"/>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pStyle w:val="TextBody"/>
        <w:spacing w:before="240" w:after="0"/>
        <w:jc w:val="left"/>
        <w:rPr>
          <w:rFonts w:ascii="Times New Roman;serif" w:hAnsi="Times New Roman;serif"/>
          <w:b/>
          <w:sz w:val="20"/>
        </w:rPr>
      </w:pPr>
      <w:r>
        <w:rPr>
          <w:rFonts w:ascii="Times New Roman;serif" w:hAnsi="Times New Roman;serif"/>
          <w:b/>
          <w:sz w:val="20"/>
        </w:rPr>
        <w:t>Emerging Growth Company and Smaller Reporting Company Status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pStyle w:val="TextBody"/>
        <w:spacing w:before="24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under the Securities and Exchange Act of 1934 and in Item 10(f)(1) of Regulation S-K, and are not required to provide the information under this item.</w:t>
      </w:r>
    </w:p>
    <w:p>
      <w:pPr>
        <w:pStyle w:val="TextBody"/>
        <w:spacing w:before="240" w:after="0"/>
        <w:jc w:val="both"/>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24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spacing w:before="24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Exchange Act Rules 13a-15(f) and 15d-15(f)) during the quarter ended March 31, 2023 that have materially affected, or are reasonably likely to materially affect, our internal control over financial reporting.</w:t>
      </w:r>
    </w:p>
    <w:p>
      <w:pPr>
        <w:pStyle w:val="TextBody"/>
        <w:spacing w:before="240" w:after="0"/>
        <w:jc w:val="left"/>
        <w:rPr>
          <w:rFonts w:ascii="Times New Roman;serif" w:hAnsi="Times New Roman;serif"/>
          <w:b/>
          <w:sz w:val="20"/>
        </w:rPr>
      </w:pPr>
      <w:r>
        <w:rPr>
          <w:rFonts w:ascii="Times New Roman;serif" w:hAnsi="Times New Roman;serif"/>
          <w:b/>
          <w:sz w:val="20"/>
        </w:rPr>
        <w:t>Inherent Limitations on Effectiveness of Controls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spacing w:before="240" w:after="0"/>
        <w:jc w:val="left"/>
        <w:rPr>
          <w:rFonts w:ascii="Times New Roman" w:hAnsi="Times New Roman"/>
          <w:sz w:val="20"/>
        </w:rPr>
      </w:pPr>
      <w:bookmarkStart w:id="14" w:name="item_1a_risk_factors"/>
      <w:bookmarkEnd w:id="14"/>
      <w:r>
        <w:rPr>
          <w:rFonts w:ascii="Times New Roman;serif" w:hAnsi="Times New Roman;serif"/>
          <w:b/>
          <w:sz w:val="20"/>
        </w:rPr>
        <w:t>Item 1A. Risk Factors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 Factors Summary</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not generated any product revenue to date, have incurred significant net losses since our inception, and expect to continue to incur significant net losses for the foreseeable future.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mechanisms of action of our product candidates are unproven, and we do not know whether we will be able to develop any drug of commercial value.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Due to our limited manufacturing experience, there can be no assurance that we will be able to successfully manufacture product candidates to support our clinical development and commercialization plans.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operations and financial results could be adversely impacted by the effects of the novel coronavirus disease (COVID-19) pandemic in the United States (U.S.) and the rest of the world.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success depends significantly on our ability to operate without infringing, misappropriating or otherwise violating the patents and other intellectual property and proprietary rights of third parties.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Financial Position, Need for Additional Capital and Limited Operating History</w:t>
      </w:r>
    </w:p>
    <w:p>
      <w:pPr>
        <w:pStyle w:val="TextBody"/>
        <w:spacing w:before="120" w:after="0"/>
        <w:jc w:val="left"/>
        <w:rPr>
          <w:rFonts w:ascii="Times New Roman;serif" w:hAnsi="Times New Roman;serif"/>
          <w:b/>
          <w:i/>
          <w:sz w:val="20"/>
        </w:rPr>
      </w:pPr>
      <w:r>
        <w:rPr>
          <w:rFonts w:ascii="Times New Roman;serif" w:hAnsi="Times New Roman;serif"/>
          <w:b/>
          <w:i/>
          <w:sz w:val="20"/>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limited operating history upon which you can evaluate our business and prospects. We commenced operations in 2016, have not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In September 2022, we initiated a Phase 1 clinical trial evaluating TN-301 and began dosing TN-301 in humans. In January 2023, the FDA cleared our IND for TN-201 for evaluation in humans. All of our other product candidates are still in preclinical development and have never been tested in humans. Since our inception, we have devoted substantially all of our focus and financial resources to developing our gene therapy, cellular regeneration and precision medicine platforms, identifying and developing product candidates, conducting preclinical studies and clinical trials, acquiring technology, organizing and recruiting management and technical staff, business planning, establishing our intellectual property portfolio, raising capital, and providing general and administrative support for these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limited experience conducting clinical trials and have not yet demonstrated our ability to successfully complete any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spacing w:before="240" w:after="0"/>
        <w:jc w:val="left"/>
        <w:rPr>
          <w:rFonts w:ascii="Times New Roman;serif" w:hAnsi="Times New Roman;serif"/>
          <w:b/>
          <w:i/>
          <w:sz w:val="20"/>
        </w:rPr>
      </w:pPr>
      <w:r>
        <w:rPr>
          <w:rFonts w:ascii="Times New Roman;serif" w:hAnsi="Times New Roman;serif"/>
          <w:b/>
          <w:i/>
          <w:sz w:val="20"/>
        </w:rPr>
        <w:t>We have not generated any product revenue to date, have incurred significant net losses since our inception, and expect to continue to incur significant net losses for the foreseeable future.</w:t>
      </w:r>
    </w:p>
    <w:p>
      <w:pPr>
        <w:pStyle w:val="TextBody"/>
        <w:spacing w:before="120" w:after="0"/>
        <w:jc w:val="left"/>
        <w:rPr>
          <w:rFonts w:ascii="Times New Roman" w:hAnsi="Times New Roman"/>
          <w:sz w:val="20"/>
        </w:rPr>
      </w:pPr>
      <w:r>
        <w:rPr>
          <w:rFonts w:ascii="Times New Roman;serif" w:hAnsi="Times New Roman;serif"/>
          <w:b w:val="false"/>
          <w:sz w:val="20"/>
        </w:rPr>
        <w:t>We have incurred significant net losses since our inception, have not generated any product revenue to date and have financed our operations principally through issuances of our stock. Our net loss was $31.7 million for the three months ended March 31, 2023. As of March 31, 2023, we had an accumulated deficit of $310.9 million.</w:t>
      </w:r>
      <w:r>
        <w:rPr>
          <w:rFonts w:ascii="Times New Roman" w:hAnsi="Times New Roman"/>
          <w:sz w:val="20"/>
        </w:rPr>
        <w:t xml:space="preserve"> </w:t>
      </w:r>
      <w:r>
        <w:rPr>
          <w:rFonts w:ascii="Times New Roman;serif" w:hAnsi="Times New Roman;serif"/>
          <w:b w:val="false"/>
          <w:sz w:val="20"/>
        </w:rPr>
        <w:t>Substantially all of our losses have resulted from expenses incurred in connection with our research and development programs and from general and administrative costs associated with our operations. Our product candidates will require substantial additional development time and resources before we will be able to apply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spacing w:before="240" w:after="0"/>
        <w:jc w:val="left"/>
        <w:rPr>
          <w:rFonts w:ascii="Times New Roman;serif" w:hAnsi="Times New Roman;serif"/>
          <w:b/>
          <w:i/>
          <w:sz w:val="20"/>
        </w:rPr>
      </w:pPr>
      <w:r>
        <w:rPr>
          <w:rFonts w:ascii="Times New Roman;serif" w:hAnsi="Times New Roman;serif"/>
          <w:b/>
          <w:i/>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submission of INDs or other regulatory applications for our planned clinical trials, obtaining regulatory approval to commence clinical trials of our product candidates, and achieving favorable results from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and maintaining relationships with contract research organizations (CROs) and clinical sites for the clinical development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initiation and successful patient enrollment and completion of clinical trials on a timely basis;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acceptable frequency and severity of adverse events in the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efficacy and safety profiles that are satisfactory to the FDA or any comparable foreign regulatory authority for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timely receipt of marketing approvals from applicable regulatory authorities for any product candidates for which we successfully complete clinical development;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complying with any required post-marketing approval commitments to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commercial launch following any marketing approval, including the development of a commercial infrastructure, whether in-house or with one or more collaborators;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outputs from our capsid engineering and promotor and regulator elements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continued acceptable safety profile following any marketing approval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actual market-size, ability to identify patients and the demographics of patients eligible for our product candidates, which may be different than expected; and commercial acceptance of our product candidates by patients, the medical community and third-party payors;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distribute our products to certain segments of the patient population only accessible through restricted or closed distribution channels;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satisfying any required post-marketing approval commitments to applicable regulatory authorities, and maintaining consistent quality, purity, and potency across clinical supplies and commercial supplies for any approved products;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identifying, assessing and developing new product candidates, and our ability to expand into multiple indications;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maintaining, and expanding patent and other intellectual property protection, trade secret protection and regulatory exclusivity, both in the U.S. and internationally;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protecting and enforcing our rights in our intellectual property portfolio;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defending against third-party infringement, misappropriation, or other claims,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entering into, on favorable terms, any collaboration, licensing or other arrangements that may be necessary or desirable to develop, manufacture or commercialize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coverage and adequate reimbursement by third-party payors for our products and patients’ willingness to pay in the absence of such coverage and adequate reimbursement;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additional funding to develop, manufacture and commercialize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addressing any competing therapies and technological and market developments;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managing costs, including any unforeseen costs, that we may incur as a result of nonclinical study or clinical trial delays;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attracting, hiring and retaining qualified and key personnel including clinical, scientific, management and administrative personnel.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pStyle w:val="TextBody"/>
        <w:spacing w:before="240" w:after="0"/>
        <w:jc w:val="left"/>
        <w:rPr>
          <w:rFonts w:ascii="Times New Roman" w:hAnsi="Times New Roman"/>
          <w:sz w:val="20"/>
        </w:rPr>
      </w:pPr>
      <w:r>
        <w:rPr>
          <w:rFonts w:ascii="Times New Roman;serif" w:hAnsi="Times New Roman;serif"/>
          <w:b/>
          <w:i/>
          <w:sz w:val="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$173.6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Quarterly Report on Form 10-Q.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capital requirements will depend on may factors, including, but not limited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of researching, developing and testing our product candidates, including conducting preclinical studies and clinical trials;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costs, timing and outcome of regulatory review of our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and characteristics of other product candidates that we pursue or acquire;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future activities, including product sales, medical affairs, marketing, manufacturing and distribution, for any of our product candidates for which we receive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operating our own manufacturing facility;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manufacturing commercial-grade products and sufficient inventory to support commercial launch;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commercialization activities, include the cost of building a sales force in anticipation of product commercialization and distribution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revenue, if any, received from commercial sale of our products, should any of our product candidates receive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and timing of hiring new employees to support organizational development;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protecting and enforcing our intellectual property rights and defending intellectual property-related claims;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 of competing products that may limit market penetration of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establish and maintain collaborations on favorable terms, if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to which we acquire or in-license other product candidates and technologies;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receipt and amount of sales of, or milestone payments related to or royalties on, our current or future product candidates,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need to implement additional internal systems and infrastructure, including financial and reporting systems;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compliance and administrative costs associated with being a public company;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invest in businesses, products, or technologies.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pStyle w:val="TextBody"/>
        <w:spacing w:before="120" w:after="0"/>
        <w:jc w:val="left"/>
        <w:rPr>
          <w:rFonts w:ascii="Times New Roman" w:hAnsi="Times New Roman"/>
          <w:sz w:val="20"/>
        </w:rPr>
      </w:pPr>
      <w:r>
        <w:rPr>
          <w:rFonts w:ascii="Times New Roman;serif" w:hAnsi="Times New Roman;serif"/>
          <w:b w:val="false"/>
          <w:sz w:val="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Our ability to utilize our net operating loss carryforwards and certain other tax attributes to offset future taxable income may be limited.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Consequently, our ability to use our NOLs and certain other tax attributes may be limited.</w:t>
      </w:r>
    </w:p>
    <w:p>
      <w:pPr>
        <w:pStyle w:val="TextBody"/>
        <w:spacing w:before="240" w:after="0"/>
        <w:jc w:val="left"/>
        <w:rPr>
          <w:rFonts w:ascii="Times New Roman;serif" w:hAnsi="Times New Roman;serif"/>
          <w:b/>
          <w:sz w:val="20"/>
        </w:rPr>
      </w:pPr>
      <w:r>
        <w:rPr>
          <w:rFonts w:ascii="Times New Roman;serif" w:hAnsi="Times New Roman;serif"/>
          <w:b/>
          <w:sz w:val="20"/>
        </w:rPr>
        <w:t>Risks Related to the Discovery, Development, Manufacturing and Commercialization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spacing w:before="120" w:after="0"/>
        <w:jc w:val="left"/>
        <w:rPr>
          <w:rFonts w:ascii="Times New Roman" w:hAnsi="Times New Roman"/>
          <w:sz w:val="20"/>
        </w:rPr>
      </w:pPr>
      <w:r>
        <w:rPr>
          <w:rFonts w:ascii="Times New Roman;serif" w:hAnsi="Times New Roman;serif"/>
          <w:b w:val="false"/>
          <w:sz w:val="20"/>
        </w:rPr>
        <w:t>We are very early in our development efforts. 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spacing w:before="120" w:after="0"/>
        <w:jc w:val="left"/>
        <w:rPr>
          <w:rFonts w:ascii="Times New Roman" w:hAnsi="Times New Roman"/>
          <w:sz w:val="20"/>
        </w:rPr>
      </w:pPr>
      <w:r>
        <w:rPr>
          <w:rFonts w:ascii="Times New Roman;serif" w:hAnsi="Times New Roman;serif"/>
          <w:b w:val="false"/>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serif" w:hAnsi="Times New Roman;serif"/>
          <w:b w:val="false"/>
          <w:i/>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serif" w:hAnsi="Times New Roman;serif"/>
          <w:b w:val="false"/>
          <w:sz w:val="20"/>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U.S., the European Union (EU) or other jurisdictions.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requirements that will govern any novel gene therapy product candidates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spacing w:before="120" w:after="0"/>
        <w:jc w:val="left"/>
        <w:rPr>
          <w:rFonts w:ascii="Times New Roman" w:hAnsi="Times New Roman"/>
          <w:sz w:val="20"/>
        </w:rPr>
      </w:pPr>
      <w:r>
        <w:rPr>
          <w:rFonts w:ascii="Times New Roman;serif" w:hAnsi="Times New Roman;serif"/>
          <w:b w:val="false"/>
          <w:sz w:val="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spacing w:before="120" w:after="0"/>
        <w:jc w:val="left"/>
        <w:rPr>
          <w:rFonts w:ascii="Times New Roman;serif" w:hAnsi="Times New Roman;serif"/>
          <w:b/>
          <w:i/>
          <w:sz w:val="20"/>
        </w:rPr>
      </w:pPr>
      <w:r>
        <w:rPr>
          <w:rFonts w:ascii="Times New Roman;serif" w:hAnsi="Times New Roman;serif"/>
          <w:b/>
          <w:i/>
          <w:sz w:val="20"/>
        </w:rPr>
        <w:t>The mechanisms of action of our product candidates are unproven, and we do not know whether we will be able to develop any drug of commercial value.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spacing w:before="240" w:after="0"/>
        <w:jc w:val="left"/>
        <w:rPr>
          <w:rFonts w:ascii="Times New Roman;serif" w:hAnsi="Times New Roman;serif"/>
          <w:b/>
          <w:i/>
          <w:sz w:val="20"/>
        </w:rPr>
      </w:pPr>
      <w:r>
        <w:rPr>
          <w:rFonts w:ascii="Times New Roman;serif" w:hAnsi="Times New Roman;serif"/>
          <w:b/>
          <w:i/>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is impossible to predict when or if any product candidate that we develop will prove effective or safe in humans or will receive marketing approval. Before obtaining marketing approval from the FDA, European Commission, following a positive opinion from the EMA, or other comparable foreign regulatory authorities for the sale of our product candidates, we must complete lengthy, complex and extensive preclinical studies and clinical trials to demonstrate with substantial evidence the safety and efficacy of such product candidates.</w:t>
      </w:r>
    </w:p>
    <w:p>
      <w:pPr>
        <w:pStyle w:val="TextBody"/>
        <w:spacing w:before="120" w:after="0"/>
        <w:jc w:val="left"/>
        <w:rPr>
          <w:rFonts w:ascii="Times New Roman" w:hAnsi="Times New Roman"/>
          <w:sz w:val="20"/>
        </w:rPr>
      </w:pPr>
      <w:r>
        <w:rPr>
          <w:rFonts w:ascii="Times New Roman;serif" w:hAnsi="Times New Roman;serif"/>
          <w:b w:val="false"/>
          <w:sz w:val="20"/>
        </w:rPr>
        <w:t>Preclinical and 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Failure can occur at any stage of testing. Such failure may result from a multitude of factors, including, among other things, flaws in study design, dose selection issues, placebo effects, patient enrollment criteria and failure to demonstrate favorable safety or efficacy traits, which could delay or prevent the submission of an IND, initiation of a clinical trial, receipt of marketing approval or our ability to commercialize our product candidates, or require us to suspended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sz w:val="20"/>
        </w:rPr>
        <w:t xml:space="preserve"> </w:t>
      </w:r>
      <w:r>
        <w:rPr>
          <w:rFonts w:ascii="Times New Roman;serif" w:hAnsi="Times New Roman;serif"/>
          <w:b w:val="false"/>
          <w:sz w:val="20"/>
        </w:rPr>
        <w:t>we cannot assure you that any preclinical studies, clinical trials or post-marketing studies that we conduct will demonstrate consistent or adequate efficacy and safety to support marketing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inability to generate sufficient preclinical, toxicology, or other </w:t>
      </w:r>
      <w:r>
        <w:rPr>
          <w:rFonts w:ascii="Times New Roman;serif" w:hAnsi="Times New Roman;serif"/>
          <w:b w:val="false"/>
          <w:i/>
          <w:sz w:val="20"/>
        </w:rPr>
        <w:t xml:space="preserve">in vivo </w:t>
      </w:r>
      <w:r>
        <w:rPr>
          <w:rFonts w:ascii="Times New Roman;serif" w:hAnsi="Times New Roman;serif"/>
          <w:b w:val="false"/>
          <w:sz w:val="20"/>
        </w:rPr>
        <w:t xml:space="preserve">or </w:t>
      </w:r>
      <w:r>
        <w:rPr>
          <w:rFonts w:ascii="Times New Roman;serif" w:hAnsi="Times New Roman;serif"/>
          <w:b w:val="false"/>
          <w:i/>
          <w:sz w:val="20"/>
        </w:rPr>
        <w:t xml:space="preserve">in vitro </w:t>
      </w:r>
      <w:r>
        <w:rPr>
          <w:rFonts w:ascii="Times New Roman;serif" w:hAnsi="Times New Roman;serif"/>
          <w:b w:val="false"/>
          <w:sz w:val="20"/>
        </w:rPr>
        <w:t>data to support the initiation of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sufficiently developing, characterizing or controlling a manufacturing process suitable for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receipt of feedback from regulatory authorities that requires us to modify the design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preclinical study or clinical trial observations or results that require us to modify the design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negative or inconclusive preclinical study or clinical trial results that may require us to conduct additional preclinical studies or clinical trials or abandon certain research and/or drug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approval from one or more IRBs;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failure or delay in reaching an agreement with CROs and clinical trial sites;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the suspension or termination of our clinical trials, as a result of a clinical hold by regulatory authorities,</w:t>
      </w:r>
      <w:r>
        <w:rPr/>
        <w:t xml:space="preserve"> </w:t>
      </w:r>
      <w:r>
        <w:rPr>
          <w:rFonts w:ascii="Times New Roman;serif" w:hAnsi="Times New Roman;serif"/>
          <w:b w:val="false"/>
          <w:sz w:val="20"/>
        </w:rPr>
        <w:t>for various reasons, including non-compliance with regulatory requirements, a finding that our product candidates have undesirable side effects or other unfavorable or unexpected characteristics or risks;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to clinical trial protocol;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sites deviating from trial protocol or dropping out of a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preclinical studies or clinical trials being greater than anticipated;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supply or quality of our product candidates or other materials necessary to conduct clinical trials of our product candidates being insufficient or inadequate;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subjects experiencing severe or unexpected drug-related adverse effects;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selection of clinical end points that require prolonged periods of clinical observation or analysis of the resulting data;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changes to our manufacturing process that may be necessary or desired;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third-party contractors not performing data collection or analysis in a timely or accurate manner;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regulators revising the requirements for approving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unsuccessful post-marketing study or failure to complete such a study;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absence in some countries of established groups with sufficient regulatory expertise for review of AAV gene therapy protocols;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potential burden of complying with a variety of foreign laws, medical standards and regulatory requirements, including the regulation of pharmaceutical and biotechnology products and treatment.</w:t>
      </w:r>
    </w:p>
    <w:p>
      <w:pPr>
        <w:pStyle w:val="TextBody"/>
        <w:spacing w:before="120" w:after="0"/>
        <w:jc w:val="left"/>
        <w:rPr>
          <w:rFonts w:ascii="Times New Roman" w:hAnsi="Times New Roman"/>
          <w:sz w:val="20"/>
        </w:rPr>
      </w:pPr>
      <w:r>
        <w:rPr>
          <w:rFonts w:ascii="Times New Roman;serif" w:hAnsi="Times New Roman;serif"/>
          <w:b w:val="false"/>
          <w:sz w:val="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Any delays in our planned clinical development activities for pediatric patients could have an adverse effect on our business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submitting an IND, initiating clinical trials or seeking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pStyle w:val="TextBody"/>
        <w:spacing w:before="120" w:after="0"/>
        <w:jc w:val="left"/>
        <w:rPr>
          <w:rFonts w:ascii="Times New Roman" w:hAnsi="Times New Roman"/>
          <w:sz w:val="20"/>
        </w:rPr>
      </w:pPr>
      <w:r>
        <w:rPr>
          <w:rFonts w:ascii="Times New Roman;serif" w:hAnsi="Times New Roman;serif"/>
          <w:b w:val="false"/>
          <w:sz w:val="20"/>
        </w:rPr>
        <w:t>Patients in our clinical trials may suffer serious adverse events or other side effects not observed in our preclinical studies or previous clinical trials. Patients treated with our product candidates may also be undergoing other therapies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due to other therapies or medications that such patients may be using or due to the gravity of such patients’ illnesses.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serious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authority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of if approved, lead to the revocation of regulatory approval based on preclinical studies or early-stage clinical trials.</w:t>
      </w:r>
    </w:p>
    <w:p>
      <w:pPr>
        <w:pStyle w:val="TextBody"/>
        <w:spacing w:before="240" w:after="0"/>
        <w:jc w:val="left"/>
        <w:rPr>
          <w:rFonts w:ascii="Times New Roman;serif" w:hAnsi="Times New Roman;serif"/>
          <w:b/>
          <w:i/>
          <w:sz w:val="20"/>
        </w:rPr>
      </w:pPr>
      <w:r>
        <w:rPr>
          <w:rFonts w:ascii="Times New Roman;serif" w:hAnsi="Times New Roman;serif"/>
          <w:b/>
          <w:i/>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spacing w:before="120" w:after="0"/>
        <w:jc w:val="left"/>
        <w:rPr>
          <w:rFonts w:ascii="Times New Roman" w:hAnsi="Times New Roman"/>
          <w:sz w:val="20"/>
        </w:rPr>
      </w:pPr>
      <w:r>
        <w:rPr>
          <w:rFonts w:ascii="Times New Roman;serif" w:hAnsi="Times New Roman;serif"/>
          <w:b w:val="false"/>
          <w:sz w:val="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know whether any clinical trials we may conduct will demonstrate consistent or adequate efficacy and safety sufficient to obtain approval to market any of our product candidates.</w:t>
      </w:r>
    </w:p>
    <w:p>
      <w:pPr>
        <w:pStyle w:val="TextBody"/>
        <w:spacing w:before="240" w:after="0"/>
        <w:jc w:val="left"/>
        <w:rPr>
          <w:rFonts w:ascii="Times New Roman;serif" w:hAnsi="Times New Roman;serif"/>
          <w:b/>
          <w:i/>
          <w:sz w:val="20"/>
        </w:rPr>
      </w:pPr>
      <w:r>
        <w:rPr>
          <w:rFonts w:ascii="Times New Roman;serif" w:hAnsi="Times New Roman;serif"/>
          <w:b/>
          <w:i/>
          <w:sz w:val="20"/>
        </w:rPr>
        <w:t>If we experience delays or difficulties in the enrollment and/or maintenance of patients in clinical trials, our regulatory submissions or receipt of necessary marketing approvals could be delayed or prevented.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not be able to initiate or continue clinical trials for our product candidates if we are unable to locate and enroll a sufficient number of eligible patients to participate in these trials to such trial’s conclusion. Patient enrollment is a significant factor in the timing of clinical trials and our ability to enroll eligible patients may be limited or slower than we anticipate.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may be affected by other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size and nature of the patient population;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perceived risks and benefits of novel, unproven approaches;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severity of the disease under investigation;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availability and efficacy of approved drugs for the disease under investigation;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ongoing clinical trials evaluating other product candidates in the same disease under investigation;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eligibility criteria for the trial in question as defined in the protocol;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perceived risks and benefits of the product candidate under study;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referral practices of physicians;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challenges associated with recruiting eligible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monitor patients adequately during and after treatment;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activities of key opinion leaders (KOLs) and patient advocacy groups;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proximity and availability of clinical trial sites for prospective patients;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risk that patients enrolled in clinical trials will drop out of the trials before completion or, because they may have an advanced disease, will not survive the full terms of the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spacing w:before="240" w:after="0"/>
        <w:jc w:val="left"/>
        <w:rPr>
          <w:rFonts w:ascii="Times New Roman;serif" w:hAnsi="Times New Roman;serif"/>
          <w:b/>
          <w:i/>
          <w:sz w:val="20"/>
        </w:rPr>
      </w:pPr>
      <w:r>
        <w:rPr>
          <w:rFonts w:ascii="Times New Roman;serif" w:hAnsi="Times New Roman;serif"/>
          <w:b/>
          <w:i/>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spacing w:before="120" w:after="0"/>
        <w:jc w:val="left"/>
        <w:rPr>
          <w:rFonts w:ascii="Times New Roman" w:hAnsi="Times New Roman"/>
          <w:sz w:val="20"/>
        </w:rPr>
      </w:pPr>
      <w:r>
        <w:rPr>
          <w:rFonts w:ascii="Times New Roman;serif" w:hAnsi="Times New Roman;serif"/>
          <w:b w:val="false"/>
          <w:sz w:val="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spacing w:before="240" w:after="0"/>
        <w:jc w:val="left"/>
        <w:rPr>
          <w:rFonts w:ascii="Times New Roman;serif" w:hAnsi="Times New Roman;serif"/>
          <w:b/>
          <w:i/>
          <w:sz w:val="20"/>
        </w:rPr>
      </w:pPr>
      <w:r>
        <w:rPr>
          <w:rFonts w:ascii="Times New Roman;serif" w:hAnsi="Times New Roman;serif"/>
          <w:b/>
          <w:i/>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competitors both in the U.S.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spacing w:before="240" w:after="0"/>
        <w:jc w:val="left"/>
        <w:rPr>
          <w:rFonts w:ascii="Times New Roman;serif" w:hAnsi="Times New Roman;serif"/>
          <w:b/>
          <w:i/>
          <w:sz w:val="20"/>
        </w:rPr>
      </w:pPr>
      <w:r>
        <w:rPr>
          <w:rFonts w:ascii="Times New Roman;serif" w:hAnsi="Times New Roman;serif"/>
          <w:b/>
          <w:i/>
          <w:sz w:val="20"/>
        </w:rPr>
        <w:t>Interim, topline and preliminary data from our clinical trials that we announce or publish may change as more patient data become available and are subject to audit and verification procedures that could result in material changes in the final data.</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spacing w:before="240" w:after="0"/>
        <w:jc w:val="left"/>
        <w:rPr>
          <w:rFonts w:ascii="Times New Roman;serif" w:hAnsi="Times New Roman;serif"/>
          <w:b/>
          <w:i/>
          <w:sz w:val="20"/>
        </w:rPr>
      </w:pPr>
      <w:r>
        <w:rPr>
          <w:rFonts w:ascii="Times New Roman;serif" w:hAnsi="Times New Roman;serif"/>
          <w:b/>
          <w:i/>
          <w:sz w:val="20"/>
        </w:rPr>
        <w:t>We may not be successful in our efforts to utilize our proprietary drug discovery platforms to develop a pipeline of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pStyle w:val="TextBody"/>
        <w:spacing w:before="240" w:after="0"/>
        <w:jc w:val="left"/>
        <w:rPr>
          <w:rFonts w:ascii="Times New Roman;serif" w:hAnsi="Times New Roman;serif"/>
          <w:b/>
          <w:i/>
          <w:sz w:val="20"/>
        </w:rPr>
      </w:pPr>
      <w:r>
        <w:rPr>
          <w:rFonts w:ascii="Times New Roman;serif" w:hAnsi="Times New Roman;serif"/>
          <w:b/>
          <w:i/>
          <w:sz w:val="20"/>
        </w:rPr>
        <w:t>The manufacture of drugs is complex, and we or our third-party manufacturers and suppliers may encounter difficulties in production. If we or any of our third-party manufacturers or suppliers encounter such difficulties, our ability to provide adequate supply of our product candidates for preclinical studies or clinical trials or our products for patients, if approved, could be delayed or prevented.</w:t>
      </w:r>
    </w:p>
    <w:p>
      <w:pPr>
        <w:pStyle w:val="TextBody"/>
        <w:spacing w:before="120" w:after="0"/>
        <w:jc w:val="left"/>
        <w:rPr>
          <w:rFonts w:ascii="Times New Roman" w:hAnsi="Times New Roman"/>
          <w:sz w:val="20"/>
        </w:rPr>
      </w:pPr>
      <w:r>
        <w:rPr>
          <w:rFonts w:ascii="Times New Roman;serif" w:hAnsi="Times New Roman;serif"/>
          <w:b w:val="false"/>
          <w:sz w:val="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are made to the manufacturing process, we may be required to provide preclinical and clinical data showing the comparable quality and efficacy of the products before and after such changes.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spacing w:before="240" w:after="0"/>
        <w:jc w:val="left"/>
        <w:rPr>
          <w:rFonts w:ascii="Times New Roman;serif" w:hAnsi="Times New Roman;serif"/>
          <w:b/>
          <w:i/>
          <w:sz w:val="20"/>
        </w:rPr>
      </w:pPr>
      <w:r>
        <w:rPr>
          <w:rFonts w:ascii="Times New Roman;serif" w:hAnsi="Times New Roman;serif"/>
          <w:b/>
          <w:i/>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 In addition, problems in our manufacturing processes or facilities established for our gene therapy product candidates also could restrict our ability to meet market demand for our products, if approved, which would prevent us from generating product revenue and seriously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pStyle w:val="TextBody"/>
        <w:spacing w:before="240" w:after="0"/>
        <w:jc w:val="left"/>
        <w:rPr>
          <w:rFonts w:ascii="Times New Roman;serif" w:hAnsi="Times New Roman;serif"/>
          <w:b/>
          <w:i/>
          <w:sz w:val="20"/>
        </w:rPr>
      </w:pPr>
      <w:r>
        <w:rPr>
          <w:rFonts w:ascii="Times New Roman;serif" w:hAnsi="Times New Roman;serif"/>
          <w:b/>
          <w:i/>
          <w:sz w:val="20"/>
        </w:rPr>
        <w:t>Due to our limited manufacturing experience, there can be no assurance that we will be able to successfully manufacture product candidates to support our clinical development and commercialization plans.</w:t>
      </w:r>
    </w:p>
    <w:p>
      <w:pPr>
        <w:pStyle w:val="TextBody"/>
        <w:spacing w:before="120" w:after="0"/>
        <w:jc w:val="left"/>
        <w:rPr>
          <w:rFonts w:ascii="Times New Roman" w:hAnsi="Times New Roman"/>
          <w:sz w:val="20"/>
        </w:rPr>
      </w:pPr>
      <w:r>
        <w:rPr>
          <w:rFonts w:ascii="Times New Roman;serif" w:hAnsi="Times New Roman;serif"/>
          <w:b w:val="false"/>
          <w:sz w:val="20"/>
        </w:rPr>
        <w:t>We have fully integrated and internalized AAV manufacturing capabilities to support product candidates from our Gene Therapy and Cellular Regeneration platforms. However, to optimize our resources and to utilize extensive third-party experience in small molecule manufacturing, we intend to work with CDMOs for our small molecule programs.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delays in the ongoing development of our internal manufacturing capabilities may disrupt or delay the supply of our product candidates if we have not maintained a sufficient back-up supply of such product candidates.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failure or delay in the development of our manufacturing operations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pStyle w:val="TextBody"/>
        <w:spacing w:before="240" w:after="0"/>
        <w:jc w:val="left"/>
        <w:rPr>
          <w:rFonts w:ascii="Times New Roman;serif" w:hAnsi="Times New Roman;serif"/>
          <w:b/>
          <w:i/>
          <w:sz w:val="20"/>
        </w:rPr>
      </w:pPr>
      <w:r>
        <w:rPr>
          <w:rFonts w:ascii="Times New Roman;serif" w:hAnsi="Times New Roman;serif"/>
          <w:b/>
          <w:i/>
          <w:sz w:val="20"/>
        </w:rPr>
        <w:t>Our manufacturing facilities will be subject to significant government regulations and approvals, which are often costly and could result in adverse consequences to our business if we fail to comply with the regulations or maintain the approvals.</w:t>
      </w:r>
    </w:p>
    <w:p>
      <w:pPr>
        <w:pStyle w:val="TextBody"/>
        <w:spacing w:before="120" w:after="0"/>
        <w:jc w:val="left"/>
        <w:rPr>
          <w:rFonts w:ascii="Times New Roman" w:hAnsi="Times New Roman"/>
          <w:sz w:val="20"/>
        </w:rPr>
      </w:pPr>
      <w:r>
        <w:rPr>
          <w:rFonts w:ascii="Times New Roman;serif" w:hAnsi="Times New Roman;serif"/>
          <w:b w:val="false"/>
          <w:sz w:val="20"/>
        </w:rPr>
        <w:t>We will need to comply with the FDA’s and applicable foreign regulatory authorities’ cGMP requirements for the production of product candidates for clinical trials and, if approved, commercial supply. We may encounter difficulties in achieving QC and QA. We will be subject to inspections by the FDA and comparable agencies in other jurisdictions to confirm compliance with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pStyle w:val="TextBody"/>
        <w:spacing w:before="240" w:after="0"/>
        <w:jc w:val="left"/>
        <w:rPr>
          <w:rFonts w:ascii="Times New Roman;serif" w:hAnsi="Times New Roman;serif"/>
          <w:b/>
          <w:i/>
          <w:sz w:val="20"/>
        </w:rPr>
      </w:pPr>
      <w:r>
        <w:rPr>
          <w:rFonts w:ascii="Times New Roman;serif" w:hAnsi="Times New Roman;serif"/>
          <w:b/>
          <w:i/>
          <w:sz w:val="20"/>
        </w:rPr>
        <w:t>We may not be able to successfully manufacture our product candidates in sufficient quality and quantity, which would delay or prevent us from developing our product candidates and commercializing resulting approved products, if any.</w:t>
      </w:r>
    </w:p>
    <w:p>
      <w:pPr>
        <w:pStyle w:val="TextBody"/>
        <w:spacing w:before="120" w:after="0"/>
        <w:jc w:val="left"/>
        <w:rPr>
          <w:rFonts w:ascii="Times New Roman" w:hAnsi="Times New Roman"/>
          <w:sz w:val="20"/>
        </w:rPr>
      </w:pPr>
      <w:r>
        <w:rPr>
          <w:rFonts w:ascii="Times New Roman;serif" w:hAnsi="Times New Roman;serif"/>
          <w:b w:val="false"/>
          <w:sz w:val="20"/>
        </w:rPr>
        <w:t>To date, our product candidates have been manufactured in quantities adequate for preclinical studies and our Phase 1 clinical trials for TN-301 and TN-201.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spacing w:before="240" w:after="0"/>
        <w:jc w:val="left"/>
        <w:rPr>
          <w:rFonts w:ascii="Times New Roman;serif" w:hAnsi="Times New Roman;serif"/>
          <w:b/>
          <w:i/>
          <w:sz w:val="20"/>
        </w:rPr>
      </w:pPr>
      <w:r>
        <w:rPr>
          <w:rFonts w:ascii="Times New Roman;serif" w:hAnsi="Times New Roman;serif"/>
          <w:b/>
          <w:i/>
          <w:sz w:val="20"/>
        </w:rPr>
        <w:t>Our product candidates may not achieve adequate market acceptance among physicians, patients, healthcare payors and others in the medical community necessary for commercial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efficacy and safety profile as demonstrated in clinical trials compared to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perceived safety and efficacy profile and ease of use for pediatric patient population if approved for a pediatric indication;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market introduction of the product candidate as well as competitive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clinical indications for which a product candidate is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physicians, hospitals, treatment centers and patients considering our product candidates as a safe, pure and effective treatment;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perceived prevalence and severity of any side effects for our product candidates compared to the prevalence and severity of any side effects for conventional products and other gene therapies;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and perceived advantages of our product candidates over alternative treatments;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cost of treatment in relation to alternative treatments;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relative convenience and ease of administration;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willingness of the target patient population or their caregivers to try new therapies and of physicians to prescribe these therapies;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reimbursement by third-party payors, including government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patients’ willingness to pay for these therapies in the absence of such coverage and adequate reimbursement;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effectiveness of sales and marketing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support from KOLs and patient advocacy groups;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unfavorable publicity relating to our product candidates;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approval of other new therapies for the same indications.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spacing w:before="240" w:after="0"/>
        <w:jc w:val="left"/>
        <w:rPr>
          <w:rFonts w:ascii="Times New Roman;serif" w:hAnsi="Times New Roman;serif"/>
          <w:b/>
          <w:i/>
          <w:sz w:val="20"/>
        </w:rPr>
      </w:pPr>
      <w:r>
        <w:rPr>
          <w:rFonts w:ascii="Times New Roman;serif" w:hAnsi="Times New Roman;serif"/>
          <w:b/>
          <w:i/>
          <w:sz w:val="20"/>
        </w:rPr>
        <w:t>Adverse public perception or regulatory scrutiny of gene therapy technology or precision medicine for the treatment of heart diseases may negatively impact the developmental progress or commercial success of product candidates that we develop.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pStyle w:val="TextBody"/>
        <w:spacing w:before="240" w:after="0"/>
        <w:jc w:val="left"/>
        <w:rPr>
          <w:rFonts w:ascii="Times New Roman;serif" w:hAnsi="Times New Roman;serif"/>
          <w:b/>
          <w:i/>
          <w:sz w:val="20"/>
        </w:rPr>
      </w:pPr>
      <w:r>
        <w:rPr>
          <w:rFonts w:ascii="Times New Roman;serif" w:hAnsi="Times New Roman;serif"/>
          <w:b/>
          <w:i/>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spacing w:before="120" w:after="0"/>
        <w:jc w:val="left"/>
        <w:rPr>
          <w:rFonts w:ascii="Times New Roman" w:hAnsi="Times New Roman"/>
          <w:sz w:val="20"/>
        </w:rPr>
      </w:pPr>
      <w:r>
        <w:rPr>
          <w:rFonts w:ascii="Times New Roman;serif" w:hAnsi="Times New Roman;serif"/>
          <w:b w:val="false"/>
          <w:sz w:val="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significance or otherwise meeting their specified endpoints, which could require us to conduct additional clinical trials, or delay or prevent our product candidates from receiving regulatory approval, which would seriously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spacing w:before="240" w:after="0"/>
        <w:jc w:val="left"/>
        <w:rPr>
          <w:rFonts w:ascii="Times New Roman;serif" w:hAnsi="Times New Roman;serif"/>
          <w:b/>
          <w:i/>
          <w:sz w:val="20"/>
        </w:rPr>
      </w:pPr>
      <w:r>
        <w:rPr>
          <w:rFonts w:ascii="Times New Roman;serif" w:hAnsi="Times New Roman;serif"/>
          <w:b/>
          <w:i/>
          <w:sz w:val="20"/>
        </w:rPr>
        <w:t>Any product candidates we develop may become subject to unfavorable third-party coverage and reimbursement practices, as well as pricing regulations.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is significant uncertainty related to third-party payor coverage and reimbursement of newly approved products. In the U.S.,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spacing w:before="240" w:after="0"/>
        <w:jc w:val="left"/>
        <w:rPr>
          <w:rFonts w:ascii="Times New Roman;serif" w:hAnsi="Times New Roman;serif"/>
          <w:b/>
          <w:i/>
          <w:sz w:val="20"/>
        </w:rPr>
      </w:pPr>
      <w:r>
        <w:rPr>
          <w:rFonts w:ascii="Times New Roman;serif" w:hAnsi="Times New Roman;serif"/>
          <w:b/>
          <w:i/>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Regardless of the merits or eventual outcome, liability claims may result 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the development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FDA, EMA or other regulatory authority investigation of the safety and effectiveness of our products, our manufacturing processes and facilities or our marketing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decreased or interrupted demand for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injury to our reputation;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withdrawal of clinical trial participants and inability to continue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initiation of investigations by regulators;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costs to defend the related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diversion of management’s time and our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substantial monetary awards to trial participants or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recalls, withdrawals or labeling, marketing, or promotional restrictions;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loss of revenue;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exhaustion of any available insurance and our capital resources;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inability to commercialize any products.</w:t>
      </w:r>
    </w:p>
    <w:p>
      <w:pPr>
        <w:pStyle w:val="TextBody"/>
        <w:spacing w:before="240" w:after="0"/>
        <w:jc w:val="left"/>
        <w:rPr>
          <w:rFonts w:ascii="Times New Roman;serif" w:hAnsi="Times New Roman;serif"/>
          <w:b/>
          <w:sz w:val="20"/>
        </w:rPr>
      </w:pPr>
      <w:r>
        <w:rPr>
          <w:rFonts w:ascii="Times New Roman;serif" w:hAnsi="Times New Roman;serif"/>
          <w:b/>
          <w:sz w:val="20"/>
        </w:rPr>
        <w:t>Risks Related to Regulatory Approval and Other Legal Compliance Matters</w:t>
      </w:r>
    </w:p>
    <w:p>
      <w:pPr>
        <w:pStyle w:val="TextBody"/>
        <w:spacing w:before="120" w:after="0"/>
        <w:jc w:val="left"/>
        <w:rPr>
          <w:rFonts w:ascii="Times New Roman" w:hAnsi="Times New Roman"/>
          <w:sz w:val="20"/>
        </w:rPr>
      </w:pPr>
      <w:r>
        <w:rPr>
          <w:rFonts w:ascii="Times New Roman;serif" w:hAnsi="Times New Roman;serif"/>
          <w:b/>
          <w:i/>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disagree with the design, implementation or results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refuse to accept an application or decide not to accept data from our clinical trials conducted in locations outside of their jurisdiction;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population studied in the clinical trial may not be sufficiently broad or representative to assure efficacy and safety in the full population for which we seek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disagree with our interpretation of data from preclinical studies or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FDA, EMA or other comparable foreign regulatory authorities may require that we conduct additional preclinical studies or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unable to demonstrate to the FDA, EMA or other comparable foreign regulatory authorities that our product candidate’s risk-benefit ratio for its proposed indication is acceptable;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approval policies or regulations of the FDA, EMA or other comparable foreign regulatory authorities may significantly change in a manner rendering our clinical data insufficient for approval.</w:t>
      </w:r>
    </w:p>
    <w:p>
      <w:pPr>
        <w:pStyle w:val="TextBody"/>
        <w:spacing w:before="120" w:after="0"/>
        <w:jc w:val="left"/>
        <w:rPr>
          <w:rFonts w:ascii="Times New Roman" w:hAnsi="Times New Roman"/>
          <w:sz w:val="20"/>
        </w:rPr>
      </w:pPr>
      <w:r>
        <w:rPr>
          <w:rFonts w:ascii="Times New Roman;serif" w:hAnsi="Times New Roman;serif"/>
          <w:b w:val="false"/>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spacing w:before="120" w:after="0"/>
        <w:jc w:val="left"/>
        <w:rPr>
          <w:rFonts w:ascii="Times New Roman" w:hAnsi="Times New Roman"/>
          <w:sz w:val="20"/>
        </w:rPr>
      </w:pPr>
      <w:r>
        <w:rPr>
          <w:rFonts w:ascii="Times New Roman;serif" w:hAnsi="Times New Roman;serif"/>
          <w:b w:val="false"/>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marketing approvals, our target market will be reduced and our ability to realize the full market potential of our potential product candidates will be harmed.</w:t>
      </w:r>
    </w:p>
    <w:p>
      <w:pPr>
        <w:pStyle w:val="TextBody"/>
        <w:spacing w:before="240" w:after="0"/>
        <w:jc w:val="left"/>
        <w:rPr>
          <w:rFonts w:ascii="Times New Roman;serif" w:hAnsi="Times New Roman;serif"/>
          <w:b/>
          <w:i/>
          <w:sz w:val="20"/>
        </w:rPr>
      </w:pPr>
      <w:r>
        <w:rPr>
          <w:rFonts w:ascii="Times New Roman;serif" w:hAnsi="Times New Roman;serif"/>
          <w:b/>
          <w:i/>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or the rejection of product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our ability to conduct clinical trials, including full or partial clinical holds on ongoing or planned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the products, manufacturers or manufacturing process;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warning or untitled letters;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civil and criminal penalties;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injunctions;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suspension or withdrawal of regulatory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seizures, detentions or import bans;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voluntary or mandatory product recalls and publicity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or partial suspension of production;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imposition of restrictions on operations, including costly new manufacturing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pStyle w:val="TextBody"/>
        <w:spacing w:before="240" w:after="0"/>
        <w:jc w:val="left"/>
        <w:rPr>
          <w:rFonts w:ascii="Times New Roman;serif" w:hAnsi="Times New Roman;serif"/>
          <w:b/>
          <w:i/>
          <w:sz w:val="20"/>
        </w:rPr>
      </w:pPr>
      <w:r>
        <w:rPr>
          <w:rFonts w:ascii="Times New Roman;serif" w:hAnsi="Times New Roman;serif"/>
          <w:b/>
          <w:i/>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spacing w:before="120" w:after="0"/>
        <w:jc w:val="left"/>
        <w:rPr>
          <w:rFonts w:ascii="Times New Roman" w:hAnsi="Times New Roman"/>
          <w:sz w:val="20"/>
        </w:rPr>
      </w:pPr>
      <w:r>
        <w:rPr>
          <w:rFonts w:ascii="Times New Roman;serif" w:hAnsi="Times New Roman;serif"/>
          <w:b w:val="false"/>
          <w:sz w:val="20"/>
        </w:rPr>
        <w:t>Regulatory authorities in some jurisdictions, including the U.S. and the EU, may designate drugs for relatively small patient populations as orphan drugs. Under the Orphan Drug Act, the FDA may designate a product as an orphan drug if it is a drug intended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the EU, orphan drug designation entitles a party to financial incentives such as reduction of fees or fee waivers. However, there can be no assurances that we will be able to obtain orphan designations for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lead product candidates from our gene therapy platform have been granted orphan drug designation by the FDA (TN-201 and TN-401) and the EC (TN-201), and we may seek orphan drug designation for other product candidates in the U.S.,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spacing w:before="120" w:after="0"/>
        <w:jc w:val="left"/>
        <w:rPr>
          <w:rFonts w:ascii="Times New Roman" w:hAnsi="Times New Roman"/>
          <w:sz w:val="20"/>
        </w:rPr>
      </w:pPr>
      <w:r>
        <w:rPr>
          <w:rFonts w:ascii="Times New Roman;serif" w:hAnsi="Times New Roman;serif"/>
          <w:b w:val="false"/>
          <w:sz w:val="20"/>
        </w:rPr>
        <w:t xml:space="preserve">In </w:t>
      </w:r>
      <w:r>
        <w:rPr>
          <w:rFonts w:ascii="Times New Roman;serif" w:hAnsi="Times New Roman;serif"/>
          <w:b w:val="false"/>
          <w:i/>
          <w:sz w:val="20"/>
        </w:rPr>
        <w:t>Catalyst Pharms., Inc. v. Becerra</w:t>
      </w:r>
      <w:r>
        <w:rPr>
          <w:rFonts w:ascii="Times New Roman;serif" w:hAnsi="Times New Roman;serif"/>
          <w:b w:val="false"/>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serif" w:hAnsi="Times New Roman;serif"/>
          <w:b w:val="false"/>
          <w:i/>
          <w:sz w:val="20"/>
        </w:rPr>
        <w:t>Catalyst</w:t>
      </w:r>
      <w:r>
        <w:rPr>
          <w:rFonts w:ascii="Times New Roman;serif" w:hAnsi="Times New Roman;serif"/>
          <w:b w:val="false"/>
          <w:sz w:val="20"/>
        </w:rPr>
        <w:t xml:space="preserve">, the FDA intends to continue to apply its longstanding interpretation of the regulations to matters outside of the scope of the </w:t>
      </w:r>
      <w:r>
        <w:rPr>
          <w:rFonts w:ascii="Times New Roman;serif" w:hAnsi="Times New Roman;serif"/>
          <w:b w:val="false"/>
          <w:i/>
          <w:sz w:val="20"/>
        </w:rPr>
        <w:t xml:space="preserve">Catalyst </w:t>
      </w:r>
      <w:r>
        <w:rPr>
          <w:rFonts w:ascii="Times New Roman;serif" w:hAnsi="Times New Roman;serif"/>
          <w:b w:val="false"/>
          <w:sz w:val="20"/>
        </w:rPr>
        <w:t>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spacing w:before="240" w:after="0"/>
        <w:jc w:val="left"/>
        <w:rPr>
          <w:rFonts w:ascii="Times New Roman;serif" w:hAnsi="Times New Roman;serif"/>
          <w:b/>
          <w:i/>
          <w:sz w:val="20"/>
        </w:rPr>
      </w:pPr>
      <w:r>
        <w:rPr>
          <w:rFonts w:ascii="Times New Roman;serif" w:hAnsi="Times New Roman;serif"/>
          <w:b/>
          <w:i/>
          <w:sz w:val="20"/>
        </w:rPr>
        <w:t>We may face difficulties from changes to current FDA and healthcare regulations and future legislation.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before="120" w:after="0"/>
        <w:jc w:val="left"/>
        <w:rPr>
          <w:rFonts w:ascii="Times New Roman" w:hAnsi="Times New Roman"/>
          <w:sz w:val="20"/>
        </w:rPr>
      </w:pPr>
      <w:r>
        <w:rPr>
          <w:rFonts w:ascii="Times New Roman;serif" w:hAnsi="Times New Roman;serif"/>
          <w:b w:val="false"/>
          <w:sz w:val="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pStyle w:val="TextBody"/>
        <w:spacing w:before="120" w:after="0"/>
        <w:jc w:val="left"/>
        <w:rPr>
          <w:rFonts w:ascii="Times New Roman" w:hAnsi="Times New Roman"/>
          <w:sz w:val="20"/>
        </w:rPr>
      </w:pPr>
      <w:r>
        <w:rPr>
          <w:rFonts w:ascii="Times New Roman;serif" w:hAnsi="Times New Roman;serif"/>
          <w:b w:val="false"/>
          <w:sz w:val="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other legislative changes have been proposed and adopted in the U.S. since the ACA was enacted, including aggregate reductions to Medicare payments to providers, effective April 1, 2013, which will remain in effect through 2031and increasing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pStyle w:val="TextBody"/>
        <w:spacing w:before="120" w:after="0"/>
        <w:jc w:val="left"/>
        <w:rPr>
          <w:rFonts w:ascii="Times New Roman" w:hAnsi="Times New Roman"/>
          <w:sz w:val="20"/>
        </w:rPr>
      </w:pPr>
      <w:r>
        <w:rPr>
          <w:rFonts w:ascii="Times New Roman;serif" w:hAnsi="Times New Roman;serif"/>
          <w:b w:val="false"/>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spacing w:before="120" w:after="0"/>
        <w:jc w:val="left"/>
        <w:rPr>
          <w:rFonts w:ascii="Times New Roman" w:hAnsi="Times New Roman"/>
          <w:sz w:val="20"/>
        </w:rPr>
      </w:pPr>
      <w:r>
        <w:rPr>
          <w:rFonts w:ascii="Times New Roman;serif" w:hAnsi="Times New Roman;serif"/>
          <w:b w:val="false"/>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prevent marketing approval, as well as subject us to more stringent product labeling and post-marketing testing and other requirements.</w:t>
      </w:r>
    </w:p>
    <w:p>
      <w:pPr>
        <w:pStyle w:val="TextBody"/>
        <w:spacing w:before="240" w:after="0"/>
        <w:jc w:val="left"/>
        <w:rPr>
          <w:rFonts w:ascii="Times New Roman;serif" w:hAnsi="Times New Roman;serif"/>
          <w:b/>
          <w:i/>
          <w:sz w:val="20"/>
        </w:rPr>
      </w:pPr>
      <w:r>
        <w:rPr>
          <w:rFonts w:ascii="Times New Roman;serif" w:hAnsi="Times New Roman;serif"/>
          <w:b/>
          <w:i/>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Outside of the U.S., relevant legal requirements continue to evolve. For example, the collection and use of health data and other personal data including personal data collected in clinical trials is governed in the EU by the General Data Protection Regulation (GDPR), which imposes substantial obligations upon companies and new rights for individuals, by certain EU member state-level legislation. 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Failure to comply with the GDPR may result in fines up to €20,000,000 or 4% of the total worldwide annual turnover of the preceding financial year, whichever is higher, and other administrative penalties. The GDPR has increased our responsibility and liability in relation to personal data that we may process, and we may be required to implement additional measures in an effort to comply with the GDPR and with other laws, rules, regulations and standards in the European Economic Area (EEA), United Kingdom (UK) and Switzerland relating to privacy and data protection. This may be onerous and if our efforts to comply with GDPR or other applicable laws, rules, regulations and standards are not successful, or are perceived to be unsuccessful, it could adversely affect our business. Further, following the July 2020 Court of Justice of the EU (CJEU) decision invalidating the EU-U.S. Privacy Shield, there remains uncertainty regarding the appropriate mechanism for transferring personal data to the United States. The CJEU’s decision and other regulatory guidance or developments may impose additional obligations with respect to the transfer of personal data from the EEA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w:t>
      </w:r>
    </w:p>
    <w:p>
      <w:pPr>
        <w:pStyle w:val="TextBody"/>
        <w:spacing w:before="120" w:after="0"/>
        <w:jc w:val="left"/>
        <w:rPr>
          <w:rFonts w:ascii="Times New Roman" w:hAnsi="Times New Roman"/>
          <w:sz w:val="20"/>
        </w:rPr>
      </w:pPr>
      <w:r>
        <w:rPr>
          <w:rFonts w:ascii="Times New Roman;serif" w:hAnsi="Times New Roman;serif"/>
          <w:b w:val="false"/>
          <w:sz w:val="20"/>
        </w:rPr>
        <w:t>In the U.S., a variety of data privacy, protection and security laws, rules, regulations and standards potentially may apply to our activities, such as state data breach notification laws, state personal data privacy laws (for example, the California Consumer Privacy Act of 2018, as amended by the California Privacy Rights Act effective January 1, 2023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Although there are limited exemptions for clinical trial data under the CCPA, the CCPA and other similar laws could impact our business activities, depending on their interpretation. Other state legislatures have enacted or are currently contemplating, and may pass, their own comprehensive data privacy and security laws, with potentially greater penalties and more rigorous compliance requirements, and laws in all 50 states require businesses to provide notice to customers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 the GDPR,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w:t>
      </w:r>
    </w:p>
    <w:p>
      <w:pPr>
        <w:pStyle w:val="TextBody"/>
        <w:spacing w:before="120" w:after="0"/>
        <w:jc w:val="left"/>
        <w:rPr>
          <w:rFonts w:ascii="Times New Roman" w:hAnsi="Times New Roman"/>
          <w:sz w:val="20"/>
        </w:rPr>
      </w:pPr>
      <w:r>
        <w:rPr>
          <w:rFonts w:ascii="Times New Roman;serif" w:hAnsi="Times New Roman;serif"/>
          <w:b w:val="false"/>
          <w:sz w:val="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protection, may result in governmental investigations or enforcement actions, litigation, claims and other proceedings, harm our reputation, and could result in significant liability.</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Disruptions at the FDA, including delays or disruptions due to staffing shortages, and other agencies may also slow the time necessary for new drugs to be reviewed and/or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spacing w:before="240" w:after="0"/>
        <w:jc w:val="left"/>
        <w:rPr>
          <w:rFonts w:ascii="Times New Roman;serif" w:hAnsi="Times New Roman;serif"/>
          <w:b/>
          <w:i/>
          <w:sz w:val="20"/>
        </w:rPr>
      </w:pPr>
      <w:r>
        <w:rPr>
          <w:rFonts w:ascii="Times New Roman;serif" w:hAnsi="Times New Roman;serif"/>
          <w:b/>
          <w:i/>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respective business associates and their subcontractors, with respect to safeguarding the privacy, security and transmission of individually identifiable health information;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federal consumer protection and unfair competition laws, which broadly regulate marketplace activities and activities that potentially harm consumers;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spacing w:before="240" w:after="0"/>
        <w:jc w:val="both"/>
        <w:rPr>
          <w:rFonts w:ascii="Times New Roman;serif" w:hAnsi="Times New Roman;serif"/>
          <w:b/>
          <w:i/>
          <w:sz w:val="20"/>
        </w:rPr>
      </w:pPr>
      <w:r>
        <w:rPr>
          <w:rFonts w:ascii="Times New Roman;serif" w:hAnsi="Times New Roman;serif"/>
          <w:b/>
          <w:i/>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spacing w:before="240" w:after="0"/>
        <w:jc w:val="left"/>
        <w:rPr>
          <w:rFonts w:ascii="Times New Roman;serif" w:hAnsi="Times New Roman;serif"/>
          <w:b/>
          <w:i/>
          <w:sz w:val="20"/>
        </w:rPr>
      </w:pPr>
      <w:r>
        <w:rPr>
          <w:rFonts w:ascii="Times New Roman;serif" w:hAnsi="Times New Roman;serif"/>
          <w:b/>
          <w:i/>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offering or providing, directly or indirectly,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sometimes leverage third parties to assist with the conduct of our business abroad. As we increase our international business activities, our risks under these laws may increase.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agents, representatives, business partners and third-party intermediaries will not take actions in violation of applicable law for which we may be ultimately held responsible.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pStyle w:val="TextBody"/>
        <w:spacing w:before="120" w:after="0"/>
        <w:jc w:val="left"/>
        <w:rPr>
          <w:rFonts w:ascii="Times New Roman" w:hAnsi="Times New Roman"/>
          <w:sz w:val="20"/>
        </w:rPr>
      </w:pPr>
      <w:r>
        <w:rPr>
          <w:rFonts w:ascii="Times New Roman;serif" w:hAnsi="Times New Roman;serif"/>
          <w:b w:val="false"/>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Changes in tax law could increase the tax burden on our orphan drug programs and adversely affect our business and 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amortize domestic research and development costs in the year incurred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pStyle w:val="TextBody"/>
        <w:spacing w:before="240" w:after="0"/>
        <w:jc w:val="left"/>
        <w:rPr>
          <w:rFonts w:ascii="Times New Roman;serif" w:hAnsi="Times New Roman;serif"/>
          <w:b/>
          <w:sz w:val="20"/>
        </w:rPr>
      </w:pPr>
      <w:r>
        <w:rPr>
          <w:rFonts w:ascii="Times New Roman;serif" w:hAnsi="Times New Roman;serif"/>
          <w:b/>
          <w:sz w:val="20"/>
        </w:rPr>
        <w:t>Risks Related to Employee Matters, Managing Our Growth and Other Risks Related to Our Business</w:t>
      </w:r>
    </w:p>
    <w:p>
      <w:pPr>
        <w:pStyle w:val="TextBody"/>
        <w:spacing w:before="120" w:after="0"/>
        <w:jc w:val="left"/>
        <w:rPr>
          <w:rFonts w:ascii="Times New Roman;serif" w:hAnsi="Times New Roman;serif"/>
          <w:b/>
          <w:i/>
          <w:sz w:val="20"/>
        </w:rPr>
      </w:pPr>
      <w:r>
        <w:rPr>
          <w:rFonts w:ascii="Times New Roman;serif" w:hAnsi="Times New Roman;serif"/>
          <w:b/>
          <w:i/>
          <w:sz w:val="20"/>
        </w:rPr>
        <w:t>Our operations and financial results could be adversely impacted by the effects of the COVID-19 pandemic, including the emergence of recent variants, in the U.S. and the rest of the world.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Disruptions caused by the COVID-19 pandemic, including the effects of the stay-at-home orders and work-from-home policies, have impacted productivity and have resulted in increased operational expenses, certain adjustments to our operations, delays in our development efforts and delays in certain supply chain activities. If the COVID-19 pandemic is further prolonged or becomes more severe, we may experience further disruptions that could severely impact our business,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receiving approval from local regulatory authorities to initiate our planned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or difficulties with respect to our clinical operations activities, including, without limitation, clinical site initiation, patient enrollment, engagement of vendors to support clinical trial activities, receipt of materials integral to the production of drug product and other supplies and materials needed to conduct our ongoing and planned clinical trials, clinical site monitoring and the collection, receipt and analysis of data from patients enrolled in our clinical trials due to limited staffing at clinical sites, limitations on travel and on-site visits by patients or patients' reluctance to visit the clinical site;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made to manufacturing plans due to delays or interruptions in obtaining manufacturing supplies or other disruptions to the supply chain, which can negatively impact our clinical plans, delay our clinical development timelines, and increase our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necessary interactions with regulators, ethics committees and other important agencies and contractors due to limitations in employee resources or forced furlough of government or contractor personnel;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refusal of the FDA to accept data from clinical trials in affected geographies outside the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April 2023, President Biden signed legislation that will end the COVID-19 national emergency on May 11, 2023. The full impact of this termination of the national emergency and the wind-down of the public health emergency on FDA and other regulatory policies and operations are unclear. We continue to assess the impact that the COVID-19 pandemic and related policies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pStyle w:val="TextBody"/>
        <w:spacing w:before="120" w:after="0"/>
        <w:jc w:val="left"/>
        <w:rPr>
          <w:rFonts w:ascii="Times New Roman" w:hAnsi="Times New Roman"/>
          <w:sz w:val="20"/>
        </w:rPr>
      </w:pPr>
      <w:r>
        <w:rPr>
          <w:rFonts w:ascii="Times New Roman;serif" w:hAnsi="Times New Roman;serif"/>
          <w:b w:val="false"/>
          <w:sz w:val="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Furthermore, the competition for third parties has increased as a result of the COVID-19 pandemic. If these third parties experience shutdowns or continued business disruptions, or if competition for third parties worsens, our ability to conduct our business in the manner and on the timelines presently planned could be materially and negatively impacted.</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Our success is highly dependent on our ability to attract and retain highly skilled executive officers and employees.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succeed, we must recruit, retain, manage and motivate qualified clinical, scientific, technical and management personnel, and we face significant competition for experienced personnel. We are highly dependent on the principal members of our management, our scientific founders and other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spacing w:before="240" w:after="0"/>
        <w:jc w:val="left"/>
        <w:rPr>
          <w:rFonts w:ascii="Times New Roman;serif" w:hAnsi="Times New Roman;serif"/>
          <w:b/>
          <w:i/>
          <w:sz w:val="20"/>
        </w:rPr>
      </w:pPr>
      <w:r>
        <w:rPr>
          <w:rFonts w:ascii="Times New Roman;serif" w:hAnsi="Times New Roman;serif"/>
          <w:b/>
          <w:i/>
          <w:sz w:val="20"/>
        </w:rPr>
        <w:t>In order to successfully implement our long-term plans and strategies, we will need to grow the size of our organization, and we may experience difficulties in managing this growth.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order to successfully implement our development and commercialization plans and strategies, we expect to need additional managerial, operational, sales, marketing, financial and other personnel in the future. Future growth would impose significant added responsibilities on members of management.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spacing w:before="240" w:after="0"/>
        <w:jc w:val="left"/>
        <w:rPr>
          <w:rFonts w:ascii="Times New Roman;serif" w:hAnsi="Times New Roman;serif"/>
          <w:b/>
          <w:i/>
          <w:sz w:val="20"/>
        </w:rPr>
      </w:pPr>
      <w:r>
        <w:rPr>
          <w:rFonts w:ascii="Times New Roman;serif" w:hAnsi="Times New Roman;serif"/>
          <w:b/>
          <w:i/>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and incidents from inadvertent or intentional actions by our employees, contractors, consultants, business partners, and other third parties, cyber-attacks and other hacking attempts by malicious third parties (including supply chain cyber-attacks or attacks by nation-state or nation-state supported actors, or the deployment of harmful malware, ransomware, distributed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other data that we process or maintain or that is processed or maintained on our behalf, or other assets, which could result in financial, legal, business and reputational harm to 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have in the past and may in the future experience phishing attempts,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including consequential damages, financial harm and reputational damage and the development and commercialization of our product candidates could be delayed. The loss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pStyle w:val="TextBody"/>
        <w:spacing w:before="240" w:after="0"/>
        <w:jc w:val="left"/>
        <w:rPr>
          <w:rFonts w:ascii="Times New Roman;serif" w:hAnsi="Times New Roman;serif"/>
          <w:b/>
          <w:i/>
          <w:sz w:val="20"/>
        </w:rPr>
      </w:pPr>
      <w:r>
        <w:rPr>
          <w:rFonts w:ascii="Times New Roman;serif" w:hAnsi="Times New Roman;serif"/>
          <w:b/>
          <w:i/>
          <w:sz w:val="20"/>
        </w:rPr>
        <w:t>Our operations are vulnerable to interruption by fire, earthquakes, power loss, telecommunications failure, terrorist activity, pandemics and other events beyond our control, which could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spacing w:before="240" w:after="0"/>
        <w:jc w:val="left"/>
        <w:rPr>
          <w:rFonts w:ascii="Times New Roman;serif" w:hAnsi="Times New Roman;serif"/>
          <w:b/>
          <w:i/>
          <w:sz w:val="20"/>
        </w:rPr>
      </w:pPr>
      <w:r>
        <w:rPr>
          <w:rFonts w:ascii="Times New Roman;serif" w:hAnsi="Times New Roman;serif"/>
          <w:b/>
          <w:i/>
          <w:sz w:val="20"/>
        </w:rPr>
        <w:t>A variety of risks associated with development and marketing our product candidates internationally, subject to regulatory approval in applicable jurisdictions, could materially adversely affect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seek regulatory approval of our product candidates outside of the U.S. and/or work with contractors or partners in foreign jurisdictions, and, accordingly, we expect that we will be subject to additional risks and foreign laws and regulatory requirements related to our operations in foreign countries,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differing regulatory requirements and reimbursement regimes;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unexpected changes in tariffs, trade barriers, price and exchange controls and other regulatory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economic weakness, including inflation, or political instability in particular foreign economies and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foreign taxes, including withholding of payroll taxes;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 and other obligations incident to doing business in another country;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difficulties staffing and managing foreign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liability under the FCPA or comparable foreign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abroad;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 including effects of the recent Russia-Ukraine conflict.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and other risks associated with our international operations may materially adversely affect our ability to attain or maintain profitable operations.</w:t>
      </w:r>
    </w:p>
    <w:p>
      <w:pPr>
        <w:pStyle w:val="TextBody"/>
        <w:spacing w:before="24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 applications may not result in any patents being issued;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patents may be challenged, invalidated, modified, revoked, circumvented, found to be unenforceable, narrowed in scope or otherwise may not provide any competitive advantage;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spacing w:before="120" w:after="0"/>
        <w:jc w:val="left"/>
        <w:rPr>
          <w:rFonts w:ascii="Times New Roman" w:hAnsi="Times New Roman"/>
          <w:sz w:val="20"/>
        </w:rPr>
      </w:pPr>
      <w:r>
        <w:rPr>
          <w:rFonts w:ascii="Times New Roman;serif" w:hAnsi="Times New Roman;serif"/>
          <w:b w:val="false"/>
          <w:sz w:val="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spacing w:before="240" w:after="0"/>
        <w:jc w:val="left"/>
        <w:rPr>
          <w:rFonts w:ascii="Times New Roman;serif" w:hAnsi="Times New Roman;serif"/>
          <w:b/>
          <w:i/>
          <w:sz w:val="20"/>
        </w:rPr>
      </w:pPr>
      <w:r>
        <w:rPr>
          <w:rFonts w:ascii="Times New Roman;serif" w:hAnsi="Times New Roman;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spacing w:before="120" w:after="0"/>
        <w:jc w:val="left"/>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the inventorship, scope, validity or enforceability of our potential future patents or the patents of our licensors that may be challenged in the courts or patent offices in the U.S. and abroad. For example, we may be subject to a third-party pre-issuance submission of prior art, post-grant review (PGR) or inter partes review (IPR) at the USPTO, or other similar proceedings including, opposition, derivation, revocation or reexamination proceedings in the U.S. or abroad.</w:t>
      </w:r>
      <w:r>
        <w:rPr>
          <w:rFonts w:ascii="Times New Roman" w:hAnsi="Times New Roman"/>
          <w:sz w:val="20"/>
        </w:rPr>
        <w:t xml:space="preserve"> </w:t>
      </w:r>
      <w:r>
        <w:rPr>
          <w:rFonts w:ascii="Times New Roman;serif" w:hAnsi="Times New Roman;serif"/>
          <w:b w:val="false"/>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potential future patents and patent applications or the patents and patent applications of our licensors is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threatened, regardless of the outcome, it could dissuade companies from collaborating with us to license, develop or commercialize our product candidates.</w:t>
      </w:r>
    </w:p>
    <w:p>
      <w:pPr>
        <w:pStyle w:val="TextBody"/>
        <w:spacing w:before="240" w:after="0"/>
        <w:jc w:val="left"/>
        <w:rPr>
          <w:rFonts w:ascii="Times New Roman;serif" w:hAnsi="Times New Roman;serif"/>
          <w:b/>
          <w:i/>
          <w:sz w:val="20"/>
        </w:rPr>
      </w:pPr>
      <w:r>
        <w:rPr>
          <w:rFonts w:ascii="Times New Roman;serif" w:hAnsi="Times New Roman;serif"/>
          <w:b/>
          <w:i/>
          <w:sz w:val="20"/>
        </w:rPr>
        <w:t>Our commercial success depends significantly on our ability to operate without infringing, misappropriating or otherwise violating the patents and other intellectual property and proprietary rights of third parties.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success depends in part on avoiding infringement, misappropriation or other violation of the patents or other intellectual property rights of third parties. However, our research, development and commercialization activities may be subject to claims that we infringe, misappropriate or otherwise violate patents or other intellectual property rights of others.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spacing w:before="120" w:after="0"/>
        <w:jc w:val="left"/>
        <w:rPr>
          <w:rFonts w:ascii="Times New Roman" w:hAnsi="Times New Roman"/>
          <w:sz w:val="20"/>
        </w:rPr>
      </w:pPr>
      <w:r>
        <w:rPr>
          <w:rFonts w:ascii="Times New Roman;serif" w:hAnsi="Times New Roman;serif"/>
          <w:b w:val="false"/>
          <w:sz w:val="20"/>
        </w:rPr>
        <w:t>As the biotechnology industry expands and more patents are issued, the risk increases that our product candidates may be subject to claims of infringement, misappropriation or other violation of the patent or other intellectual property rights of third parties.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spacing w:before="120" w:after="0"/>
        <w:jc w:val="left"/>
        <w:rPr>
          <w:rFonts w:ascii="Times New Roman" w:hAnsi="Times New Roman"/>
          <w:sz w:val="20"/>
        </w:rPr>
      </w:pPr>
      <w:r>
        <w:rPr>
          <w:rFonts w:ascii="Times New Roman;serif" w:hAnsi="Times New Roman;serif"/>
          <w:b w:val="false"/>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material adverse effect on our ability to raise additional funds or otherwise have a material adverse effect on our business, results of operations, financial condition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spacing w:before="240" w:after="0"/>
        <w:jc w:val="left"/>
        <w:rPr>
          <w:rFonts w:ascii="Times New Roman;serif" w:hAnsi="Times New Roman;serif"/>
          <w:b/>
          <w:i/>
          <w:sz w:val="20"/>
        </w:rPr>
      </w:pPr>
      <w:r>
        <w:rPr>
          <w:rFonts w:ascii="Times New Roman;serif" w:hAnsi="Times New Roman;serif"/>
          <w:b/>
          <w:i/>
          <w:sz w:val="20"/>
        </w:rPr>
        <w:t>We may not be successful in obtaining or maintaining necessary rights to our product candidates through acquisitions and in-licenses.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spacing w:before="240" w:after="0"/>
        <w:jc w:val="left"/>
        <w:rPr>
          <w:rFonts w:ascii="Times New Roman;serif" w:hAnsi="Times New Roman;serif"/>
          <w:b/>
          <w:i/>
          <w:sz w:val="20"/>
        </w:rPr>
      </w:pPr>
      <w:r>
        <w:rPr>
          <w:rFonts w:ascii="Times New Roman;serif" w:hAnsi="Times New Roman;serif"/>
          <w:b/>
          <w:i/>
          <w:sz w:val="20"/>
        </w:rPr>
        <w:t>Changes in U.S. patent law, or laws in other countries, could diminish the value of patents in general, thereby impairing our ability to protect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 reform legislation could increase the uncertainties and costs surrounding the prosecution of patent applications and the enforcement or defense of issued patents.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pStyle w:val="TextBody"/>
        <w:spacing w:before="240" w:after="0"/>
        <w:jc w:val="left"/>
        <w:rPr>
          <w:rFonts w:ascii="Times New Roman;serif" w:hAnsi="Times New Roman;serif"/>
          <w:b/>
          <w:i/>
          <w:sz w:val="20"/>
        </w:rPr>
      </w:pPr>
      <w:r>
        <w:rPr>
          <w:rFonts w:ascii="Times New Roman;serif" w:hAnsi="Times New Roman;serif"/>
          <w:b/>
          <w:i/>
          <w:sz w:val="20"/>
        </w:rPr>
        <w:t>We may be subject to claims challenging the inventorship or ownership of our owned patent applications or in-licensed patent rights and other intellectual property.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spacing w:before="240" w:after="0"/>
        <w:jc w:val="left"/>
        <w:rPr>
          <w:rFonts w:ascii="Times New Roman;serif" w:hAnsi="Times New Roman;serif"/>
          <w:b/>
          <w:i/>
          <w:sz w:val="20"/>
        </w:rPr>
      </w:pPr>
      <w:r>
        <w:rPr>
          <w:rFonts w:ascii="Times New Roman;serif" w:hAnsi="Times New Roman;serif"/>
          <w:b/>
          <w:i/>
          <w:sz w:val="20"/>
        </w:rPr>
        <w:t>Patent terms may be inadequate to protect our competitive position on our product candidates for an adequate amount of time.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spacing w:before="240" w:after="0"/>
        <w:jc w:val="left"/>
        <w:rPr>
          <w:rFonts w:ascii="Times New Roman;serif" w:hAnsi="Times New Roman;serif"/>
          <w:b/>
          <w:i/>
          <w:sz w:val="20"/>
        </w:rPr>
      </w:pPr>
      <w:r>
        <w:rPr>
          <w:rFonts w:ascii="Times New Roman;serif" w:hAnsi="Times New Roman;serif"/>
          <w:b/>
          <w:i/>
          <w:sz w:val="20"/>
        </w:rPr>
        <w:t>If we do not obtain patent term extension for our product candidates, our business may be materially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spacing w:before="120" w:after="0"/>
        <w:jc w:val="left"/>
        <w:rPr>
          <w:rFonts w:ascii="Times New Roman" w:hAnsi="Times New Roman"/>
          <w:sz w:val="20"/>
        </w:rPr>
      </w:pPr>
      <w:r>
        <w:rPr>
          <w:rFonts w:ascii="Times New Roman;serif" w:hAnsi="Times New Roman;serif"/>
          <w:b w:val="false"/>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competitors may obtain approval of competing products following our patent expiration, and our revenue could be reduced, possibly materially.</w:t>
      </w:r>
    </w:p>
    <w:p>
      <w:pPr>
        <w:pStyle w:val="TextBody"/>
        <w:spacing w:before="240" w:after="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w:t>
      </w:r>
    </w:p>
    <w:p>
      <w:pPr>
        <w:pStyle w:val="TextBody"/>
        <w:spacing w:before="120" w:after="0"/>
        <w:jc w:val="left"/>
        <w:rPr>
          <w:rFonts w:ascii="Times New Roman" w:hAnsi="Times New Roman"/>
          <w:sz w:val="20"/>
        </w:rPr>
      </w:pPr>
      <w:r>
        <w:rPr>
          <w:rFonts w:ascii="Times New Roman;serif" w:hAnsi="Times New Roman;serif"/>
          <w:b w:val="false"/>
          <w:sz w:val="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Europe, beginning June 1, 2023, European applications and patents may be subjected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of any litigation. As a single court system can invalidate a European patent, we, where applicable have opted out of the UPC and as such, each European patent would need to be challenged in each individual country.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spacing w:before="240" w:after="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pStyle w:val="TextBody"/>
        <w:spacing w:before="240" w:after="0"/>
        <w:jc w:val="left"/>
        <w:rPr>
          <w:rFonts w:ascii="Times New Roman;serif" w:hAnsi="Times New Roman;serif"/>
          <w:b/>
          <w:i/>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p>
    <w:p>
      <w:pPr>
        <w:pStyle w:val="TextBody"/>
        <w:spacing w:before="120" w:after="0"/>
        <w:jc w:val="left"/>
        <w:rPr>
          <w:rFonts w:ascii="Times New Roman" w:hAnsi="Times New Roman"/>
          <w:sz w:val="20"/>
        </w:rPr>
      </w:pPr>
      <w:r>
        <w:rPr>
          <w:rFonts w:ascii="Times New Roman;serif" w:hAnsi="Times New Roman;serif"/>
          <w:b w:val="false"/>
          <w:sz w:val="20"/>
        </w:rPr>
        <w:t>We intend to use registered or unregistered trademarks or trade names to brand and market ourselves and our products, but we do not yet own a U.S. registered trademark for our corporate name, “Tenaya”. Our future trademark applications in the U.S. and in foreign jurisdictions may not be allowed or may subsequently be opposed. Once filed and registered, our potential future trademarks or trade names may be challenged, infringed, circumvented or declared generic or determined to be infringing on other marks. We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spacing w:before="240" w:after="0"/>
        <w:jc w:val="left"/>
        <w:rPr>
          <w:rFonts w:ascii="Times New Roman;serif" w:hAnsi="Times New Roman;serif"/>
          <w:b/>
          <w:i/>
          <w:sz w:val="20"/>
        </w:rPr>
      </w:pPr>
      <w:r>
        <w:rPr>
          <w:rFonts w:ascii="Times New Roman;serif" w:hAnsi="Times New Roman;serif"/>
          <w:b/>
          <w:i/>
          <w:sz w:val="20"/>
        </w:rPr>
        <w:t>If we are unable to protect the confidentiality of our trade secrets, our business and competitive position would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pStyle w:val="TextBody"/>
        <w:spacing w:before="120" w:after="0"/>
        <w:jc w:val="left"/>
        <w:rPr>
          <w:rFonts w:ascii="Times New Roman" w:hAnsi="Times New Roman"/>
          <w:sz w:val="20"/>
        </w:rPr>
      </w:pPr>
      <w:r>
        <w:rPr>
          <w:rFonts w:ascii="Times New Roman;serif" w:hAnsi="Times New Roman;serif"/>
          <w:b w:val="false"/>
          <w:sz w:val="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We may be subject to claims that we or our employees, consultants, advisors or contractors have wrongfully used or disclosed alleged confidential information or trade secrets.</w:t>
      </w:r>
    </w:p>
    <w:p>
      <w:pPr>
        <w:pStyle w:val="TextBody"/>
        <w:spacing w:before="120" w:after="0"/>
        <w:jc w:val="left"/>
        <w:rPr>
          <w:rFonts w:ascii="Times New Roman" w:hAnsi="Times New Roman"/>
          <w:sz w:val="20"/>
        </w:rPr>
      </w:pPr>
      <w:r>
        <w:rPr>
          <w:rFonts w:ascii="Times New Roman;serif" w:hAnsi="Times New Roman;serif"/>
          <w:b w:val="false"/>
          <w:sz w:val="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we have entered into and may in the future enter into non-disclosure and confidentiality agreements to protect the proprietary positions of third parties, such as collaborators, CROs, third-party manufacturers, consultants, potential partners and other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spacing w:before="240" w:after="0"/>
        <w:jc w:val="left"/>
        <w:rPr>
          <w:rFonts w:ascii="Times New Roman;serif" w:hAnsi="Times New Roman;serif"/>
          <w:b/>
          <w:i/>
          <w:sz w:val="20"/>
        </w:rPr>
      </w:pPr>
      <w:r>
        <w:rPr>
          <w:rFonts w:ascii="Times New Roman;serif" w:hAnsi="Times New Roman;serif"/>
          <w:b/>
          <w:i/>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example, the intellectual property we license from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spacing w:before="120" w:after="0"/>
        <w:jc w:val="left"/>
        <w:rPr>
          <w:rFonts w:ascii="Times New Roman" w:hAnsi="Times New Roman"/>
          <w:sz w:val="20"/>
        </w:rPr>
      </w:pPr>
      <w:r>
        <w:rPr>
          <w:rFonts w:ascii="Times New Roman;serif" w:hAnsi="Times New Roman;serif"/>
          <w:b w:val="false"/>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spacing w:before="120" w:after="0"/>
        <w:jc w:val="left"/>
        <w:rPr>
          <w:rFonts w:ascii="Times New Roman" w:hAnsi="Times New Roman"/>
          <w:sz w:val="20"/>
        </w:rPr>
      </w:pPr>
      <w:r>
        <w:rPr>
          <w:rFonts w:ascii="Times New Roman;serif" w:hAnsi="Times New Roman;serif"/>
          <w:b w:val="false"/>
          <w:sz w:val="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spacing w:before="120" w:after="0"/>
        <w:jc w:val="left"/>
        <w:rPr>
          <w:rFonts w:ascii="Times New Roman" w:hAnsi="Times New Roman"/>
          <w:sz w:val="20"/>
        </w:rPr>
      </w:pPr>
      <w:r>
        <w:rPr>
          <w:rFonts w:ascii="Times New Roman;serif" w:hAnsi="Times New Roman;serif"/>
          <w:b w:val="false"/>
          <w:sz w:val="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in-licensed, and we may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pStyle w:val="TextBody"/>
        <w:spacing w:before="240" w:after="0"/>
        <w:jc w:val="left"/>
        <w:rPr>
          <w:rFonts w:ascii="Times New Roman;serif" w:hAnsi="Times New Roman;serif"/>
          <w:b/>
          <w:sz w:val="20"/>
        </w:rPr>
      </w:pPr>
      <w:r>
        <w:rPr>
          <w:rFonts w:ascii="Times New Roman;serif" w:hAnsi="Times New Roman;serif"/>
          <w:b/>
          <w:sz w:val="20"/>
        </w:rPr>
        <w:t>Risks Related to Our Dependence on Third Parties</w:t>
      </w:r>
    </w:p>
    <w:p>
      <w:pPr>
        <w:pStyle w:val="TextBody"/>
        <w:spacing w:before="120" w:after="0"/>
        <w:jc w:val="left"/>
        <w:rPr>
          <w:rFonts w:ascii="Times New Roman;serif" w:hAnsi="Times New Roman;serif"/>
          <w:b/>
          <w:i/>
          <w:sz w:val="20"/>
        </w:rPr>
      </w:pPr>
      <w:r>
        <w:rPr>
          <w:rFonts w:ascii="Times New Roman;serif" w:hAnsi="Times New Roman;serif"/>
          <w:b/>
          <w:i/>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spacing w:before="240" w:after="0"/>
        <w:jc w:val="left"/>
        <w:rPr>
          <w:rFonts w:ascii="Times New Roman;serif" w:hAnsi="Times New Roman;serif"/>
          <w:b/>
          <w:i/>
          <w:sz w:val="20"/>
        </w:rPr>
      </w:pPr>
      <w:r>
        <w:rPr>
          <w:rFonts w:ascii="Times New Roman;serif" w:hAnsi="Times New Roman;serif"/>
          <w:b/>
          <w:i/>
          <w:sz w:val="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completed the build-out and operational launch of our cGMP manufacturing facility in June 2022 and have established end-to-end in-house AAV manufacturing capabilities to support our product candidates arising from our Gene Therapy and Cellular Regeneration platforms. However, in order to optimize our use of resources and availability of extensive third-party experience in small molecule manufacturing, we intend to continue to rely on third-party manufacturers for our small molecule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unable to maintain or establish required agreements with third-party manufacturers on acceptable terms. Even if we are able to do so, reliance on third-party manufacturers entails additional risks,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termination or nonrenewal of arrangements or agreements by our third-party contractors at a time that is costly or inconvenient for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breach by the third-party contractors of our agreements with them;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of third-party contractors to manufacture our product candidates according to our specifications or comply with applicable regulatory requirements, including cGMP;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mislabeling of clinical supplies, potentially resulting in the wrong dose amounts being supplied or active drug or placebo not being properly identified;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supplies not being delivered to clinical sites on time, leading to clinical trial interruptions, or of drug supplies not being distributed to commercial vendors in a timely manner, resulting in lost sales;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infringement, misappropriation or other violation of our intellectual property or proprietary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dependence upon others for the manufacture of our product candidates may adversely affect our future profit margins and our ability to commercialize any product candidates that receive marketing approval on a timely and competitive basis.</w:t>
      </w:r>
    </w:p>
    <w:p>
      <w:pPr>
        <w:pStyle w:val="TextBody"/>
        <w:spacing w:before="240" w:after="0"/>
        <w:jc w:val="left"/>
        <w:rPr>
          <w:rFonts w:ascii="Times New Roman;serif" w:hAnsi="Times New Roman;serif"/>
          <w:b/>
          <w:i/>
          <w:sz w:val="20"/>
        </w:rPr>
      </w:pPr>
      <w:r>
        <w:rPr>
          <w:rFonts w:ascii="Times New Roman;serif" w:hAnsi="Times New Roman;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increased operating expenses and cash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assumption of additional indebtedness or contingent liabilities;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issuance of our equity securities;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assimilation of operations, intellectual property and products of an acquired company, including difficulties associated with integrating new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diversion of our management’s attention from our existing programs and initiatives in pursuing such a strategic merger or acquisition;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unauthorized use or disclosure of our confidential information accessed in connection with partnership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retention of key employees, the loss of key personnel and uncertainties in our ability to maintain key business relationships;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risks and uncertainties associated with the other party to such a transaction, including the prospects of that party and their existing products or product candidates and marketing approvals;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generate revenue from acquired technology and/or products sufficient to meet our objectives in undertaking the acquisition or even to offset the associated acquisition and maintenance costs;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inability to realize anticipated efficiencies and strategic benefits from such acquisitions or strategic partnerships.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spacing w:before="240" w:after="0"/>
        <w:jc w:val="left"/>
        <w:rPr>
          <w:rFonts w:ascii="Times New Roman;serif" w:hAnsi="Times New Roman;serif"/>
          <w:b/>
          <w:i/>
          <w:sz w:val="20"/>
        </w:rPr>
      </w:pPr>
      <w:r>
        <w:rPr>
          <w:rFonts w:ascii="Times New Roman;serif" w:hAnsi="Times New Roman;serif"/>
          <w:b/>
          <w:i/>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spacing w:before="120" w:after="0"/>
        <w:jc w:val="left"/>
        <w:rPr>
          <w:rFonts w:ascii="Times New Roman" w:hAnsi="Times New Roman"/>
          <w:sz w:val="20"/>
        </w:rPr>
      </w:pPr>
      <w:r>
        <w:rPr>
          <w:rFonts w:ascii="Times New Roman;serif" w:hAnsi="Times New Roman;serif"/>
          <w:b w:val="false"/>
          <w:sz w:val="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stage of development,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respect to our ownership of intellectual property, alternative product candidates or technologies, and industry and market conditions generally.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relationship may require us to incur non-recurring and other charges, increase our near- and long-term expenditures, issue securities that dilute our existing stockholders, or disrupt our management and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collaborator with marketing and distribution rights to multiple products may not commit sufficient resources to the marketing and distribution of our product relative to other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grant exclusive rights to our collaborators that would prevent us from collaborating with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collaborations may be terminated and, if terminated, may result in a need for additional capital to pursue further development or commercialization of the applicable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collaboration agreements may not lead to development or commercialization of product candidates in the most efficient manner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collaborator’s sales and marketing activities or other operations may not be in compliance with applicable laws resulting in civil or criminal proceedings.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spacing w:before="240" w:after="0"/>
        <w:jc w:val="left"/>
        <w:rPr>
          <w:rFonts w:ascii="Times New Roman;serif" w:hAnsi="Times New Roman;serif"/>
          <w:b/>
          <w:i/>
          <w:sz w:val="20"/>
        </w:rPr>
      </w:pPr>
      <w:r>
        <w:rPr>
          <w:rFonts w:ascii="Times New Roman;serif" w:hAnsi="Times New Roman;serif"/>
          <w:b/>
          <w:i/>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spacing w:before="240" w:after="0"/>
        <w:jc w:val="left"/>
        <w:rPr>
          <w:rFonts w:ascii="Times New Roman;serif" w:hAnsi="Times New Roman;serif"/>
          <w:b/>
          <w:sz w:val="20"/>
        </w:rPr>
      </w:pPr>
      <w:r>
        <w:rPr>
          <w:rFonts w:ascii="Times New Roman;serif" w:hAnsi="Times New Roman;serif"/>
          <w:b/>
          <w:sz w:val="20"/>
        </w:rPr>
        <w:t>Risks Related to the Securities Market and Ownership of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An active, liquid and orderly trading market may not continue to be developed or sustained for our common stock and as a result it may be difficult for you to sell your shares of our common stock.</w:t>
      </w:r>
    </w:p>
    <w:p>
      <w:pPr>
        <w:pStyle w:val="TextBody"/>
        <w:spacing w:before="120" w:after="0"/>
        <w:jc w:val="left"/>
        <w:rPr>
          <w:rFonts w:ascii="Times New Roman" w:hAnsi="Times New Roman"/>
          <w:sz w:val="20"/>
        </w:rPr>
      </w:pPr>
      <w:r>
        <w:rPr>
          <w:rFonts w:ascii="Times New Roman;serif" w:hAnsi="Times New Roman;serif"/>
          <w:b w:val="false"/>
          <w:sz w:val="20"/>
        </w:rPr>
        <w:t>The trading market for our common stock on the Nasdaq Global Select Market has been limited</w:t>
      </w:r>
      <w:r>
        <w:rPr>
          <w:rFonts w:ascii="Times New Roman" w:hAnsi="Times New Roman"/>
          <w:sz w:val="20"/>
        </w:rPr>
        <w:t xml:space="preserve"> </w:t>
      </w:r>
      <w:r>
        <w:rPr>
          <w:rFonts w:ascii="Times New Roman;serif" w:hAnsi="Times New Roman;serif"/>
          <w:b w:val="false"/>
          <w:sz w:val="20"/>
        </w:rPr>
        <w:t>and an active trading market for our shares may not be sustained. The lack of an active market may also reduce the 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spacing w:before="240" w:after="0"/>
        <w:jc w:val="left"/>
        <w:rPr>
          <w:rFonts w:ascii="Times New Roman;serif" w:hAnsi="Times New Roman;serif"/>
          <w:b/>
          <w:i/>
          <w:sz w:val="20"/>
        </w:rPr>
      </w:pPr>
      <w:r>
        <w:rPr>
          <w:rFonts w:ascii="Times New Roman;serif" w:hAnsi="Times New Roman;serif"/>
          <w:b/>
          <w:i/>
          <w:sz w:val="20"/>
        </w:rPr>
        <w:t>The price of our stock is volatile, and you could lose all or part of your investment.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of achievement of our research, clinical, regulatory and other milestones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results of preclinical studies and clinical trials of our product candidates, those conducted by third parties or those of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competitive products or announcements by potential competitors of their product development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actions with respect to our product candidates or those of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changes in our growth rate relative to our competitors;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regulatory or legal developments in the U.S. and other countries;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litigation, including developments or disputes concerning patent applications, issued patents or other intellectual property or proprietary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recruitment or departure of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acquisitions, strategic collaborations, joint ventures, collaborations or capital commitments;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changes in estimates as to financial results, development timelines or coverage and/or recommendations by securities analysts;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the valuation of companies perceived by investors to be comparable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conditions in the pharmaceutical and biotechnology sector;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structure of healthcare payment systems;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share price and volume fluctuations attributable to inconsistent trading volume levels of our shares;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 or expectation of additional financing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of our common stock by us, our insiders or our other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expiration of market stand-off or lock-up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any natural disasters or public health emergencies, such as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fluctuations in interest rates and inflation rates;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general economic, political, industry and market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realization of any of the above risks or any of a broad range of other risks, including those described in this “Risk Factors” section, could have a dramatic and adverse impact on the market price of our common stock.</w:t>
      </w:r>
    </w:p>
    <w:p>
      <w:pPr>
        <w:pStyle w:val="TextBody"/>
        <w:spacing w:before="240" w:after="0"/>
        <w:jc w:val="left"/>
        <w:rPr>
          <w:rFonts w:ascii="Times New Roman;serif" w:hAnsi="Times New Roman;serif"/>
          <w:b/>
          <w:i/>
          <w:sz w:val="20"/>
        </w:rPr>
      </w:pPr>
      <w:r>
        <w:rPr>
          <w:rFonts w:ascii="Times New Roman;serif" w:hAnsi="Times New Roman;serif"/>
          <w:b/>
          <w:i/>
          <w:sz w:val="20"/>
        </w:rPr>
        <w:t>Our operating results may fluctuate significantly, which makes our future operating results difficult to predict and could cause our operating results to fall below expectations or our guidance.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our operating results may fluctuate due to a variety of other factors, many of which are outside of our control and may be difficult to predict,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cost of, and level of investment in, research and development activities relating to our programs, product candidates and any future programs and product candidates, which will change from time to time;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operating a manufacturing facility and manufacturing our product candidates, which may vary depending on FDA, EMA or other comparable foreign regulatory authority guidelines and requirements, the quantity of production and the terms of our agreements with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expenditures that we will or may incur to acquire or develop additional product candidates and technologies or other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outcomes of clinical trials for our product candidates, or competing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enroll patients in clinical trials and the timing of enrollment;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need to conduct unanticipated clinical trials or trials that are larger or more complex than anticipated;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competition from existing and potential future products and changes in the competitive landscape of our industry, including consolidation among our competitors or partners;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delays in regulatory review or approval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collaborations, licensing or other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level of demand for our product candidates, if approved, which may fluctuate significantly and be difficult to predict;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risk/benefit profile, cost and reimbursement policies with respect to our product candidates, if approved, and existing and potential future products that compete with any of our product candidates;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our ability to commercialize any of our product candidates, if approved, inside and outside of the</w:t>
      </w:r>
      <w:r>
        <w:rPr/>
        <w:t xml:space="preserve"> </w:t>
      </w:r>
      <w:r>
        <w:rPr>
          <w:rFonts w:ascii="Times New Roman;serif" w:hAnsi="Times New Roman;serif"/>
          <w:b w:val="false"/>
          <w:sz w:val="20"/>
        </w:rPr>
        <w:t>U.S., either independently or working with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adequately support future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unforeseen business disruptions that increase our costs or expenses;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accounting pronouncements or changes in our accounting policies;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changing and volatile global economic and political environment;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increased impact from the COVID-19 pandemic on the costs and timing associated with the conduct of our clinical trial and other related business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pStyle w:val="TextBody"/>
        <w:spacing w:before="240" w:after="0"/>
        <w:jc w:val="left"/>
        <w:rPr>
          <w:rFonts w:ascii="Times New Roman;serif" w:hAnsi="Times New Roman;serif"/>
          <w:b/>
          <w:i/>
          <w:sz w:val="20"/>
        </w:rPr>
      </w:pPr>
      <w:r>
        <w:rPr>
          <w:rFonts w:ascii="Times New Roman;serif" w:hAnsi="Times New Roman;serif"/>
          <w:b/>
          <w:i/>
          <w:sz w:val="20"/>
        </w:rPr>
        <w:t>Our principal stockholders and management own a significant percentage of our stock and will be able to exert significant control over matters subject to stockholder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our executive officers, directors, holders of 5% or more of our capital stock and their respective affiliates beneficially owned approximately 58% of our common stock.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spacing w:before="240" w:after="0"/>
        <w:jc w:val="left"/>
        <w:rPr>
          <w:rFonts w:ascii="Times New Roman;serif" w:hAnsi="Times New Roman;serif"/>
          <w:b/>
          <w:i/>
          <w:sz w:val="20"/>
        </w:rPr>
      </w:pPr>
      <w:r>
        <w:rPr>
          <w:rFonts w:ascii="Times New Roman;serif" w:hAnsi="Times New Roman;serif"/>
          <w:b/>
          <w:i/>
          <w:sz w:val="20"/>
        </w:rPr>
        <w:t>Sales of a substantial number of shares of our common stock in the public market could cause our stock price to fall.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of a substantial number of shares of our common stock in the public market could occur at any time. For example, we filed: (i) on August 10, 2022, a shelf registration statement on Form S-3 with the SEC that became effective on August 17, 2022 and allows us to undertake various equity and debt offerings up to $300.0 million (the Shelf Registration); (ii) on August 17, 2022, a prospectus supplement to the shelf registration statement that covers the offering, issuance and sale of up to $75.0 million of our common stock from time to time through an “at-the-market” program under the Securities Act and (iii) on November 17, 2022, a prospectus supplement to the Shelf Registration that covered the offering, issuance and sale of 25,429,716 shares of our common stock, at a public offering price of $2.60 per share, and pre-funded warrants to purchase 6,236,693 shares of our common stock, at a public offering price of $2.599 per pre-funded warrant (the Follow-On Prospectus Supplement), pursuant to which we received aggregate net proceeds of $76.9 million, after deducting the underwriting commissions and offering expenses. To date, we have not sold any shares under our “at-the-market” program.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certain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of 1933, as amended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spacing w:before="120" w:after="0"/>
        <w:jc w:val="left"/>
        <w:rPr>
          <w:rFonts w:ascii="Times New Roman" w:hAnsi="Times New Roman"/>
          <w:sz w:val="20"/>
        </w:rPr>
      </w:pPr>
      <w:r>
        <w:rPr>
          <w:rFonts w:ascii="Times New Roman;serif" w:hAnsi="Times New Roman;serif"/>
          <w:b w:val="false"/>
          <w:sz w:val="20"/>
        </w:rPr>
        <w:t>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particular, as a public company we are required to comply with SEC rules that implement Section 404 of the Sarbanes-Oxley Act. Under these rules, beginning with our second annual report on Form 10-K after we become a public company,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spacing w:before="240" w:after="0"/>
        <w:jc w:val="both"/>
        <w:rPr>
          <w:rFonts w:ascii="Times New Roman;serif" w:hAnsi="Times New Roman;serif"/>
          <w:b/>
          <w:i/>
          <w:sz w:val="20"/>
        </w:rPr>
      </w:pPr>
      <w:r>
        <w:rPr>
          <w:rFonts w:ascii="Times New Roman;serif" w:hAnsi="Times New Roman;serif"/>
          <w:b/>
          <w:i/>
          <w:sz w:val="20"/>
        </w:rPr>
        <w:t>We may be subject to securities litigation, which is expensive and could divert management attention.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spacing w:before="240" w:after="0"/>
        <w:jc w:val="both"/>
        <w:rPr>
          <w:rFonts w:ascii="Times New Roman;serif" w:hAnsi="Times New Roman;serif"/>
          <w:b/>
          <w:i/>
          <w:sz w:val="20"/>
        </w:rPr>
      </w:pPr>
      <w:r>
        <w:rPr>
          <w:rFonts w:ascii="Times New Roman;serif" w:hAnsi="Times New Roman;serif"/>
          <w:b/>
          <w:i/>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 classified board of directors so that not all members of our board are elected at one time;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permit only the board of directors to establish the number of directors and fill vacancies on the board;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provide that directors may only be removed “for cause”;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authorize the issuance of “blank check” preferred stock that our board could use to implement a stockholder rights plan (also known as a poison pill);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eliminate the ability of our stockholders to call special meetings of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prohibit stockholder action by written consent, which requires all stockholder actions to be taken at a meeting of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prohibit cumulative voting;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authorize our board of directors to amend the bylaws;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advance notice requirements for nominations for election to our board or for proposing matters that can be acted upon by stockholders at annual stockholder meetings;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require a super-majority vote of stockholders to amend or repeal specified provisions of our amended and restated certificate of incorporation and amended and restated bylaws.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spacing w:before="240" w:after="0"/>
        <w:jc w:val="left"/>
        <w:rPr>
          <w:rFonts w:ascii="Times New Roman;serif" w:hAnsi="Times New Roman;serif"/>
          <w:b/>
          <w:i/>
          <w:sz w:val="20"/>
        </w:rPr>
      </w:pPr>
      <w:r>
        <w:rPr>
          <w:rFonts w:ascii="Times New Roman;serif" w:hAnsi="Times New Roman;serif"/>
          <w:b/>
          <w:i/>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action asserting a claim of breach of fiduciary duty;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action asserting a claim against us arising under the DGCL, our amended and restated certificate of incorporation or our amended and restated bylaws;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action asserting a claim against us that is governed by the internal-affairs doctrine.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provision would not apply to suits brought to enforce a duty or liability created by the Exchange Act or any other claim for which the U.S. federal courts have exclusive jurisdiction.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amended and restated bylaws further provide that the federal district courts of the United States of America will be the exclusive forum for resolving any complaint asserting a cause of action arising under the Securities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spacing w:before="240" w:after="0"/>
        <w:jc w:val="left"/>
        <w:rPr>
          <w:rFonts w:ascii="Times New Roman" w:hAnsi="Times New Roman"/>
          <w:b/>
          <w:sz w:val="20"/>
        </w:rPr>
      </w:pPr>
      <w:r>
        <w:rPr>
          <w:rFonts w:ascii="Times New Roman" w:hAnsi="Times New Roman"/>
          <w:b/>
          <w:sz w:val="20"/>
        </w:rPr>
        <w:t>(a)</w:t>
      </w:r>
    </w:p>
    <w:p>
      <w:pPr>
        <w:pStyle w:val="TextBody"/>
        <w:spacing w:before="240" w:after="283"/>
        <w:jc w:val="left"/>
        <w:rPr>
          <w:rFonts w:ascii="Times New Roman;serif" w:hAnsi="Times New Roman;serif"/>
          <w:b/>
          <w:sz w:val="20"/>
        </w:rPr>
      </w:pPr>
      <w:r>
        <w:rPr>
          <w:rFonts w:ascii="Times New Roman;serif" w:hAnsi="Times New Roman;serif"/>
          <w:b/>
          <w:sz w:val="20"/>
        </w:rPr>
        <w:t>Sales of Unregistered Securities</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(b)</w:t>
      </w:r>
    </w:p>
    <w:p>
      <w:pPr>
        <w:pStyle w:val="TextBody"/>
        <w:spacing w:before="240" w:after="283"/>
        <w:jc w:val="left"/>
        <w:rPr>
          <w:rFonts w:ascii="Times New Roman;serif" w:hAnsi="Times New Roman;serif"/>
          <w:b/>
          <w:sz w:val="20"/>
        </w:rPr>
      </w:pPr>
      <w:r>
        <w:rPr>
          <w:rFonts w:ascii="Times New Roman;serif" w:hAnsi="Times New Roman;serif"/>
          <w:b/>
          <w:sz w:val="20"/>
        </w:rPr>
        <w:t>Use of Proceeds from Public Offering of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pStyle w:val="TextBody"/>
        <w:spacing w:before="240" w:after="0"/>
        <w:jc w:val="left"/>
        <w:rPr>
          <w:rFonts w:ascii="Times New Roman" w:hAnsi="Times New Roman"/>
          <w:b/>
          <w:sz w:val="20"/>
        </w:rPr>
      </w:pPr>
      <w:r>
        <w:rPr>
          <w:rFonts w:ascii="Times New Roman" w:hAnsi="Times New Roman"/>
          <w:b/>
          <w:sz w:val="20"/>
        </w:rPr>
        <w:t>(c)</w:t>
      </w:r>
    </w:p>
    <w:p>
      <w:pPr>
        <w:pStyle w:val="TextBody"/>
        <w:spacing w:before="240" w:after="283"/>
        <w:jc w:val="left"/>
        <w:rPr>
          <w:rFonts w:ascii="Times New Roman;serif" w:hAnsi="Times New Roman;serif"/>
          <w:b/>
          <w:sz w:val="20"/>
        </w:rPr>
      </w:pPr>
      <w:r>
        <w:rPr>
          <w:rFonts w:ascii="Times New Roman;serif" w:hAnsi="Times New Roman;serif"/>
          <w:b/>
          <w:sz w:val="20"/>
        </w:rPr>
        <w:t>Issuer Purchases of Equity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i/>
          <w:sz w:val="20"/>
        </w:rPr>
      </w:pPr>
      <w:r>
        <w:rPr>
          <w:rFonts w:ascii="Times New Roman;serif" w:hAnsi="Times New Roman;serif"/>
          <w:b/>
          <w:i/>
          <w:sz w:val="20"/>
        </w:rPr>
        <w:t>Amended and Restated Bylaws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disclosed under Item 5.03 of our Current Report on Form 8-K filed with the SEC on March 21, 2023, on March 16, 2023, our board of directors amended and restated our amended and restated bylaws, effective immediately. The bylaws were amended and restated, among other things, to:</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enhance</w:t>
      </w:r>
      <w:r>
        <w:rPr/>
        <w:t xml:space="preserve"> </w:t>
      </w:r>
      <w:r>
        <w:rPr>
          <w:rFonts w:ascii="Times New Roman;serif" w:hAnsi="Times New Roman;serif"/>
          <w:b w:val="false"/>
          <w:sz w:val="20"/>
        </w:rPr>
        <w:t>procedural mechanics and disclosure requirements in connection with stockholder nominations of directors and submissions of proposals regarding other business at our annual meeting of stockholders (except for proposals properly made in accordance with Rule 14a-8 under the Securities Exchange Act of 1934), including by requiring additional background information and disclosures regarding proposing stockholders, proposed nominees and business, and other persons related to a stockholder’s solicitation of proxies;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change certain</w:t>
      </w:r>
      <w:r>
        <w:rPr/>
        <w:t xml:space="preserve"> </w:t>
      </w:r>
      <w:r>
        <w:rPr>
          <w:rFonts w:ascii="Times New Roman;serif" w:hAnsi="Times New Roman;serif"/>
          <w:b w:val="false"/>
          <w:sz w:val="20"/>
        </w:rPr>
        <w:t>provisions relating to stockholder nominees for election as a director to address the universal proxy rules adopted by the Securities and Exchange Commission;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revise certain additional procedures related to stockholder meetings to conform to the provisions of the DGCL, including but not limited to provisions relating to delivery of notices of stockholder meetings, quorum, communications regarding adjourned stockholder meetings, conduct of business at meetings, and the preparation of the stockholder list in connection with stockholder meetings;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update various provisions regarding directors, board committees, and officers, including but not limited to requirements for action by written consent of the board of directors, and officer authority;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clarify our exclusive forum provisions; and</w:t>
      </w:r>
    </w:p>
    <w:p>
      <w:pPr>
        <w:pStyle w:val="TextBody"/>
        <w:spacing w:before="120" w:after="0"/>
        <w:jc w:val="left"/>
        <w:rPr/>
      </w:pPr>
      <w:r>
        <w:rPr/>
        <w:t>•</w:t>
      </w:r>
    </w:p>
    <w:p>
      <w:pPr>
        <w:pStyle w:val="TextBody"/>
        <w:spacing w:before="120" w:after="283"/>
        <w:jc w:val="left"/>
        <w:rPr/>
      </w:pPr>
      <w:r>
        <w:rPr>
          <w:rFonts w:ascii="Times New Roman;serif" w:hAnsi="Times New Roman;serif"/>
          <w:b w:val="false"/>
          <w:sz w:val="20"/>
        </w:rPr>
        <w:t>make various updates throughout to conform to current Delaware law (including the recent amendments to the DGCL) and to make ministerial</w:t>
      </w:r>
      <w:r>
        <w:rPr/>
        <w:t xml:space="preserve"> </w:t>
      </w:r>
      <w:r>
        <w:rPr>
          <w:rFonts w:ascii="Times New Roman;serif" w:hAnsi="Times New Roman;serif"/>
          <w:b w:val="false"/>
          <w:sz w:val="20"/>
        </w:rPr>
        <w:t>changes, clarifications, and other conforming revisions.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foregoing description is qualified in its entirety by reference to our Amended and Restated Bylaws, a copy of which was filed as Exhibit 3.1 to our Form 8-K filed on March 21, 2023, and is incorporated herein by reference.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65"/>
        <w:gridCol w:w="146"/>
        <w:gridCol w:w="6342"/>
        <w:gridCol w:w="586"/>
        <w:gridCol w:w="754"/>
        <w:gridCol w:w="736"/>
        <w:gridCol w:w="776"/>
      </w:tblGrid>
      <w:tr>
        <w:trPr/>
        <w:tc>
          <w:tcPr>
            <w:tcW w:w="8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4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r>
      <w:tr>
        <w:trPr/>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Description</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Form</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File No.</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Filing</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Date</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Tenaya Therapeutics, Inc.</w:t>
              </w:r>
            </w:hyperlink>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5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001-40656</w:t>
            </w:r>
          </w:p>
        </w:tc>
        <w:tc>
          <w:tcPr>
            <w:tcW w:w="7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7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8-3-2021</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center"/>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 of Tenaya Therapeutics, Inc.</w:t>
              </w:r>
            </w:hyperlink>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5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001-40656</w:t>
            </w:r>
          </w:p>
        </w:tc>
        <w:tc>
          <w:tcPr>
            <w:tcW w:w="7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7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3-21-2023</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ya-ex10_1.htm">
              <w:r>
                <w:rPr>
                  <w:rStyle w:val="InternetLink"/>
                  <w:rFonts w:ascii="Times New Roman;serif" w:hAnsi="Times New Roman;serif"/>
                  <w:b w:val="false"/>
                  <w:sz w:val="20"/>
                  <w:u w:val="single"/>
                </w:rPr>
                <w:t>Outside Director Compensation Policy</w:t>
              </w:r>
            </w:hyperlink>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ya-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ya-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ya-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r>
        <w:trPr/>
        <w:tc>
          <w:tcPr>
            <w:tcW w:w="8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27"/>
        <w:gridCol w:w="146"/>
        <w:gridCol w:w="8602"/>
        <w:gridCol w:w="146"/>
        <w:gridCol w:w="146"/>
        <w:gridCol w:w="146"/>
        <w:gridCol w:w="192"/>
      </w:tblGrid>
      <w:tr>
        <w:trPr/>
        <w:tc>
          <w:tcPr>
            <w:tcW w:w="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82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86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r>
      <w:tr>
        <w:trPr/>
        <w:tc>
          <w:tcPr>
            <w:tcW w:w="82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r>
      <w:tr>
        <w:trPr/>
        <w:tc>
          <w:tcPr>
            <w:tcW w:w="82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86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0" w:after="0"/>
        <w:jc w:val="left"/>
        <w:rPr>
          <w:rFonts w:ascii="Times New Roman" w:hAnsi="Times New Roman"/>
          <w:sz w:val="20"/>
        </w:rPr>
      </w:pPr>
      <w:r>
        <w:rPr>
          <w:rFonts w:ascii="Times New Roman;serif" w:hAnsi="Times New Roman;serif"/>
          <w:b w:val="false"/>
          <w:sz w:val="20"/>
        </w:rPr>
        <w:t> The certifications attached as Exhibit 32.1 that accompany this Quarterly Report on Form 10-Q are not deemed filed with the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Securities and Exchange Commission and are not to be incorporated by reference into any filing of the Registrant under the Securities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Act of 1933, as amended, or the Securities Exchange Act of 1934, as amended, whether made before or after the date of this Quarterly</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Report on Form 10-Q, irrespective of any general incorporation language contained in such filing.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6022" w:type="dxa"/>
        <w:jc w:val="left"/>
        <w:tblInd w:w="0" w:type="dxa"/>
        <w:tblCellMar>
          <w:top w:w="28" w:type="dxa"/>
          <w:left w:w="28" w:type="dxa"/>
          <w:bottom w:w="28" w:type="dxa"/>
          <w:right w:w="28" w:type="dxa"/>
        </w:tblCellMar>
      </w:tblPr>
      <w:tblGrid>
        <w:gridCol w:w="1741"/>
        <w:gridCol w:w="109"/>
        <w:gridCol w:w="406"/>
        <w:gridCol w:w="376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17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Tenaya Therapeutics, Inc.</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Faraz Ali, M.B.A.</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Faraz Ali, M.B.A.</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 and Director</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Leone D. Patterson, M.B.A.</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Leone D. Patterson, M.B.A.</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and Business Officer</w:t>
            </w:r>
          </w:p>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r>
        <w:br w:type="page"/>
      </w:r>
    </w:p>
    <w:p>
      <w:pPr>
        <w:pStyle w:val="TextBody"/>
        <w:spacing w:before="0" w:after="0"/>
        <w:jc w:val="both"/>
        <w:rPr/>
      </w:pPr>
      <w:bookmarkStart w:id="21" w:name="tnya-ex10_1.htm"/>
      <w:bookmarkStart w:id="22" w:name="kstnyaex10_1"/>
      <w:bookmarkEnd w:id="21"/>
      <w:bookmarkEnd w:id="22"/>
      <w:r>
        <w:rPr/>
        <w:t> </w:t>
      </w:r>
    </w:p>
    <w:p>
      <w:pPr>
        <w:pStyle w:val="TextBody"/>
        <w:spacing w:before="0" w:after="0"/>
        <w:jc w:val="right"/>
        <w:rPr>
          <w:rFonts w:ascii="Times New Roman;serif" w:hAnsi="Times New Roman;serif"/>
          <w:b/>
          <w:sz w:val="24"/>
        </w:rPr>
      </w:pPr>
      <w:r>
        <w:rPr>
          <w:rFonts w:ascii="Times New Roman;serif" w:hAnsi="Times New Roman;serif"/>
          <w:b/>
          <w:sz w:val="24"/>
        </w:rPr>
        <w:t>Exhibit 10.1</w:t>
      </w:r>
    </w:p>
    <w:p>
      <w:pPr>
        <w:pStyle w:val="TextBody"/>
        <w:spacing w:before="0" w:after="0"/>
        <w:jc w:val="righ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TENAYA THERAPEUTICS, INC.</w:t>
      </w:r>
    </w:p>
    <w:p>
      <w:pPr>
        <w:pStyle w:val="TextBody"/>
        <w:spacing w:before="240" w:after="0"/>
        <w:jc w:val="center"/>
        <w:rPr>
          <w:rFonts w:ascii="Times New Roman;serif" w:hAnsi="Times New Roman;serif"/>
          <w:b/>
          <w:sz w:val="24"/>
        </w:rPr>
      </w:pPr>
      <w:r>
        <w:rPr>
          <w:rFonts w:ascii="Times New Roman;serif" w:hAnsi="Times New Roman;serif"/>
          <w:b/>
          <w:sz w:val="24"/>
        </w:rPr>
        <w:t>OUTSIDE DIRECTOR COMPENSATION POLICY</w:t>
      </w:r>
    </w:p>
    <w:p>
      <w:pPr>
        <w:pStyle w:val="TextBody"/>
        <w:spacing w:before="240" w:after="0"/>
        <w:jc w:val="center"/>
        <w:rPr>
          <w:rFonts w:ascii="Times New Roman" w:hAnsi="Times New Roman"/>
          <w:sz w:val="20"/>
        </w:rPr>
      </w:pPr>
      <w:r>
        <w:rPr>
          <w:rFonts w:ascii="Times New Roman;serif" w:hAnsi="Times New Roman;serif"/>
          <w:b/>
          <w:sz w:val="24"/>
        </w:rPr>
        <w:t>(as most recently amended and restated March 16, 2023 (the “</w:t>
      </w:r>
      <w:r>
        <w:rPr>
          <w:rFonts w:ascii="Times New Roman;serif" w:hAnsi="Times New Roman;serif"/>
          <w:b/>
          <w:sz w:val="24"/>
          <w:u w:val="single"/>
        </w:rPr>
        <w:t>Restatement Date</w:t>
      </w:r>
      <w:r>
        <w:rPr>
          <w:rFonts w:ascii="Times New Roman" w:hAnsi="Times New Roman"/>
          <w:sz w:val="20"/>
        </w:rPr>
        <w:t>”</w:t>
      </w:r>
      <w:r>
        <w:rPr>
          <w:rFonts w:ascii="Times New Roman;serif" w:hAnsi="Times New Roman;serif"/>
          <w:b/>
          <w:sz w:val="24"/>
        </w:rPr>
        <w:t>))</w:t>
      </w:r>
    </w:p>
    <w:p>
      <w:pPr>
        <w:pStyle w:val="TextBody"/>
        <w:spacing w:before="480" w:after="0"/>
        <w:jc w:val="both"/>
        <w:rPr>
          <w:rFonts w:ascii="Times New Roman" w:hAnsi="Times New Roman"/>
          <w:sz w:val="20"/>
        </w:rPr>
      </w:pPr>
      <w:r>
        <w:rPr>
          <w:rFonts w:ascii="Times New Roman;serif" w:hAnsi="Times New Roman;serif"/>
          <w:b w:val="false"/>
          <w:sz w:val="24"/>
        </w:rPr>
        <w:t>Tenaya Therapeutics, Inc.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believes that the granting of equity and cash compensation to members of the Company’s Board of Directors (the “</w:t>
      </w:r>
      <w:r>
        <w:rPr>
          <w:rFonts w:ascii="Times New Roman;serif" w:hAnsi="Times New Roman;serif"/>
          <w:b w:val="false"/>
          <w:sz w:val="24"/>
          <w:u w:val="single"/>
        </w:rPr>
        <w:t>Board</w:t>
      </w:r>
      <w:r>
        <w:rPr>
          <w:rFonts w:ascii="Times New Roman;serif" w:hAnsi="Times New Roman;serif"/>
          <w:b w:val="false"/>
          <w:sz w:val="24"/>
        </w:rPr>
        <w:t>,” and members of the Board, “</w:t>
      </w:r>
      <w:r>
        <w:rPr>
          <w:rFonts w:ascii="Times New Roman;serif" w:hAnsi="Times New Roman;serif"/>
          <w:b w:val="false"/>
          <w:sz w:val="24"/>
          <w:u w:val="single"/>
        </w:rPr>
        <w:t>Directors</w:t>
      </w:r>
      <w:r>
        <w:rPr>
          <w:rFonts w:ascii="Times New Roman" w:hAnsi="Times New Roman"/>
          <w:sz w:val="20"/>
        </w:rPr>
        <w:t>”</w:t>
      </w:r>
      <w:r>
        <w:rPr>
          <w:rFonts w:ascii="Times New Roman;serif" w:hAnsi="Times New Roman;serif"/>
          <w:b w:val="false"/>
          <w:sz w:val="24"/>
        </w:rPr>
        <w:t>) represents an effective tool to attract, retain and reward Directors who are not employees of the Company (“</w:t>
      </w:r>
      <w:r>
        <w:rPr>
          <w:rFonts w:ascii="Times New Roman;serif" w:hAnsi="Times New Roman;serif"/>
          <w:b w:val="false"/>
          <w:sz w:val="24"/>
          <w:u w:val="single"/>
        </w:rPr>
        <w:t>Outside Directors</w:t>
      </w:r>
      <w:r>
        <w:rPr>
          <w:rFonts w:ascii="Times New Roman" w:hAnsi="Times New Roman"/>
          <w:sz w:val="20"/>
        </w:rPr>
        <w:t>”</w:t>
      </w:r>
      <w:r>
        <w:rPr>
          <w:rFonts w:ascii="Times New Roman;serif" w:hAnsi="Times New Roman;serif"/>
          <w:b w:val="false"/>
          <w:sz w:val="24"/>
        </w:rPr>
        <w:t>). This Outside Director Compensation Policy (the “</w:t>
      </w:r>
      <w:r>
        <w:rPr>
          <w:rFonts w:ascii="Times New Roman;serif" w:hAnsi="Times New Roman;serif"/>
          <w:b w:val="false"/>
          <w:sz w:val="24"/>
          <w:u w:val="single"/>
        </w:rPr>
        <w:t>Policy</w:t>
      </w:r>
      <w:r>
        <w:rPr>
          <w:rFonts w:ascii="Times New Roman" w:hAnsi="Times New Roman"/>
          <w:sz w:val="20"/>
        </w:rPr>
        <w:t>”</w:t>
      </w:r>
      <w:r>
        <w:rPr>
          <w:rFonts w:ascii="Times New Roman;serif" w:hAnsi="Times New Roman;serif"/>
          <w:b w:val="false"/>
          <w:sz w:val="24"/>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serif" w:hAnsi="Times New Roman;serif"/>
          <w:b w:val="false"/>
          <w:sz w:val="24"/>
          <w:u w:val="single"/>
        </w:rPr>
        <w:t>Plan</w:t>
      </w:r>
      <w:r>
        <w:rPr>
          <w:rFonts w:ascii="Times New Roman" w:hAnsi="Times New Roman"/>
          <w:sz w:val="20"/>
        </w:rPr>
        <w:t>”</w:t>
      </w:r>
      <w:r>
        <w:rPr>
          <w:rFonts w:ascii="Times New Roman;serif" w:hAnsi="Times New Roman;serif"/>
          <w:b w:val="false"/>
          <w:sz w:val="24"/>
        </w:rPr>
        <w:t>). Each Outside Director will be solely responsible for any tax obligations incurred by such Outside Director as a result of the equity awards and cash and other compensation such Outside Director receives under this Policy.</w:t>
      </w:r>
    </w:p>
    <w:p>
      <w:pPr>
        <w:pStyle w:val="TextBody"/>
        <w:spacing w:before="240" w:after="0"/>
        <w:jc w:val="both"/>
        <w:rPr>
          <w:rFonts w:ascii="Times New Roman" w:hAnsi="Times New Roman"/>
          <w:b w:val="false"/>
          <w:sz w:val="24"/>
        </w:rPr>
      </w:pPr>
      <w:r>
        <w:rPr>
          <w:rFonts w:ascii="Times New Roman" w:hAnsi="Times New Roman"/>
          <w:b w:val="false"/>
          <w:sz w:val="24"/>
        </w:rPr>
        <w:t>1.</w:t>
      </w:r>
    </w:p>
    <w:p>
      <w:pPr>
        <w:pStyle w:val="TextBody"/>
        <w:spacing w:before="240" w:after="0"/>
        <w:jc w:val="both"/>
        <w:rPr/>
      </w:pPr>
      <w:r>
        <w:rPr>
          <w:rFonts w:ascii="Times New Roman;serif" w:hAnsi="Times New Roman;serif"/>
          <w:b w:val="false"/>
          <w:sz w:val="24"/>
          <w:u w:val="single"/>
        </w:rPr>
        <w:t>Effective Date; Restatement Date</w:t>
      </w:r>
      <w:r>
        <w:rPr>
          <w:rFonts w:ascii="Times New Roman;serif" w:hAnsi="Times New Roman;serif"/>
          <w:b w:val="false"/>
          <w:sz w:val="24"/>
        </w:rPr>
        <w:t>. This Policy originally became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Times New Roman;serif" w:hAnsi="Times New Roman;serif"/>
          <w:b w:val="false"/>
          <w:sz w:val="24"/>
          <w:u w:val="single"/>
        </w:rPr>
        <w:t>Effective Date</w:t>
      </w:r>
      <w:r>
        <w:rPr/>
        <w:t>”</w:t>
      </w:r>
      <w:r>
        <w:rPr>
          <w:rFonts w:ascii="Times New Roman;serif" w:hAnsi="Times New Roman;serif"/>
          <w:b w:val="false"/>
          <w:sz w:val="24"/>
        </w:rPr>
        <w:t>). This amended and restated Policy is effective as of the Restatement Date.</w:t>
      </w:r>
    </w:p>
    <w:p>
      <w:pPr>
        <w:pStyle w:val="TextBody"/>
        <w:spacing w:before="240" w:after="0"/>
        <w:jc w:val="both"/>
        <w:rPr>
          <w:rFonts w:ascii="Times New Roman" w:hAnsi="Times New Roman"/>
          <w:b w:val="false"/>
          <w:sz w:val="24"/>
        </w:rPr>
      </w:pPr>
      <w:r>
        <w:rPr>
          <w:rFonts w:ascii="Times New Roman" w:hAnsi="Times New Roman"/>
          <w:b w:val="false"/>
          <w:sz w:val="24"/>
        </w:rPr>
        <w:t>2.</w:t>
      </w:r>
    </w:p>
    <w:p>
      <w:pPr>
        <w:pStyle w:val="TextBody"/>
        <w:spacing w:before="240" w:after="0"/>
        <w:jc w:val="both"/>
        <w:rPr>
          <w:rFonts w:ascii="Times New Roman;serif" w:hAnsi="Times New Roman;serif"/>
          <w:b w:val="false"/>
          <w:sz w:val="24"/>
          <w:u w:val="single"/>
        </w:rPr>
      </w:pPr>
      <w:r>
        <w:rPr>
          <w:rFonts w:ascii="Times New Roman;serif" w:hAnsi="Times New Roman;serif"/>
          <w:b w:val="false"/>
          <w:sz w:val="24"/>
          <w:u w:val="single"/>
        </w:rPr>
        <w:t>Cash Compensation</w:t>
      </w:r>
    </w:p>
    <w:p>
      <w:pPr>
        <w:pStyle w:val="TextBody"/>
        <w:spacing w:before="240" w:after="0"/>
        <w:jc w:val="both"/>
        <w:rPr>
          <w:rFonts w:ascii="Times New Roman" w:hAnsi="Times New Roman"/>
          <w:b w:val="false"/>
          <w:sz w:val="24"/>
        </w:rPr>
      </w:pPr>
      <w:r>
        <w:rPr>
          <w:rFonts w:ascii="Times New Roman" w:hAnsi="Times New Roman"/>
          <w:b w:val="false"/>
          <w:sz w:val="24"/>
        </w:rPr>
        <w:t>2.1</w:t>
      </w:r>
    </w:p>
    <w:p>
      <w:pPr>
        <w:pStyle w:val="TextBody"/>
        <w:spacing w:before="240" w:after="0"/>
        <w:jc w:val="both"/>
        <w:rPr/>
      </w:pPr>
      <w:r>
        <w:rPr>
          <w:rFonts w:ascii="Times New Roman;serif" w:hAnsi="Times New Roman;serif"/>
          <w:b w:val="false"/>
          <w:sz w:val="24"/>
          <w:u w:val="single"/>
        </w:rPr>
        <w:t>Board Member Annual Cash Retainer</w:t>
      </w:r>
      <w:r>
        <w:rPr>
          <w:rFonts w:ascii="Times New Roman;serif" w:hAnsi="Times New Roman;serif"/>
          <w:b w:val="false"/>
          <w:sz w:val="24"/>
        </w:rPr>
        <w:t>. Each Outside Director will be paid an annual cash retainer of $35,000. There are no per</w:t>
        <w:noBreakHyphen/>
        <w:t xml:space="preserve">meeting attendance fees for attending Board meetings or meetings of any committee of the Board. </w:t>
      </w:r>
    </w:p>
    <w:p>
      <w:pPr>
        <w:pStyle w:val="TextBody"/>
        <w:spacing w:before="240" w:after="240"/>
        <w:jc w:val="both"/>
        <w:rPr>
          <w:rFonts w:ascii="Times New Roman" w:hAnsi="Times New Roman"/>
          <w:b w:val="false"/>
          <w:sz w:val="24"/>
        </w:rPr>
      </w:pPr>
      <w:r>
        <w:rPr>
          <w:rFonts w:ascii="Times New Roman" w:hAnsi="Times New Roman"/>
          <w:b w:val="false"/>
          <w:sz w:val="24"/>
        </w:rPr>
        <w:t>2.2</w:t>
      </w:r>
    </w:p>
    <w:p>
      <w:pPr>
        <w:pStyle w:val="TextBody"/>
        <w:spacing w:before="240" w:after="240"/>
        <w:jc w:val="both"/>
        <w:rPr/>
      </w:pPr>
      <w:r>
        <w:rPr>
          <w:rFonts w:ascii="Times New Roman;serif" w:hAnsi="Times New Roman;serif"/>
          <w:b w:val="false"/>
          <w:sz w:val="24"/>
          <w:u w:val="single"/>
        </w:rPr>
        <w:t>Additional Annual Cash Retainers</w:t>
      </w:r>
      <w:r>
        <w:rPr>
          <w:rFonts w:ascii="Times New Roman;serif" w:hAnsi="Times New Roman;serif"/>
          <w:b w:val="false"/>
          <w:sz w:val="24"/>
        </w:rPr>
        <w:t xml:space="preserve">. As of the Effective Date, each Outside Director who serves as the Chair of the Board, or the chair or a member of a committee of the Board, will be eligible to earn additional annual fees as follows: </w:t>
      </w:r>
    </w:p>
    <w:tbl>
      <w:tblPr>
        <w:tblW w:w="6602" w:type="dxa"/>
        <w:jc w:val="left"/>
        <w:tblInd w:w="0" w:type="dxa"/>
        <w:tblCellMar>
          <w:top w:w="28" w:type="dxa"/>
          <w:left w:w="28" w:type="dxa"/>
          <w:bottom w:w="28" w:type="dxa"/>
          <w:right w:w="28" w:type="dxa"/>
        </w:tblCellMar>
      </w:tblPr>
      <w:tblGrid>
        <w:gridCol w:w="5671"/>
        <w:gridCol w:w="931"/>
      </w:tblGrid>
      <w:tr>
        <w:trPr/>
        <w:tc>
          <w:tcPr>
            <w:tcW w:w="567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567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Non-Executive Chair of the Board:</w:t>
            </w:r>
          </w:p>
        </w:tc>
        <w:tc>
          <w:tcPr>
            <w:tcW w:w="93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$30,000</w:t>
            </w:r>
          </w:p>
        </w:tc>
      </w:tr>
      <w:tr>
        <w:trPr/>
        <w:tc>
          <w:tcPr>
            <w:tcW w:w="567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Lead Independent Director:</w:t>
            </w:r>
          </w:p>
        </w:tc>
        <w:tc>
          <w:tcPr>
            <w:tcW w:w="93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$20,000</w:t>
            </w:r>
          </w:p>
        </w:tc>
      </w:tr>
      <w:tr>
        <w:trPr/>
        <w:tc>
          <w:tcPr>
            <w:tcW w:w="567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Audit Committee Chair:</w:t>
            </w:r>
          </w:p>
        </w:tc>
        <w:tc>
          <w:tcPr>
            <w:tcW w:w="93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$15,000</w:t>
            </w:r>
          </w:p>
        </w:tc>
      </w:tr>
      <w:tr>
        <w:trPr/>
        <w:tc>
          <w:tcPr>
            <w:tcW w:w="567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 w:hAnsi="Times New Roman"/>
                <w:sz w:val="24"/>
              </w:rPr>
            </w:pPr>
            <w:r>
              <w:rPr>
                <w:rFonts w:ascii="Times New Roman;serif" w:hAnsi="Times New Roman;serif"/>
                <w:b w:val="false"/>
                <w:sz w:val="24"/>
              </w:rPr>
              <w:t>Audit Committee Member:</w:t>
            </w:r>
            <w:r>
              <w:rPr>
                <w:rFonts w:ascii="Times New Roman" w:hAnsi="Times New Roman"/>
                <w:sz w:val="24"/>
              </w:rPr>
              <w:t xml:space="preserve"> </w:t>
            </w:r>
          </w:p>
        </w:tc>
        <w:tc>
          <w:tcPr>
            <w:tcW w:w="93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$7,500</w:t>
            </w:r>
          </w:p>
        </w:tc>
      </w:tr>
      <w:tr>
        <w:trPr/>
        <w:tc>
          <w:tcPr>
            <w:tcW w:w="567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 w:hAnsi="Times New Roman"/>
                <w:sz w:val="24"/>
              </w:rPr>
            </w:pPr>
            <w:r>
              <w:rPr>
                <w:rFonts w:ascii="Times New Roman;serif" w:hAnsi="Times New Roman;serif"/>
                <w:b w:val="false"/>
                <w:sz w:val="24"/>
              </w:rPr>
              <w:t>Compensation Committee Chair:</w:t>
            </w:r>
            <w:r>
              <w:rPr>
                <w:rFonts w:ascii="Times New Roman" w:hAnsi="Times New Roman"/>
                <w:sz w:val="24"/>
              </w:rPr>
              <w:t xml:space="preserve"> </w:t>
            </w:r>
          </w:p>
        </w:tc>
        <w:tc>
          <w:tcPr>
            <w:tcW w:w="93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$10,000</w:t>
            </w:r>
          </w:p>
        </w:tc>
      </w:tr>
      <w:tr>
        <w:trPr/>
        <w:tc>
          <w:tcPr>
            <w:tcW w:w="567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 w:hAnsi="Times New Roman"/>
                <w:sz w:val="24"/>
              </w:rPr>
            </w:pPr>
            <w:r>
              <w:rPr>
                <w:rFonts w:ascii="Times New Roman;serif" w:hAnsi="Times New Roman;serif"/>
                <w:b w:val="false"/>
                <w:sz w:val="24"/>
              </w:rPr>
              <w:t>Compensation Committee Member:</w:t>
            </w:r>
            <w:r>
              <w:rPr>
                <w:rFonts w:ascii="Times New Roman" w:hAnsi="Times New Roman"/>
                <w:sz w:val="24"/>
              </w:rPr>
              <w:t xml:space="preserve"> </w:t>
            </w:r>
          </w:p>
        </w:tc>
        <w:tc>
          <w:tcPr>
            <w:tcW w:w="93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$5,000</w:t>
            </w:r>
          </w:p>
        </w:tc>
      </w:tr>
      <w:tr>
        <w:trPr/>
        <w:tc>
          <w:tcPr>
            <w:tcW w:w="567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 w:hAnsi="Times New Roman"/>
                <w:sz w:val="24"/>
              </w:rPr>
            </w:pPr>
            <w:r>
              <w:rPr>
                <w:rFonts w:ascii="Times New Roman;serif" w:hAnsi="Times New Roman;serif"/>
                <w:b w:val="false"/>
                <w:sz w:val="24"/>
              </w:rPr>
              <w:t>Nominating and Corporate Governance Committee Chair:</w:t>
            </w:r>
            <w:r>
              <w:rPr>
                <w:rFonts w:ascii="Times New Roman" w:hAnsi="Times New Roman"/>
                <w:sz w:val="24"/>
              </w:rPr>
              <w:t xml:space="preserve"> </w:t>
            </w:r>
          </w:p>
        </w:tc>
        <w:tc>
          <w:tcPr>
            <w:tcW w:w="93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$8,000</w:t>
            </w:r>
          </w:p>
        </w:tc>
      </w:tr>
    </w:tbl>
    <w:p>
      <w:pPr>
        <w:pStyle w:val="TextBody"/>
        <w:spacing w:before="0" w:after="0"/>
        <w:jc w:val="both"/>
        <w:rPr/>
      </w:pPr>
      <w:r>
        <w:rPr/>
        <w:t> </w:t>
      </w:r>
    </w:p>
    <w:p>
      <w:pPr>
        <w:pStyle w:val="TextBody"/>
        <w:spacing w:before="0" w:after="0"/>
        <w:jc w:val="both"/>
        <w:rPr/>
      </w:pPr>
      <w:r>
        <w:rPr/>
        <w:t> </w:t>
      </w:r>
    </w:p>
    <w:p>
      <w:pPr>
        <w:pStyle w:val="HorizontalLine"/>
        <w:rPr/>
      </w:pPr>
      <w:r>
        <w:rPr/>
      </w:r>
    </w:p>
    <w:p>
      <w:pPr>
        <w:pStyle w:val="TextBody"/>
        <w:spacing w:before="0" w:after="0"/>
        <w:jc w:val="right"/>
        <w:rPr/>
      </w:pPr>
      <w:r>
        <w:rPr/>
        <w:t> </w:t>
      </w:r>
    </w:p>
    <w:p>
      <w:pPr>
        <w:pStyle w:val="TextBody"/>
        <w:spacing w:before="0" w:after="0"/>
        <w:jc w:val="both"/>
        <w:rPr/>
      </w:pPr>
      <w:r>
        <w:rPr/>
        <w:t> </w:t>
      </w:r>
    </w:p>
    <w:tbl>
      <w:tblPr>
        <w:tblW w:w="6752" w:type="dxa"/>
        <w:jc w:val="left"/>
        <w:tblInd w:w="0" w:type="dxa"/>
        <w:tblCellMar>
          <w:top w:w="28" w:type="dxa"/>
          <w:left w:w="28" w:type="dxa"/>
          <w:bottom w:w="28" w:type="dxa"/>
          <w:right w:w="28" w:type="dxa"/>
        </w:tblCellMar>
      </w:tblPr>
      <w:tblGrid>
        <w:gridCol w:w="5941"/>
        <w:gridCol w:w="811"/>
      </w:tblGrid>
      <w:tr>
        <w:trPr/>
        <w:tc>
          <w:tcPr>
            <w:tcW w:w="594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594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 w:hAnsi="Times New Roman"/>
                <w:sz w:val="24"/>
              </w:rPr>
            </w:pPr>
            <w:r>
              <w:rPr>
                <w:rFonts w:ascii="Times New Roman;serif" w:hAnsi="Times New Roman;serif"/>
                <w:b w:val="false"/>
                <w:sz w:val="24"/>
              </w:rPr>
              <w:t>Nominating and Corporate Governance Committee Member:</w:t>
            </w:r>
            <w:r>
              <w:rPr>
                <w:rFonts w:ascii="Times New Roman" w:hAnsi="Times New Roman"/>
                <w:sz w:val="24"/>
              </w:rPr>
              <w:t xml:space="preserve"> </w:t>
            </w:r>
          </w:p>
        </w:tc>
        <w:tc>
          <w:tcPr>
            <w:tcW w:w="811" w:type="dxa"/>
            <w:tcBorders/>
            <w:shd w:fill="auto" w:val="clear"/>
            <w:tcMar>
              <w:top w:w="0" w:type="dxa"/>
              <w:left w:w="0" w:type="dxa"/>
              <w:bottom w:w="0" w:type="dxa"/>
              <w:right w:w="0" w:type="dxa"/>
            </w:tcMar>
            <w:vAlign w:val="center"/>
          </w:tcPr>
          <w:p>
            <w:pPr>
              <w:pStyle w:val="TableContents"/>
              <w:spacing w:before="60" w:after="60"/>
              <w:ind w:left="0" w:right="0" w:hanging="0"/>
              <w:jc w:val="both"/>
              <w:rPr>
                <w:rFonts w:ascii="Times New Roman;serif" w:hAnsi="Times New Roman;serif"/>
                <w:b w:val="false"/>
                <w:sz w:val="24"/>
              </w:rPr>
            </w:pPr>
            <w:r>
              <w:rPr>
                <w:rFonts w:ascii="Times New Roman;serif" w:hAnsi="Times New Roman;serif"/>
                <w:b w:val="false"/>
                <w:sz w:val="24"/>
              </w:rPr>
              <w:t>$4,000</w:t>
            </w:r>
          </w:p>
        </w:tc>
      </w:tr>
    </w:tbl>
    <w:p>
      <w:pPr>
        <w:pStyle w:val="TextBody"/>
        <w:spacing w:before="240" w:after="0"/>
        <w:jc w:val="both"/>
        <w:rPr>
          <w:rFonts w:ascii="Times New Roman" w:hAnsi="Times New Roman"/>
          <w:sz w:val="20"/>
        </w:rPr>
      </w:pPr>
      <w:r>
        <w:rPr>
          <w:rFonts w:ascii="Times New Roman;serif" w:hAnsi="Times New Roman;serif"/>
          <w:b w:val="false"/>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r>
        <w:rPr>
          <w:rFonts w:ascii="Times New Roman" w:hAnsi="Times New Roman"/>
          <w:sz w:val="20"/>
        </w:rPr>
        <w:t xml:space="preserve"> </w:t>
      </w:r>
    </w:p>
    <w:p>
      <w:pPr>
        <w:pStyle w:val="TextBody"/>
        <w:spacing w:before="240" w:after="0"/>
        <w:jc w:val="both"/>
        <w:rPr>
          <w:rFonts w:ascii="Times New Roman" w:hAnsi="Times New Roman"/>
          <w:b w:val="false"/>
          <w:sz w:val="24"/>
        </w:rPr>
      </w:pPr>
      <w:r>
        <w:rPr>
          <w:rFonts w:ascii="Times New Roman" w:hAnsi="Times New Roman"/>
          <w:b w:val="false"/>
          <w:sz w:val="24"/>
        </w:rPr>
        <w:t>2.3</w:t>
      </w:r>
    </w:p>
    <w:p>
      <w:pPr>
        <w:pStyle w:val="TextBody"/>
        <w:spacing w:before="240" w:after="0"/>
        <w:jc w:val="both"/>
        <w:rPr/>
      </w:pPr>
      <w:r>
        <w:rPr>
          <w:rFonts w:ascii="Times New Roman;serif" w:hAnsi="Times New Roman;serif"/>
          <w:b w:val="false"/>
          <w:sz w:val="24"/>
          <w:u w:val="single"/>
        </w:rPr>
        <w:t>Payment Timing and Proration</w:t>
      </w:r>
      <w:r>
        <w:rPr>
          <w:rFonts w:ascii="Times New Roman;serif" w:hAnsi="Times New Roman;serif"/>
          <w:b w:val="false"/>
          <w:sz w:val="24"/>
        </w:rPr>
        <w:t>. Each annual cash retainer (a “</w:t>
      </w:r>
      <w:r>
        <w:rPr>
          <w:rFonts w:ascii="Times New Roman;serif" w:hAnsi="Times New Roman;serif"/>
          <w:b w:val="false"/>
          <w:sz w:val="24"/>
          <w:u w:val="single"/>
        </w:rPr>
        <w:t>Annual Cash Retainer</w:t>
      </w:r>
      <w:r>
        <w:rPr/>
        <w:t>”</w:t>
      </w:r>
      <w:r>
        <w:rPr>
          <w:rFonts w:ascii="Times New Roman;serif" w:hAnsi="Times New Roman;serif"/>
          <w:b w:val="false"/>
          <w:sz w:val="24"/>
        </w:rPr>
        <w:t>) under this Policy will be paid quarterly in arrears on a prorated basis to each Outside Director who has served in the relevant capacity at any time during the immediately preceding fiscal quarter of the Company (“</w:t>
      </w:r>
      <w:r>
        <w:rPr>
          <w:rFonts w:ascii="Times New Roman;serif" w:hAnsi="Times New Roman;serif"/>
          <w:b w:val="false"/>
          <w:sz w:val="24"/>
          <w:u w:val="single"/>
        </w:rPr>
        <w:t>Fiscal Quarter</w:t>
      </w:r>
      <w:r>
        <w:rPr/>
        <w:t>”</w:t>
      </w:r>
      <w:r>
        <w:rPr>
          <w:rFonts w:ascii="Times New Roman;serif" w:hAnsi="Times New Roman;serif"/>
          <w:b w:val="false"/>
          <w:sz w:val="24"/>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serif" w:hAnsi="Times New Roman;serif"/>
          <w:b w:val="false"/>
          <w:sz w:val="24"/>
          <w:u w:val="single"/>
        </w:rPr>
        <w:t>Initial Period</w:t>
      </w:r>
      <w:r>
        <w:rPr/>
        <w:t>”</w:t>
      </w:r>
      <w:r>
        <w:rPr>
          <w:rFonts w:ascii="Times New Roman;serif" w:hAnsi="Times New Roman;serif"/>
          <w:b w:val="false"/>
          <w:sz w:val="24"/>
        </w:rPr>
        <w:t>),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spacing w:before="240" w:after="0"/>
        <w:jc w:val="both"/>
        <w:rPr>
          <w:rFonts w:ascii="Times New Roman" w:hAnsi="Times New Roman"/>
          <w:b w:val="false"/>
          <w:sz w:val="24"/>
        </w:rPr>
      </w:pPr>
      <w:r>
        <w:rPr>
          <w:rFonts w:ascii="Times New Roman" w:hAnsi="Times New Roman"/>
          <w:b w:val="false"/>
          <w:sz w:val="24"/>
        </w:rPr>
        <w:t>3.</w:t>
      </w:r>
    </w:p>
    <w:p>
      <w:pPr>
        <w:pStyle w:val="TextBody"/>
        <w:spacing w:before="240" w:after="0"/>
        <w:jc w:val="both"/>
        <w:rPr/>
      </w:pPr>
      <w:r>
        <w:rPr>
          <w:rFonts w:ascii="Times New Roman;serif" w:hAnsi="Times New Roman;serif"/>
          <w:b w:val="false"/>
          <w:sz w:val="24"/>
          <w:u w:val="single"/>
        </w:rPr>
        <w:t>Equity Compensation</w:t>
      </w:r>
      <w:r>
        <w:rPr>
          <w:rFonts w:ascii="Times New Roman;serif" w:hAnsi="Times New Roman;serif"/>
          <w:b w:val="false"/>
          <w:sz w:val="24"/>
        </w:rPr>
        <w:t>.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pStyle w:val="TextBody"/>
        <w:spacing w:before="240" w:after="0"/>
        <w:jc w:val="both"/>
        <w:rPr>
          <w:rFonts w:ascii="Times New Roman" w:hAnsi="Times New Roman"/>
          <w:b w:val="false"/>
          <w:sz w:val="24"/>
        </w:rPr>
      </w:pPr>
      <w:r>
        <w:rPr>
          <w:rFonts w:ascii="Times New Roman" w:hAnsi="Times New Roman"/>
          <w:b w:val="false"/>
          <w:sz w:val="24"/>
        </w:rPr>
        <w:t>3.1</w:t>
      </w:r>
    </w:p>
    <w:p>
      <w:pPr>
        <w:pStyle w:val="TextBody"/>
        <w:spacing w:before="240" w:after="0"/>
        <w:jc w:val="both"/>
        <w:rPr/>
      </w:pPr>
      <w:r>
        <w:rPr>
          <w:rFonts w:ascii="Times New Roman;serif" w:hAnsi="Times New Roman;serif"/>
          <w:b w:val="false"/>
          <w:sz w:val="24"/>
          <w:u w:val="single"/>
        </w:rPr>
        <w:t>No Discretion</w:t>
      </w:r>
      <w:r>
        <w:rPr>
          <w:rFonts w:ascii="Times New Roman;serif" w:hAnsi="Times New Roman;serif"/>
          <w:b w:val="false"/>
          <w:sz w:val="24"/>
        </w:rPr>
        <w:t>. No person will have any discretion to select which Outside Directors will be granted Annual Awards (as defined below) under this Policy or to determine the number of Shares to be covered by such Awards (except as provided in Sections 3.4.4 and 10 below).</w:t>
      </w:r>
    </w:p>
    <w:p>
      <w:pPr>
        <w:pStyle w:val="TextBody"/>
        <w:spacing w:before="240" w:after="0"/>
        <w:jc w:val="both"/>
        <w:rPr>
          <w:rFonts w:ascii="Times New Roman" w:hAnsi="Times New Roman"/>
          <w:b w:val="false"/>
          <w:sz w:val="24"/>
        </w:rPr>
      </w:pPr>
      <w:r>
        <w:rPr>
          <w:rFonts w:ascii="Times New Roman" w:hAnsi="Times New Roman"/>
          <w:b w:val="false"/>
          <w:sz w:val="24"/>
        </w:rPr>
        <w:t>3.2</w:t>
      </w:r>
    </w:p>
    <w:p>
      <w:pPr>
        <w:pStyle w:val="TextBody"/>
        <w:spacing w:before="240" w:after="283"/>
        <w:jc w:val="both"/>
        <w:rPr/>
      </w:pPr>
      <w:r>
        <w:rPr>
          <w:rFonts w:ascii="Times New Roman;serif" w:hAnsi="Times New Roman;serif"/>
          <w:b w:val="false"/>
          <w:sz w:val="24"/>
          <w:u w:val="single"/>
        </w:rPr>
        <w:t>Initial Awards</w:t>
      </w:r>
      <w:r>
        <w:rPr>
          <w:rFonts w:ascii="Times New Roman;serif" w:hAnsi="Times New Roman;serif"/>
          <w:b w:val="false"/>
          <w:sz w:val="24"/>
        </w:rPr>
        <w:t>. Each individual who first becomes an Outside Director on or following the Restatement Date automatically will be granted an Option (an “</w:t>
      </w:r>
      <w:r>
        <w:rPr>
          <w:rFonts w:ascii="Times New Roman;serif" w:hAnsi="Times New Roman;serif"/>
          <w:b w:val="false"/>
          <w:sz w:val="24"/>
          <w:u w:val="single"/>
        </w:rPr>
        <w:t>Initial Award</w:t>
      </w:r>
      <w:r>
        <w:rPr/>
        <w:t>”</w:t>
      </w:r>
      <w:r>
        <w:rPr>
          <w:rFonts w:ascii="Times New Roman;serif" w:hAnsi="Times New Roman;serif"/>
          <w:b w:val="false"/>
          <w:sz w:val="24"/>
        </w:rPr>
        <w:t>) to purchase Shares with a grant date fair value as determined in accordance with U.S. generally accepted accounting principles (the “</w:t>
      </w:r>
      <w:r>
        <w:rPr>
          <w:rFonts w:ascii="Times New Roman;serif" w:hAnsi="Times New Roman;serif"/>
          <w:b w:val="false"/>
          <w:sz w:val="24"/>
          <w:u w:val="single"/>
        </w:rPr>
        <w:t>Grant Value</w:t>
      </w:r>
      <w:r>
        <w:rPr/>
        <w:t>”</w:t>
      </w:r>
      <w:r>
        <w:rPr>
          <w:rFonts w:ascii="Times New Roman;serif" w:hAnsi="Times New Roman;serif"/>
          <w:b w:val="false"/>
          <w:sz w:val="24"/>
        </w:rPr>
        <w:t>) equal to $320,000 (with any resulting fractional Share rounded down to the nearest whole Share), provided that, notwithstanding the foregoing, no more than 68,000 Shares may be subject to an Initial Award. The grant date of the Initial Award will be the first Trading Day on or after the date on which such individual first becomes an Outside Director (such first date as an Outside Director, the “</w:t>
      </w:r>
      <w:r>
        <w:rPr>
          <w:rFonts w:ascii="Times New Roman;serif" w:hAnsi="Times New Roman;serif"/>
          <w:b w:val="false"/>
          <w:sz w:val="24"/>
          <w:u w:val="single"/>
        </w:rPr>
        <w:t>Initial Start Date</w:t>
      </w:r>
      <w:r>
        <w:rPr/>
        <w:t>”</w:t>
      </w:r>
      <w:r>
        <w:rPr>
          <w:rFonts w:ascii="Times New Roman;serif" w:hAnsi="Times New Roman;serif"/>
          <w:b w:val="false"/>
          <w:sz w:val="24"/>
        </w:rPr>
        <w:t>), whether through election by the stockholders of the Company or appointment by the Board to fill a vacancy. If an individual was an Employee-Director, becoming an Outside Director due to termination of the individual’s status as an Employee will not entitle the Outside Director to an Initial Award. Each Initial Award will be scheduled to vest as to one thirty</w:t>
        <w:noBreakHyphen/>
        <w:t xml:space="preserve">sixth (1/36th) of the Shares subject to the Initial Award on a monthly basis following the Initial Award’s grant date on the same day of the month as such grant date (or on the last day of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both"/>
        <w:rPr/>
      </w:pPr>
      <w:r>
        <w:rPr/>
        <w:t> </w:t>
      </w:r>
    </w:p>
    <w:p>
      <w:pPr>
        <w:pStyle w:val="HorizontalLine"/>
        <w:rPr/>
      </w:pPr>
      <w:r>
        <w:rPr/>
      </w:r>
    </w:p>
    <w:p>
      <w:pPr>
        <w:pStyle w:val="TextBody"/>
        <w:spacing w:before="0" w:after="0"/>
        <w:jc w:val="right"/>
        <w:rPr/>
      </w:pPr>
      <w:r>
        <w:rPr/>
        <w:t> </w:t>
      </w:r>
    </w:p>
    <w:p>
      <w:pPr>
        <w:pStyle w:val="TextBody"/>
        <w:spacing w:before="0" w:after="0"/>
        <w:jc w:val="both"/>
        <w:rPr/>
      </w:pPr>
      <w:r>
        <w:rPr/>
        <w:t> </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the month, if there is no corresponding day in such month), subject to the Outside Director remaining a Service Provider through the applicable vesting date.</w:t>
      </w:r>
    </w:p>
    <w:p>
      <w:pPr>
        <w:pStyle w:val="TextBody"/>
        <w:spacing w:before="240" w:after="0"/>
        <w:jc w:val="both"/>
        <w:rPr>
          <w:rFonts w:ascii="Times New Roman" w:hAnsi="Times New Roman"/>
          <w:b w:val="false"/>
          <w:sz w:val="24"/>
        </w:rPr>
      </w:pPr>
      <w:r>
        <w:rPr>
          <w:rFonts w:ascii="Times New Roman" w:hAnsi="Times New Roman"/>
          <w:b w:val="false"/>
          <w:sz w:val="24"/>
        </w:rPr>
        <w:t>3.3</w:t>
      </w:r>
    </w:p>
    <w:p>
      <w:pPr>
        <w:pStyle w:val="TextBody"/>
        <w:spacing w:before="240" w:after="0"/>
        <w:jc w:val="both"/>
        <w:rPr/>
      </w:pPr>
      <w:r>
        <w:rPr>
          <w:rFonts w:ascii="Times New Roman;serif" w:hAnsi="Times New Roman;serif"/>
          <w:b w:val="false"/>
          <w:sz w:val="24"/>
          <w:u w:val="single"/>
        </w:rPr>
        <w:t>Annual Award</w:t>
      </w:r>
      <w:r>
        <w:rPr>
          <w:rFonts w:ascii="Times New Roman;serif" w:hAnsi="Times New Roman;serif"/>
          <w:b w:val="false"/>
          <w:sz w:val="24"/>
        </w:rPr>
        <w:t>. On the first Trading Day immediately following each Annual Meeting of the Company’s stockholders (an “</w:t>
      </w:r>
      <w:r>
        <w:rPr>
          <w:rFonts w:ascii="Times New Roman;serif" w:hAnsi="Times New Roman;serif"/>
          <w:b w:val="false"/>
          <w:sz w:val="24"/>
          <w:u w:val="single"/>
        </w:rPr>
        <w:t>Annual Meeting</w:t>
      </w:r>
      <w:r>
        <w:rPr/>
        <w:t xml:space="preserve">” </w:t>
      </w:r>
      <w:r>
        <w:rPr>
          <w:rFonts w:ascii="Times New Roman;serif" w:hAnsi="Times New Roman;serif"/>
          <w:b w:val="false"/>
          <w:sz w:val="24"/>
        </w:rPr>
        <w:t>and such first Trading Day immediately following the Annual Meeting, the “</w:t>
      </w:r>
      <w:r>
        <w:rPr>
          <w:rFonts w:ascii="Times New Roman;serif" w:hAnsi="Times New Roman;serif"/>
          <w:b w:val="false"/>
          <w:sz w:val="24"/>
          <w:u w:val="single"/>
        </w:rPr>
        <w:t>Annual Award Date</w:t>
      </w:r>
      <w:r>
        <w:rPr/>
        <w:t>”</w:t>
      </w:r>
      <w:r>
        <w:rPr>
          <w:rFonts w:ascii="Times New Roman;serif" w:hAnsi="Times New Roman;serif"/>
          <w:b w:val="false"/>
          <w:sz w:val="24"/>
        </w:rPr>
        <w:t>) that occurs on or after the Restatement Date, (i) each Outside Director who, as of the date of such Annual Meeting (the “</w:t>
      </w:r>
      <w:r>
        <w:rPr>
          <w:rFonts w:ascii="Times New Roman;serif" w:hAnsi="Times New Roman;serif"/>
          <w:b w:val="false"/>
          <w:sz w:val="24"/>
          <w:u w:val="single"/>
        </w:rPr>
        <w:t>Current Meeting</w:t>
      </w:r>
      <w:r>
        <w:rPr/>
        <w:t>”</w:t>
      </w:r>
      <w:r>
        <w:rPr>
          <w:rFonts w:ascii="Times New Roman;serif" w:hAnsi="Times New Roman;serif"/>
          <w:b w:val="false"/>
          <w:sz w:val="24"/>
        </w:rPr>
        <w:t>) has been in continuous service as an Outside Director since the date of the most recently preceding Annual Meeting (the “</w:t>
      </w:r>
      <w:r>
        <w:rPr>
          <w:rFonts w:ascii="Times New Roman;serif" w:hAnsi="Times New Roman;serif"/>
          <w:b w:val="false"/>
          <w:sz w:val="24"/>
          <w:u w:val="single"/>
        </w:rPr>
        <w:t>Prior Meeting</w:t>
      </w:r>
      <w:r>
        <w:rPr/>
        <w:t>”</w:t>
      </w:r>
      <w:r>
        <w:rPr>
          <w:rFonts w:ascii="Times New Roman;serif" w:hAnsi="Times New Roman;serif"/>
          <w:b w:val="false"/>
          <w:sz w:val="24"/>
        </w:rPr>
        <w:t>), automatically will be granted an Option (the “</w:t>
      </w:r>
      <w:r>
        <w:rPr>
          <w:rFonts w:ascii="Times New Roman;serif" w:hAnsi="Times New Roman;serif"/>
          <w:b w:val="false"/>
          <w:sz w:val="24"/>
          <w:u w:val="single"/>
        </w:rPr>
        <w:t>Annual Award</w:t>
      </w:r>
      <w:r>
        <w:rPr/>
        <w:t>”</w:t>
      </w:r>
      <w:r>
        <w:rPr>
          <w:rFonts w:ascii="Times New Roman;serif" w:hAnsi="Times New Roman;serif"/>
          <w:b w:val="false"/>
          <w:sz w:val="24"/>
        </w:rPr>
        <w:t>) to purchase Shares with a Grant Value equal to $160,000 (with any resulting fractional Share rounded down to the nearest whole Share), and (ii) each Outside Director who, as of the date of the Current Meeting, has not been in continuous service as an Outside Director since the Prior Meeting, automatically will be granted a prorated Annual Award having a Grant Value equal to the product of (A) $160,000 multiplied by (B) a fraction, (x) the numerator of which is the number of full months (not to exceed 12) during which the individual served as an Outside Director between such individual’s Initial Start Date and the date of the Current Meeting, and (y) the denominator of which is 12 (with any resulting fractional Share rounded down to the nearest whole Share). Notwithstanding the foregoing, no more than 34,000 Shares may be subject to an Annual Award.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 For the avoidance of doubt, for purposes of this Policy, a “full month” will have elapsed on each one-month anniversary of the Initial Start Date (e.g., if the Initial Start Date is September 15 of a given year, a full month will elapse on October 15 of such year and the next full month will elapse on November 15 of such year) or, if there is no monthly anniversary of the applicable date, on the last date of the applicable month (e.g., if the Initial Start Date is October 31 of a given year, a full month will elapse on November 30 of such year and the next full month will elapse on December 31 of such year).</w:t>
      </w:r>
    </w:p>
    <w:p>
      <w:pPr>
        <w:pStyle w:val="TextBody"/>
        <w:spacing w:before="240" w:after="0"/>
        <w:jc w:val="both"/>
        <w:rPr>
          <w:rFonts w:ascii="Times New Roman" w:hAnsi="Times New Roman"/>
          <w:b w:val="false"/>
          <w:sz w:val="24"/>
        </w:rPr>
      </w:pPr>
      <w:r>
        <w:rPr>
          <w:rFonts w:ascii="Times New Roman" w:hAnsi="Times New Roman"/>
          <w:b w:val="false"/>
          <w:sz w:val="24"/>
        </w:rPr>
        <w:t>3.4</w:t>
      </w:r>
    </w:p>
    <w:p>
      <w:pPr>
        <w:pStyle w:val="TextBody"/>
        <w:spacing w:before="240" w:after="0"/>
        <w:jc w:val="both"/>
        <w:rPr/>
      </w:pPr>
      <w:r>
        <w:rPr>
          <w:rFonts w:ascii="Times New Roman;serif" w:hAnsi="Times New Roman;serif"/>
          <w:b w:val="false"/>
          <w:sz w:val="24"/>
          <w:u w:val="single"/>
        </w:rPr>
        <w:t>Additional Terms of Initial Awards and Annual Awards</w:t>
      </w:r>
      <w:r>
        <w:rPr>
          <w:rFonts w:ascii="Times New Roman;serif" w:hAnsi="Times New Roman;serif"/>
          <w:b w:val="false"/>
          <w:sz w:val="24"/>
        </w:rPr>
        <w:t>. The terms and conditions of each Initial Award and Annual Award will be as follows.</w:t>
      </w:r>
    </w:p>
    <w:p>
      <w:pPr>
        <w:pStyle w:val="TextBody"/>
        <w:spacing w:before="240" w:after="0"/>
        <w:jc w:val="both"/>
        <w:rPr>
          <w:rFonts w:ascii="Times New Roman" w:hAnsi="Times New Roman"/>
          <w:b w:val="false"/>
          <w:sz w:val="24"/>
        </w:rPr>
      </w:pPr>
      <w:r>
        <w:rPr>
          <w:rFonts w:ascii="Times New Roman" w:hAnsi="Times New Roman"/>
          <w:b w:val="false"/>
          <w:sz w:val="24"/>
        </w:rPr>
        <w:t>3.4.1</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The term of each Initial Award and Annual Award will be ten (10) years, subject to earlier termination as provided in the Plan.</w:t>
      </w:r>
    </w:p>
    <w:p>
      <w:pPr>
        <w:pStyle w:val="TextBody"/>
        <w:spacing w:before="240" w:after="0"/>
        <w:jc w:val="both"/>
        <w:rPr>
          <w:rFonts w:ascii="Times New Roman" w:hAnsi="Times New Roman"/>
          <w:b w:val="false"/>
          <w:sz w:val="24"/>
        </w:rPr>
      </w:pPr>
      <w:r>
        <w:rPr>
          <w:rFonts w:ascii="Times New Roman" w:hAnsi="Times New Roman"/>
          <w:b w:val="false"/>
          <w:sz w:val="24"/>
        </w:rPr>
        <w:t>3.4.2</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The per Share exercise price of each Initial Award and Annual Award will be equal to one hundred percent (100%) of the Fair Market Value per Share on such Award’s grant date.</w:t>
      </w:r>
    </w:p>
    <w:p>
      <w:pPr>
        <w:pStyle w:val="TextBody"/>
        <w:spacing w:before="240" w:after="0"/>
        <w:jc w:val="both"/>
        <w:rPr>
          <w:rFonts w:ascii="Times New Roman" w:hAnsi="Times New Roman"/>
          <w:b w:val="false"/>
          <w:sz w:val="24"/>
        </w:rPr>
      </w:pPr>
      <w:r>
        <w:rPr>
          <w:rFonts w:ascii="Times New Roman" w:hAnsi="Times New Roman"/>
          <w:b w:val="false"/>
          <w:sz w:val="24"/>
        </w:rPr>
        <w:t>3.4.3</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Each Initial Award and Annual Award will be granted under and subject to the terms and conditions of the Plan and the applicable form of Award Agreement previously approved by the Board or its Committee, as applicable, for use thereunder.</w:t>
      </w:r>
    </w:p>
    <w:p>
      <w:pPr>
        <w:pStyle w:val="TextBody"/>
        <w:spacing w:before="240" w:after="0"/>
        <w:jc w:val="both"/>
        <w:rPr>
          <w:rFonts w:ascii="Times New Roman" w:hAnsi="Times New Roman"/>
          <w:b w:val="false"/>
          <w:sz w:val="24"/>
        </w:rPr>
      </w:pPr>
      <w:r>
        <w:rPr>
          <w:rFonts w:ascii="Times New Roman" w:hAnsi="Times New Roman"/>
          <w:b w:val="false"/>
          <w:sz w:val="24"/>
        </w:rPr>
        <w:t>3.4.4</w:t>
      </w:r>
    </w:p>
    <w:p>
      <w:pPr>
        <w:pStyle w:val="TextBody"/>
        <w:spacing w:before="240" w:after="283"/>
        <w:jc w:val="both"/>
        <w:rPr>
          <w:rFonts w:ascii="Times New Roman;serif" w:hAnsi="Times New Roman;serif"/>
          <w:b w:val="false"/>
          <w:sz w:val="24"/>
        </w:rPr>
      </w:pPr>
      <w:r>
        <w:rPr>
          <w:rFonts w:ascii="Times New Roman;serif" w:hAnsi="Times New Roman;serif"/>
          <w:b w:val="false"/>
          <w:sz w:val="24"/>
        </w:rPr>
        <w:t xml:space="preserve">The Board or its Committee, as applicable and in its discretion, may change and otherwise revise the terms of Initial Awards and Annual Awards granted pursuant to this Policy, including without limitation the number of Shares subject thereto and type of Award.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spacing w:before="0" w:after="0"/>
        <w:jc w:val="both"/>
        <w:rPr/>
      </w:pPr>
      <w:r>
        <w:rPr/>
        <w:t> </w:t>
      </w:r>
    </w:p>
    <w:p>
      <w:pPr>
        <w:pStyle w:val="HorizontalLine"/>
        <w:rPr/>
      </w:pPr>
      <w:r>
        <w:rPr/>
      </w:r>
    </w:p>
    <w:p>
      <w:pPr>
        <w:pStyle w:val="TextBody"/>
        <w:spacing w:before="0" w:after="0"/>
        <w:jc w:val="right"/>
        <w:rPr/>
      </w:pPr>
      <w:r>
        <w:rPr/>
        <w:t> </w:t>
      </w:r>
    </w:p>
    <w:p>
      <w:pPr>
        <w:pStyle w:val="TextBody"/>
        <w:spacing w:before="0" w:after="0"/>
        <w:jc w:val="both"/>
        <w:rPr/>
      </w:pPr>
      <w:r>
        <w:rPr/>
        <w:t> </w:t>
      </w:r>
    </w:p>
    <w:p>
      <w:pPr>
        <w:pStyle w:val="TextBody"/>
        <w:spacing w:before="240" w:after="0"/>
        <w:jc w:val="both"/>
        <w:rPr>
          <w:rFonts w:ascii="Times New Roman" w:hAnsi="Times New Roman"/>
          <w:b w:val="false"/>
          <w:sz w:val="24"/>
        </w:rPr>
      </w:pPr>
      <w:r>
        <w:rPr>
          <w:rFonts w:ascii="Times New Roman" w:hAnsi="Times New Roman"/>
          <w:b w:val="false"/>
          <w:sz w:val="24"/>
        </w:rPr>
        <w:t>4.</w:t>
      </w:r>
    </w:p>
    <w:p>
      <w:pPr>
        <w:pStyle w:val="TextBody"/>
        <w:spacing w:before="240" w:after="0"/>
        <w:jc w:val="both"/>
        <w:rPr/>
      </w:pPr>
      <w:r>
        <w:rPr>
          <w:rFonts w:ascii="Times New Roman;serif" w:hAnsi="Times New Roman;serif"/>
          <w:b w:val="false"/>
          <w:sz w:val="24"/>
          <w:u w:val="single"/>
        </w:rPr>
        <w:t>Change in Control</w:t>
      </w:r>
      <w:r>
        <w:rPr>
          <w:rFonts w:ascii="Times New Roman;serif" w:hAnsi="Times New Roman;serif"/>
          <w:b w:val="false"/>
          <w:sz w:val="24"/>
        </w:rPr>
        <w:t>.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pStyle w:val="TextBody"/>
        <w:spacing w:before="240" w:after="0"/>
        <w:jc w:val="both"/>
        <w:rPr>
          <w:rFonts w:ascii="Times New Roman" w:hAnsi="Times New Roman"/>
          <w:b w:val="false"/>
          <w:sz w:val="24"/>
        </w:rPr>
      </w:pPr>
      <w:r>
        <w:rPr>
          <w:rFonts w:ascii="Times New Roman" w:hAnsi="Times New Roman"/>
          <w:b w:val="false"/>
          <w:sz w:val="24"/>
        </w:rPr>
        <w:t>5.</w:t>
      </w:r>
    </w:p>
    <w:p>
      <w:pPr>
        <w:pStyle w:val="TextBody"/>
        <w:spacing w:before="240" w:after="0"/>
        <w:jc w:val="both"/>
        <w:rPr/>
      </w:pPr>
      <w:r>
        <w:rPr>
          <w:rFonts w:ascii="Times New Roman;serif" w:hAnsi="Times New Roman;serif"/>
          <w:b w:val="false"/>
          <w:sz w:val="24"/>
          <w:u w:val="single"/>
        </w:rPr>
        <w:t>Annual Compensation Limit</w:t>
      </w:r>
      <w:r>
        <w:rPr>
          <w:rFonts w:ascii="Times New Roman;serif" w:hAnsi="Times New Roman;serif"/>
          <w:b w:val="false"/>
          <w:sz w:val="24"/>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Any Awards or other compensation provided to an individual (a) for his or her services as an Employee, or for his or her services as a Consultant other than as an Outside Director, or (b) prior to the Registration Date, will be excluded for purposes of this Section 5.</w:t>
      </w:r>
    </w:p>
    <w:p>
      <w:pPr>
        <w:pStyle w:val="TextBody"/>
        <w:spacing w:before="240" w:after="0"/>
        <w:jc w:val="both"/>
        <w:rPr>
          <w:rFonts w:ascii="Times New Roman" w:hAnsi="Times New Roman"/>
          <w:b w:val="false"/>
          <w:sz w:val="24"/>
        </w:rPr>
      </w:pPr>
      <w:r>
        <w:rPr>
          <w:rFonts w:ascii="Times New Roman" w:hAnsi="Times New Roman"/>
          <w:b w:val="false"/>
          <w:sz w:val="24"/>
        </w:rPr>
        <w:t>6.</w:t>
      </w:r>
    </w:p>
    <w:p>
      <w:pPr>
        <w:pStyle w:val="TextBody"/>
        <w:spacing w:before="240" w:after="0"/>
        <w:jc w:val="both"/>
        <w:rPr/>
      </w:pPr>
      <w:r>
        <w:rPr>
          <w:rFonts w:ascii="Times New Roman;serif" w:hAnsi="Times New Roman;serif"/>
          <w:b w:val="false"/>
          <w:sz w:val="24"/>
          <w:u w:val="single"/>
        </w:rPr>
        <w:t>Travel Expenses</w:t>
      </w:r>
      <w:r>
        <w:rPr>
          <w:rFonts w:ascii="Times New Roman;serif" w:hAnsi="Times New Roman;serif"/>
          <w:b w:val="false"/>
          <w:sz w:val="24"/>
        </w:rPr>
        <w:t>. Each Outside Director’s reasonable, customary and properly documented travel expenses to meetings of the Board and any of its committees, as applicable, will be reimbursed by the Company.</w:t>
      </w:r>
    </w:p>
    <w:p>
      <w:pPr>
        <w:pStyle w:val="TextBody"/>
        <w:spacing w:before="240" w:after="0"/>
        <w:jc w:val="both"/>
        <w:rPr>
          <w:rFonts w:ascii="Times New Roman" w:hAnsi="Times New Roman"/>
          <w:b w:val="false"/>
          <w:sz w:val="24"/>
        </w:rPr>
      </w:pPr>
      <w:r>
        <w:rPr>
          <w:rFonts w:ascii="Times New Roman" w:hAnsi="Times New Roman"/>
          <w:b w:val="false"/>
          <w:sz w:val="24"/>
        </w:rPr>
        <w:t>7.</w:t>
      </w:r>
    </w:p>
    <w:p>
      <w:pPr>
        <w:pStyle w:val="TextBody"/>
        <w:spacing w:before="240" w:after="0"/>
        <w:jc w:val="both"/>
        <w:rPr/>
      </w:pPr>
      <w:r>
        <w:rPr>
          <w:rFonts w:ascii="Times New Roman;serif" w:hAnsi="Times New Roman;serif"/>
          <w:b w:val="false"/>
          <w:sz w:val="24"/>
          <w:u w:val="single"/>
        </w:rPr>
        <w:t>Adjustments</w:t>
      </w:r>
      <w:r>
        <w:rPr>
          <w:rFonts w:ascii="Times New Roman;serif" w:hAnsi="Times New Roman;serif"/>
          <w:b w:val="false"/>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pStyle w:val="TextBody"/>
        <w:spacing w:before="240" w:after="0"/>
        <w:jc w:val="both"/>
        <w:rPr>
          <w:rFonts w:ascii="Times New Roman" w:hAnsi="Times New Roman"/>
          <w:b w:val="false"/>
          <w:sz w:val="24"/>
        </w:rPr>
      </w:pPr>
      <w:r>
        <w:rPr>
          <w:rFonts w:ascii="Times New Roman" w:hAnsi="Times New Roman"/>
          <w:b w:val="false"/>
          <w:sz w:val="24"/>
        </w:rPr>
        <w:t>8.</w:t>
      </w:r>
    </w:p>
    <w:p>
      <w:pPr>
        <w:pStyle w:val="TextBody"/>
        <w:spacing w:before="240" w:after="0"/>
        <w:jc w:val="both"/>
        <w:rPr/>
      </w:pPr>
      <w:r>
        <w:rPr>
          <w:rFonts w:ascii="Times New Roman;serif" w:hAnsi="Times New Roman;serif"/>
          <w:b w:val="false"/>
          <w:sz w:val="24"/>
          <w:u w:val="single"/>
        </w:rPr>
        <w:t>Section 409A</w:t>
      </w:r>
      <w:r>
        <w:rPr>
          <w:rFonts w:ascii="Times New Roman;serif" w:hAnsi="Times New Roman;serif"/>
          <w:b w:val="false"/>
          <w:sz w:val="24"/>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spacing w:before="240" w:after="0"/>
        <w:jc w:val="both"/>
        <w:rPr>
          <w:rFonts w:ascii="Times New Roman" w:hAnsi="Times New Roman"/>
          <w:b w:val="false"/>
          <w:sz w:val="24"/>
        </w:rPr>
      </w:pPr>
      <w:r>
        <w:rPr>
          <w:rFonts w:ascii="Times New Roman" w:hAnsi="Times New Roman"/>
          <w:b w:val="false"/>
          <w:sz w:val="24"/>
        </w:rPr>
        <w:t>9.</w:t>
      </w:r>
    </w:p>
    <w:p>
      <w:pPr>
        <w:pStyle w:val="TextBody"/>
        <w:spacing w:before="240" w:after="283"/>
        <w:jc w:val="both"/>
        <w:rPr/>
      </w:pPr>
      <w:r>
        <w:rPr>
          <w:rFonts w:ascii="Times New Roman;serif" w:hAnsi="Times New Roman;serif"/>
          <w:b w:val="false"/>
          <w:sz w:val="24"/>
          <w:u w:val="single"/>
        </w:rPr>
        <w:t>Stockholder Approval</w:t>
      </w:r>
      <w:r>
        <w:rPr>
          <w:rFonts w:ascii="Times New Roman;serif" w:hAnsi="Times New Roman;serif"/>
          <w:b w:val="false"/>
          <w:sz w:val="24"/>
        </w:rPr>
        <w:t>. The initial adoption of this Policy was approved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spacing w:before="0" w:after="0"/>
        <w:jc w:val="both"/>
        <w:rPr/>
      </w:pPr>
      <w:r>
        <w:rPr/>
        <w:t> </w:t>
      </w:r>
    </w:p>
    <w:p>
      <w:pPr>
        <w:pStyle w:val="HorizontalLine"/>
        <w:rPr/>
      </w:pPr>
      <w:r>
        <w:rPr/>
      </w:r>
    </w:p>
    <w:p>
      <w:pPr>
        <w:pStyle w:val="TextBody"/>
        <w:spacing w:before="0" w:after="0"/>
        <w:jc w:val="right"/>
        <w:rPr/>
      </w:pPr>
      <w:r>
        <w:rPr/>
        <w:t> </w:t>
      </w:r>
    </w:p>
    <w:p>
      <w:pPr>
        <w:pStyle w:val="TextBody"/>
        <w:spacing w:before="0" w:after="0"/>
        <w:jc w:val="both"/>
        <w:rPr/>
      </w:pPr>
      <w:r>
        <w:rPr/>
        <w:t> </w:t>
      </w:r>
    </w:p>
    <w:p>
      <w:pPr>
        <w:pStyle w:val="TextBody"/>
        <w:spacing w:before="240" w:after="0"/>
        <w:jc w:val="both"/>
        <w:rPr>
          <w:rFonts w:ascii="Times New Roman" w:hAnsi="Times New Roman"/>
          <w:b w:val="false"/>
          <w:sz w:val="24"/>
        </w:rPr>
      </w:pPr>
      <w:r>
        <w:rPr>
          <w:rFonts w:ascii="Times New Roman" w:hAnsi="Times New Roman"/>
          <w:b w:val="false"/>
          <w:sz w:val="24"/>
        </w:rPr>
        <w:t>10.</w:t>
      </w:r>
    </w:p>
    <w:p>
      <w:pPr>
        <w:pStyle w:val="TextBody"/>
        <w:spacing w:before="240" w:after="283"/>
        <w:jc w:val="both"/>
        <w:rPr/>
      </w:pPr>
      <w:r>
        <w:rPr>
          <w:rFonts w:ascii="Times New Roman;serif" w:hAnsi="Times New Roman;serif"/>
          <w:b w:val="false"/>
          <w:sz w:val="24"/>
          <w:u w:val="single"/>
        </w:rPr>
        <w:t>Revisions</w:t>
      </w:r>
      <w:r>
        <w:rPr>
          <w:rFonts w:ascii="Times New Roman;serif" w:hAnsi="Times New Roman;serif"/>
          <w:b w:val="false"/>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serif" w:hAnsi="Times New Roman;serif"/>
          <w:b w:val="false"/>
          <w:sz w:val="24"/>
          <w:u w:val="single"/>
        </w:rPr>
        <w:t>Committee</w:t>
      </w:r>
      <w:r>
        <w:rPr/>
        <w:t>”</w:t>
      </w:r>
      <w:r>
        <w:rPr>
          <w:rFonts w:ascii="Times New Roman;serif" w:hAnsi="Times New Roman;serif"/>
          <w:b w:val="false"/>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spacing w:before="240" w:after="0"/>
        <w:jc w:val="center"/>
        <w:rPr>
          <w:rFonts w:ascii="Times New Roman;serif" w:hAnsi="Times New Roman;serif"/>
          <w:b w:val="false"/>
          <w:sz w:val="24"/>
        </w:rPr>
      </w:pPr>
      <w:r>
        <w:rPr>
          <w:rFonts w:ascii="Times New Roman;serif" w:hAnsi="Times New Roman;serif"/>
          <w:b w:val="false"/>
          <w:sz w:val="24"/>
        </w:rPr>
        <w:t>* * *</w:t>
      </w:r>
    </w:p>
    <w:p>
      <w:pPr>
        <w:pStyle w:val="TextBody"/>
        <w:spacing w:before="0" w:after="0"/>
        <w:jc w:val="both"/>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spacing w:before="0" w:after="0"/>
        <w:jc w:val="both"/>
        <w:rPr/>
      </w:pPr>
      <w:r>
        <w:rPr/>
        <w:t> </w:t>
      </w:r>
    </w:p>
    <w:p>
      <w:pPr>
        <w:pStyle w:val="HorizontalLine"/>
        <w:rPr/>
      </w:pPr>
      <w:r>
        <w:rPr/>
      </w:r>
      <w:r>
        <w:br w:type="page"/>
      </w:r>
    </w:p>
    <w:p>
      <w:pPr>
        <w:pStyle w:val="TextBody"/>
        <w:spacing w:before="0" w:after="0"/>
        <w:jc w:val="right"/>
        <w:rPr>
          <w:rFonts w:ascii="Times New Roman" w:hAnsi="Times New Roman"/>
          <w:sz w:val="20"/>
        </w:rPr>
      </w:pPr>
      <w:bookmarkStart w:id="23" w:name="tnya-ex31_1.htm"/>
      <w:bookmarkStart w:id="24" w:name="kstnyaex31_1"/>
      <w:bookmarkEnd w:id="23"/>
      <w:bookmarkEnd w:id="24"/>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I, Faraz Ali, M.B.A., certify that: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I have reviewed this Quarterly Report on Form 10-Q of Tenaya Therapeutics, Inc.;</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Date: May 10, 2023</w:t>
      </w:r>
    </w:p>
    <w:tbl>
      <w:tblPr>
        <w:tblW w:w="6313" w:type="dxa"/>
        <w:jc w:val="left"/>
        <w:tblInd w:w="0" w:type="dxa"/>
        <w:tblCellMar>
          <w:top w:w="28" w:type="dxa"/>
          <w:left w:w="28" w:type="dxa"/>
          <w:bottom w:w="28" w:type="dxa"/>
          <w:right w:w="28" w:type="dxa"/>
        </w:tblCellMar>
      </w:tblPr>
      <w:tblGrid>
        <w:gridCol w:w="161"/>
        <w:gridCol w:w="631"/>
        <w:gridCol w:w="5521"/>
      </w:tblGrid>
      <w:tr>
        <w:trPr/>
        <w:tc>
          <w:tcPr>
            <w:tcW w:w="16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55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5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152"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TENAYA THERAPEUTICS, INC.</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1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552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Faraz Ali, M.B.A.</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Name:</w:t>
            </w:r>
          </w:p>
        </w:tc>
        <w:tc>
          <w:tcPr>
            <w:tcW w:w="552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Faraz Ali, M.B.A.</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5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Chief Executive Officer and Director </w:t>
            </w:r>
            <w:r>
              <w:rPr>
                <w:rFonts w:ascii="Times New Roman;serif" w:hAnsi="Times New Roman;serif"/>
                <w:b w:val="false"/>
                <w:i/>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25" w:name="tnya-ex31_2.htm"/>
      <w:bookmarkStart w:id="26" w:name="kstnyaex31_2"/>
      <w:bookmarkEnd w:id="25"/>
      <w:bookmarkEnd w:id="26"/>
      <w:r>
        <w:rPr>
          <w:rFonts w:ascii="Times New Roman;serif" w:hAnsi="Times New Roman;serif"/>
          <w:b/>
          <w:sz w:val="20"/>
        </w:rPr>
        <w:t>Exhibit 31.2</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 Leone D. Patterson, M.B.A., certify that: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I have reviewed this Quarterly Report on Form 10-Q of Tenaya Therapeutics, Inc.;</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Date: May 10, 2023</w:t>
      </w:r>
    </w:p>
    <w:tbl>
      <w:tblPr>
        <w:tblW w:w="4663" w:type="dxa"/>
        <w:jc w:val="left"/>
        <w:tblInd w:w="0" w:type="dxa"/>
        <w:tblCellMar>
          <w:top w:w="28" w:type="dxa"/>
          <w:left w:w="28" w:type="dxa"/>
          <w:bottom w:w="28" w:type="dxa"/>
          <w:right w:w="28" w:type="dxa"/>
        </w:tblCellMar>
      </w:tblPr>
      <w:tblGrid>
        <w:gridCol w:w="161"/>
        <w:gridCol w:w="631"/>
        <w:gridCol w:w="3871"/>
      </w:tblGrid>
      <w:tr>
        <w:trPr/>
        <w:tc>
          <w:tcPr>
            <w:tcW w:w="16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02"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TENAYA THERAPEUTICS, INC.</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0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87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Leone D. Patterson, M.B.A.</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Name:</w:t>
            </w:r>
          </w:p>
        </w:tc>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Leone D. Patterson, M.B.A.</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Chief Financial and Business Officer</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tnya-ex32_1.htm"/>
      <w:bookmarkStart w:id="28" w:name="kstnyaex32_1"/>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0" w:after="0"/>
        <w:jc w:val="righ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CERTIFICATIONS OF PRINCIPAL EXECUTIVE OFFICER AND PRINCIPAL FINANCIAL OFFICER</w:t>
      </w:r>
    </w:p>
    <w:p>
      <w:pPr>
        <w:pStyle w:val="TextBody"/>
        <w:spacing w:before="0" w:after="0"/>
        <w:jc w:val="center"/>
        <w:rPr>
          <w:rFonts w:ascii="Times New Roman;serif" w:hAnsi="Times New Roman;serif"/>
          <w:b/>
          <w:sz w:val="18"/>
        </w:rPr>
      </w:pPr>
      <w:r>
        <w:rPr>
          <w:rFonts w:ascii="Times New Roman;serif" w:hAnsi="Times New Roman;serif"/>
          <w:b/>
          <w:sz w:val="18"/>
        </w:rPr>
        <w:t>PURSUANT TO</w:t>
      </w:r>
    </w:p>
    <w:p>
      <w:pPr>
        <w:pStyle w:val="TextBody"/>
        <w:spacing w:before="0" w:after="0"/>
        <w:jc w:val="center"/>
        <w:rPr>
          <w:rFonts w:ascii="Times New Roman;serif" w:hAnsi="Times New Roman;serif"/>
          <w:b/>
          <w:sz w:val="18"/>
        </w:rPr>
      </w:pPr>
      <w:r>
        <w:rPr>
          <w:rFonts w:ascii="Times New Roman;serif" w:hAnsi="Times New Roman;serif"/>
          <w:b/>
          <w:sz w:val="18"/>
        </w:rPr>
        <w:t>18 U.S.C. SECTION 1350,</w:t>
      </w:r>
    </w:p>
    <w:p>
      <w:pPr>
        <w:pStyle w:val="TextBody"/>
        <w:spacing w:before="0" w:after="0"/>
        <w:jc w:val="center"/>
        <w:rPr>
          <w:rFonts w:ascii="Times New Roman;serif" w:hAnsi="Times New Roman;serif"/>
          <w:b/>
          <w:sz w:val="18"/>
        </w:rPr>
      </w:pPr>
      <w:r>
        <w:rPr>
          <w:rFonts w:ascii="Times New Roman;serif" w:hAnsi="Times New Roman;serif"/>
          <w:b/>
          <w:sz w:val="18"/>
        </w:rPr>
        <w:t>AS ADOPTED PURSUANT TO</w:t>
      </w:r>
    </w:p>
    <w:p>
      <w:pPr>
        <w:pStyle w:val="TextBody"/>
        <w:spacing w:before="0" w:after="0"/>
        <w:jc w:val="center"/>
        <w:rPr>
          <w:rFonts w:ascii="Times New Roman;serif" w:hAnsi="Times New Roman;serif"/>
          <w:b/>
          <w:sz w:val="18"/>
        </w:rPr>
      </w:pPr>
      <w:r>
        <w:rPr>
          <w:rFonts w:ascii="Times New Roman;serif" w:hAnsi="Times New Roman;serif"/>
          <w:b/>
          <w:sz w:val="18"/>
        </w:rPr>
        <w:t>SECTION 906 OF THE SARBANES-OXLEY ACT OF 2002</w:t>
      </w:r>
    </w:p>
    <w:p>
      <w:pPr>
        <w:pStyle w:val="TextBody"/>
        <w:spacing w:before="0" w:after="0"/>
        <w:jc w:val="center"/>
        <w:rPr/>
      </w:pPr>
      <w:r>
        <w:rPr/>
        <w:t> </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I, Faraz Ali, M.B.A., certify, pursuant to 18 U.S.C. Section 1350 as adopted pursuant to Section 906 of the Sarbanes-Oxley Act of 2002, that, (1) the Quarterly Report on Form 10-Q of Tenaya Therapeutics, Inc. (the “Company”) for the quarterly period ended March 31,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spacing w:before="0" w:after="0"/>
        <w:jc w:val="left"/>
        <w:rPr/>
      </w:pPr>
      <w:r>
        <w:rPr/>
        <w:t> </w:t>
      </w:r>
    </w:p>
    <w:tbl>
      <w:tblPr>
        <w:tblW w:w="3428" w:type="dxa"/>
        <w:jc w:val="left"/>
        <w:tblInd w:w="0" w:type="dxa"/>
        <w:tblCellMar>
          <w:top w:w="28" w:type="dxa"/>
          <w:left w:w="28" w:type="dxa"/>
          <w:bottom w:w="28" w:type="dxa"/>
          <w:right w:w="28" w:type="dxa"/>
        </w:tblCellMar>
      </w:tblPr>
      <w:tblGrid>
        <w:gridCol w:w="161"/>
        <w:gridCol w:w="146"/>
        <w:gridCol w:w="3121"/>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Faraz Ali, M.B.A.</w:t>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Faraz Ali, M.B.A.</w:t>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Chief Executive Officer and Director</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r>
    </w:tbl>
    <w:p>
      <w:pPr>
        <w:pStyle w:val="TextBody"/>
        <w:spacing w:before="0" w:after="0"/>
        <w:jc w:val="left"/>
        <w:rPr/>
      </w:pPr>
      <w:r>
        <w:rPr/>
        <w:t> </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I, Leone D. Patterson, M.B.A., certify, pursuant to 18 U.S.C. Section 1350 as adopted pursuant to Section 906 of the Sarbanes-Oxley Act of 2002, that, (1) the Quarterly Report on Form 10-Q of Tenaya Therapeutics, Inc. (the “Company”) for the quarterly period ended March 31,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spacing w:before="0" w:after="0"/>
        <w:jc w:val="both"/>
        <w:rPr/>
      </w:pPr>
      <w:r>
        <w:rPr/>
        <w:t> </w:t>
      </w:r>
    </w:p>
    <w:tbl>
      <w:tblPr>
        <w:tblW w:w="4178" w:type="dxa"/>
        <w:jc w:val="left"/>
        <w:tblInd w:w="0" w:type="dxa"/>
        <w:tblCellMar>
          <w:top w:w="28" w:type="dxa"/>
          <w:left w:w="28" w:type="dxa"/>
          <w:bottom w:w="28" w:type="dxa"/>
          <w:right w:w="28" w:type="dxa"/>
        </w:tblCellMar>
      </w:tblPr>
      <w:tblGrid>
        <w:gridCol w:w="161"/>
        <w:gridCol w:w="146"/>
        <w:gridCol w:w="3871"/>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Leone D. Patterson, M.B.A.</w:t>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Leone D. Patterson, M.B.A.</w:t>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Chief Financial and Business Officer</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r>
    </w:tbl>
    <w:p>
      <w:pPr>
        <w:pStyle w:val="TextBody"/>
        <w:spacing w:before="0" w:after="0"/>
        <w:jc w:val="both"/>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119312521235079/d193163dex31.htm" TargetMode="External"/><Relationship Id="rId3" Type="http://schemas.openxmlformats.org/officeDocument/2006/relationships/hyperlink" Target="https://www.sec.gov/Archives/edgar/data/1858848/000095017023008934/tnya-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57359</Words>
  <CharactersWithSpaces>379839</CharactersWithSpaces>
  <Paragraphs>4460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