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Higa Tomohiro</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TENAYA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171 OYSTER POINT BLVD.,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Tenaya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TNYA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05"/>
        <w:spacing w:after="0"/>
        <w:rPr>
          <w:sz w:val="20"/>
          <w:szCs w:val="20"/>
          <w:color w:val="auto"/>
        </w:rPr>
      </w:pPr>
      <w:r>
        <w:rPr>
          <w:rFonts w:ascii="Times New Roman" w:cs="Times New Roman" w:eastAsia="Times New Roman" w:hAnsi="Times New Roman"/>
          <w:sz w:val="17"/>
          <w:szCs w:val="17"/>
          <w:color w:val="0000FF"/>
        </w:rPr>
        <w:t>SVP, Finance</w:t>
      </w:r>
    </w:p>
    <w:p>
      <w:pPr>
        <w:spacing w:after="0" w:line="562" w:lineRule="exact"/>
        <w:rPr>
          <w:sz w:val="24"/>
          <w:szCs w:val="24"/>
          <w:color w:val="auto"/>
        </w:rPr>
      </w:pPr>
    </w:p>
    <w:p>
      <w:pPr>
        <w:sectPr>
          <w:pgSz w:w="11900" w:h="16838" w:orient="portrait"/>
          <w:cols w:equalWidth="0" w:num="3">
            <w:col w:w="3220" w:space="70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7"/>
            <w:vMerge w:val="continue"/>
          </w:tcPr>
          <w:p>
            <w:pPr>
              <w:spacing w:after="0"/>
              <w:rPr>
                <w:sz w:val="9"/>
                <w:szCs w:val="9"/>
                <w:color w:val="auto"/>
              </w:rPr>
            </w:pPr>
          </w:p>
        </w:tc>
        <w:tc>
          <w:tcPr>
            <w:tcW w:w="420" w:type="dxa"/>
            <w:vAlign w:val="bottom"/>
          </w:tcPr>
          <w:p>
            <w:pPr>
              <w:spacing w:after="0"/>
              <w:rPr>
                <w:sz w:val="9"/>
                <w:szCs w:val="9"/>
                <w:color w:val="auto"/>
              </w:rPr>
            </w:pPr>
          </w:p>
        </w:tc>
        <w:tc>
          <w:tcPr>
            <w:tcW w:w="33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jc w:val="center"/>
              <w:ind w:righ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611</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0.6434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122,610</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(4)</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836</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0.6434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121,774</w:t>
            </w:r>
            <w:r>
              <w:rPr>
                <w:rFonts w:ascii="Times New Roman" w:cs="Times New Roman" w:eastAsia="Times New Roman" w:hAnsi="Times New Roman"/>
                <w:sz w:val="22"/>
                <w:szCs w:val="22"/>
                <w:color w:val="008000"/>
                <w:vertAlign w:val="superscript"/>
              </w:rPr>
              <w:t>(5)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02/17/2026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(6)</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2,022</w:t>
            </w:r>
          </w:p>
        </w:tc>
        <w:tc>
          <w:tcPr>
            <w:tcW w:w="4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0.6431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119,752</w:t>
            </w:r>
            <w:r>
              <w:rPr>
                <w:rFonts w:ascii="Times New Roman" w:cs="Times New Roman" w:eastAsia="Times New Roman" w:hAnsi="Times New Roman"/>
                <w:sz w:val="22"/>
                <w:szCs w:val="22"/>
                <w:color w:val="008000"/>
                <w:vertAlign w:val="superscript"/>
              </w:rPr>
              <w:t>(7)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15, 2023.</w:t>
      </w:r>
    </w:p>
    <w:p>
      <w:pPr>
        <w:spacing w:after="0" w:line="50" w:lineRule="exact"/>
        <w:rPr>
          <w:rFonts w:ascii="Times New Roman" w:cs="Times New Roman" w:eastAsia="Times New Roman" w:hAnsi="Times New Roman"/>
          <w:sz w:val="13"/>
          <w:szCs w:val="13"/>
          <w:color w:val="008000"/>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sales price. The shares were sold in multiple transactions at prices ranging from $0.6075 to $0.671. Reporting Person undertakes to provide Tenaya Therapeutics, Inc., any security holder of Tenaya Therapeutics,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78,314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February 23, 2024.</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76,376 shares of Tenaya Therapeutics, Inc. common stock that will be issued to the Reporting Person upon vesting of restricted stock units.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sold to cover tax withholding obligations in connection with the vesting of restricted stock units awarded on January 24, 2025.</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71,688 shares of Tenaya Therapeutics, Inc. common stock that will be issued to the Reporting Person upon vesting of restricted stock units.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Jennifer Drimmer</w:t>
            </w:r>
          </w:p>
        </w:tc>
        <w:tc>
          <w:tcPr>
            <w:tcW w:w="620" w:type="dxa"/>
            <w:vAlign w:val="bottom"/>
            <w:gridSpan w:val="2"/>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02/17/2026</w:t>
            </w:r>
          </w:p>
        </w:tc>
        <w:tc>
          <w:tcPr>
            <w:tcW w:w="0" w:type="dxa"/>
            <w:vAlign w:val="bottom"/>
          </w:tcPr>
          <w:p>
            <w:pPr>
              <w:spacing w:after="0"/>
              <w:rPr>
                <w:sz w:val="1"/>
                <w:szCs w:val="1"/>
                <w:color w:val="auto"/>
              </w:rPr>
            </w:pPr>
          </w:p>
        </w:tc>
      </w:tr>
      <w:tr>
        <w:trPr>
          <w:trHeight w:val="87"/>
        </w:trPr>
        <w:tc>
          <w:tcPr>
            <w:tcW w:w="194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Rokovich, Attorney-in-Fact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40" w:type="dxa"/>
            <w:vAlign w:val="bottom"/>
            <w:tcBorders>
              <w:bottom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4280" TargetMode="External"/><Relationship Id="rId14" Type="http://schemas.openxmlformats.org/officeDocument/2006/relationships/hyperlink" Target="http://www.sec.gov/cgi-bin/browse-edgar?action=getcompany&amp;CIK=000185884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2026-02-17T18:17:29Z</dcterms:created>
  <dcterms:modified xsi:type="dcterms:W3CDTF">2026-02-17T18:17:29Z</dcterms:modified>
</cp:coreProperties>
</file>