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171 Oyster Point Boulevard, 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Tenaya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9,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333-257820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respond to this letter by amending your registration statement and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If you do not believe our comment applies to your facts and circumstances or do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2 and your revised disclosure in the pipeline table. We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reissue in part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comment. The table continues to include separate line items</w:t>
      </w:r>
    </w:p>
    <w:p>
      <w:pPr>
        <w:ind w:left="5900"/>
        <w:spacing w:after="0" w:line="237" w:lineRule="auto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Next Generation</w:t>
      </w:r>
    </w:p>
    <w:p>
      <w:pPr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Capsids" and "New Generation Target Identification Methods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all in the early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stages of discovery. We further note that these programs are vague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appear to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in detail in the prospectus, including the summary, business,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use of proceeds or MD&amp;A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sections. Please limit your table to product candidates that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sufficiently material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business to warrant inclusion in your table. If these general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programs are material,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identify the indications and expand your disclosure elsewhere to identify more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these programs or candidates.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Tracey Houser at 202-551-3736 or Brian Cascio at 202-551-3676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Tom Kluck at 202-551-3233 or Suzanne Hayes at 202-551-3675 with any other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LastNameFaraz Ali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NameTenaya Therapeutics, Inc.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Knapp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2021-08-26T23:05:33Z</dcterms:created>
  <dcterms:modified xsi:type="dcterms:W3CDTF">2021-08-26T23:05:33Z</dcterms:modified>
</cp:coreProperties>
</file>