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1" w:lineRule="exact"/>
        <w:rPr>
          <w:sz w:val="24"/>
          <w:szCs w:val="24"/>
          <w:color w:val="auto"/>
        </w:rPr>
      </w:pPr>
    </w:p>
    <w:p>
      <w:pPr>
        <w:jc w:val="center"/>
        <w:ind w:left="3460" w:right="680" w:hanging="3452"/>
        <w:spacing w:after="0" w:line="303" w:lineRule="auto"/>
        <w:tabs>
          <w:tab w:leader="none" w:pos="468"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 For the quarterly period ended September 30,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81" w:lineRule="exact"/>
        <w:rPr>
          <w:sz w:val="24"/>
          <w:szCs w:val="24"/>
          <w:color w:val="auto"/>
        </w:rPr>
      </w:pPr>
    </w:p>
    <w:p>
      <w:pPr>
        <w:jc w:val="center"/>
        <w:ind w:left="3340" w:right="700" w:hanging="3332"/>
        <w:spacing w:after="0" w:line="316" w:lineRule="auto"/>
        <w:tabs>
          <w:tab w:leader="none" w:pos="461"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 For the transition period from ________ to _________</w:t>
      </w:r>
    </w:p>
    <w:p>
      <w:pPr>
        <w:spacing w:after="0" w:line="1" w:lineRule="exact"/>
        <w:rPr>
          <w:rFonts w:ascii="MS PGothic" w:cs="MS PGothic" w:eastAsia="MS PGothic" w:hAnsi="MS PGothic"/>
          <w:sz w:val="20"/>
          <w:szCs w:val="20"/>
          <w:color w:val="auto"/>
          <w:highlight w:val="black"/>
        </w:rPr>
      </w:pPr>
    </w:p>
    <w:p>
      <w:pPr>
        <w:ind w:left="406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Commission File Number: 001-40656</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TENAYA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-266065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p>
      <w:pPr>
        <w:spacing w:after="0" w:line="4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3"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20"/>
          <w:szCs w:val="20"/>
          <w:b w:val="1"/>
          <w:bCs w:val="1"/>
          <w:color w:val="auto"/>
        </w:rPr>
        <w:t>Delaware</w:t>
      </w:r>
    </w:p>
    <w:p>
      <w:pPr>
        <w:spacing w:after="0" w:line="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9"/>
          <w:szCs w:val="19"/>
          <w:b w:val="1"/>
          <w:bCs w:val="1"/>
          <w:color w:val="auto"/>
        </w:rPr>
        <w:t>171 Oyster Point Boulevard, Suite 500</w:t>
      </w:r>
    </w:p>
    <w:p>
      <w:pPr>
        <w:spacing w:after="0" w:line="20"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20"/>
          <w:szCs w:val="20"/>
          <w:b w:val="1"/>
          <w:bCs w:val="1"/>
          <w:color w:val="auto"/>
        </w:rPr>
        <w:t>South San Francisco, CA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81-3789973</w:t>
      </w:r>
    </w:p>
    <w:p>
      <w:pPr>
        <w:spacing w:after="0" w:line="3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31"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94080</w:t>
      </w:r>
    </w:p>
    <w:p>
      <w:pPr>
        <w:spacing w:after="0" w:line="21" w:lineRule="exact"/>
        <w:rPr>
          <w:sz w:val="24"/>
          <w:szCs w:val="24"/>
          <w:color w:val="auto"/>
        </w:rPr>
      </w:pPr>
    </w:p>
    <w:p>
      <w:pPr>
        <w:sectPr>
          <w:pgSz w:w="11900" w:h="16838" w:orient="portrait"/>
          <w:cols w:equalWidth="0" w:num="2">
            <w:col w:w="7620" w:space="320"/>
            <w:col w:w="3300"/>
          </w:cols>
          <w:pgMar w:left="320" w:top="1186"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(650) 825-6990</w:t>
      </w:r>
    </w:p>
    <w:p>
      <w:pPr>
        <w:spacing w:after="0" w:line="2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84"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TNYA</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bl>
    <w:p>
      <w:pPr>
        <w:spacing w:after="0" w:line="59"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6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4" w:lineRule="exact"/>
        <w:rPr>
          <w:sz w:val="24"/>
          <w:szCs w:val="24"/>
          <w:color w:val="auto"/>
        </w:rPr>
      </w:pPr>
    </w:p>
    <w:p>
      <w:pPr>
        <w:ind w:right="6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ind w:left="520" w:right="2100"/>
        <w:spacing w:after="0" w:line="25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4, 2025, the registrant had 166,505,885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643255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type w:val="continuous"/>
        </w:sectPr>
      </w:pPr>
    </w:p>
    <w:bookmarkStart w:id="1" w:name="page2"/>
    <w:bookmarkEnd w:id="1"/>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20" w:type="dxa"/>
            <w:vAlign w:val="bottom"/>
            <w:gridSpan w:val="11"/>
          </w:tcPr>
          <w:p>
            <w:pPr>
              <w:ind w:left="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vMerge w:val="restart"/>
          </w:tcPr>
          <w:p>
            <w:pPr>
              <w:spacing w:after="0"/>
              <w:rPr>
                <w:sz w:val="24"/>
                <w:szCs w:val="24"/>
                <w:color w:val="auto"/>
              </w:rPr>
            </w:pPr>
          </w:p>
        </w:tc>
        <w:tc>
          <w:tcPr>
            <w:tcW w:w="320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rPr>
              <w:t>PART I—FINANCIAL INFORMATION</w:t>
            </w:r>
          </w:p>
        </w:tc>
        <w:tc>
          <w:tcPr>
            <w:tcW w:w="3180" w:type="dxa"/>
            <w:vAlign w:val="bottom"/>
            <w:gridSpan w:val="5"/>
            <w:vMerge w:val="restart"/>
          </w:tcPr>
          <w:p>
            <w:pPr>
              <w:spacing w:after="0"/>
              <w:rPr>
                <w:sz w:val="24"/>
                <w:szCs w:val="24"/>
                <w:color w:val="auto"/>
              </w:rPr>
            </w:pPr>
          </w:p>
        </w:tc>
        <w:tc>
          <w:tcPr>
            <w:tcW w:w="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200" w:type="dxa"/>
            <w:vAlign w:val="bottom"/>
            <w:tcBorders>
              <w:bottom w:val="single" w:sz="8" w:color="0000FF"/>
            </w:tcBorders>
            <w:gridSpan w:val="7"/>
            <w:vMerge w:val="continue"/>
          </w:tcPr>
          <w:p>
            <w:pPr>
              <w:spacing w:after="0"/>
              <w:rPr>
                <w:sz w:val="14"/>
                <w:szCs w:val="14"/>
                <w:color w:val="auto"/>
              </w:rPr>
            </w:pPr>
          </w:p>
        </w:tc>
        <w:tc>
          <w:tcPr>
            <w:tcW w:w="3180" w:type="dxa"/>
            <w:vAlign w:val="bottom"/>
            <w:gridSpan w:val="5"/>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20" w:type="dxa"/>
            <w:vAlign w:val="bottom"/>
            <w:tcBorders>
              <w:bottom w:val="single" w:sz="8" w:color="0000EE"/>
            </w:tcBorders>
          </w:tcPr>
          <w:p>
            <w:pPr>
              <w:spacing w:after="0"/>
              <w:rPr>
                <w:sz w:val="24"/>
                <w:szCs w:val="24"/>
                <w:color w:val="auto"/>
              </w:rPr>
            </w:pPr>
          </w:p>
        </w:tc>
        <w:tc>
          <w:tcPr>
            <w:tcW w:w="7100" w:type="dxa"/>
            <w:vAlign w:val="bottom"/>
            <w:gridSpan w:val="13"/>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Condensed Balance Sheets as of September 30, 2025 and December 31, 2024</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Statements of Operations and Comprehensive Loss for the three and nine months ended September 30, 2025 and</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60" w:type="dxa"/>
            <w:vAlign w:val="bottom"/>
            <w:tcBorders>
              <w:top w:val="single" w:sz="8" w:color="0000FF"/>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w w:val="94"/>
              </w:rPr>
              <w:t>2024</w:t>
            </w:r>
          </w:p>
        </w:tc>
        <w:tc>
          <w:tcPr>
            <w:tcW w:w="100" w:type="dxa"/>
            <w:vAlign w:val="bottom"/>
            <w:tcBorders>
              <w:top w:val="single" w:sz="8" w:color="0000FF"/>
              <w:bottom w:val="single" w:sz="8" w:color="0000EE"/>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6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134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Statements of Stockholders’ Equity for the three and nine months ended September 30, 2025 and 2024</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Statements of Cash Flows for the nine months ended September 30, 2025 and 2024</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Financial Statements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4"/>
          </w:tcPr>
          <w:p>
            <w:pPr>
              <w:spacing w:after="0"/>
              <w:rPr>
                <w:sz w:val="17"/>
                <w:szCs w:val="17"/>
                <w:color w:val="auto"/>
              </w:rPr>
            </w:pPr>
          </w:p>
        </w:tc>
        <w:tc>
          <w:tcPr>
            <w:tcW w:w="3080" w:type="dxa"/>
            <w:vAlign w:val="bottom"/>
            <w:gridSpan w:val="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380" w:type="dxa"/>
            <w:vAlign w:val="bottom"/>
            <w:gridSpan w:val="12"/>
          </w:tcPr>
          <w:p>
            <w:pPr>
              <w:jc w:val="center"/>
              <w:ind w:right="3180"/>
              <w:spacing w:after="0"/>
              <w:rPr>
                <w:sz w:val="20"/>
                <w:szCs w:val="20"/>
                <w:color w:val="auto"/>
              </w:rPr>
            </w:pPr>
            <w:r>
              <w:rPr>
                <w:rFonts w:ascii="Times New Roman" w:cs="Times New Roman" w:eastAsia="Times New Roman" w:hAnsi="Times New Roman"/>
                <w:sz w:val="18"/>
                <w:szCs w:val="18"/>
                <w:b w:val="1"/>
                <w:bCs w:val="1"/>
                <w:color w:val="0000FF"/>
                <w:w w:val="99"/>
              </w:rPr>
              <w:t>PART II—OTHER INFORMATION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33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2880" w:type="dxa"/>
            <w:vAlign w:val="bottom"/>
            <w:tcBorders>
              <w:top w:val="single" w:sz="8" w:color="0000FF"/>
            </w:tcBorders>
            <w:gridSpan w:val="5"/>
          </w:tcPr>
          <w:p>
            <w:pPr>
              <w:spacing w:after="0"/>
              <w:rPr>
                <w:sz w:val="17"/>
                <w:szCs w:val="17"/>
                <w:color w:val="auto"/>
              </w:rPr>
            </w:pPr>
          </w:p>
        </w:tc>
        <w:tc>
          <w:tcPr>
            <w:tcW w:w="3340" w:type="dxa"/>
            <w:vAlign w:val="bottom"/>
            <w:gridSpan w:val="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bottom w:val="single" w:sz="8" w:color="0000EE"/>
            </w:tcBorders>
          </w:tcPr>
          <w:p>
            <w:pPr>
              <w:spacing w:after="0"/>
              <w:rPr>
                <w:sz w:val="17"/>
                <w:szCs w:val="17"/>
                <w:color w:val="auto"/>
              </w:rPr>
            </w:pPr>
          </w:p>
        </w:tc>
        <w:tc>
          <w:tcPr>
            <w:tcW w:w="400" w:type="dxa"/>
            <w:vAlign w:val="bottom"/>
            <w:tcBorders>
              <w:top w:val="single" w:sz="8" w:color="0000FF"/>
            </w:tcBorders>
            <w:gridSpan w:val="2"/>
          </w:tcPr>
          <w:p>
            <w:pPr>
              <w:spacing w:after="0"/>
              <w:rPr>
                <w:sz w:val="17"/>
                <w:szCs w:val="17"/>
                <w:color w:val="auto"/>
              </w:rPr>
            </w:pPr>
          </w:p>
        </w:tc>
        <w:tc>
          <w:tcPr>
            <w:tcW w:w="8220" w:type="dxa"/>
            <w:vAlign w:val="bottom"/>
            <w:gridSpan w:val="1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6"/>
          </w:tcPr>
          <w:p>
            <w:pPr>
              <w:spacing w:after="0"/>
              <w:rPr>
                <w:sz w:val="17"/>
                <w:szCs w:val="17"/>
                <w:color w:val="auto"/>
              </w:rPr>
            </w:pPr>
          </w:p>
        </w:tc>
        <w:tc>
          <w:tcPr>
            <w:tcW w:w="5200" w:type="dxa"/>
            <w:vAlign w:val="bottom"/>
            <w:gridSpan w:val="9"/>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780" w:type="dxa"/>
            <w:vAlign w:val="bottom"/>
            <w:gridSpan w:val="1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5"/>
          </w:tcPr>
          <w:p>
            <w:pPr>
              <w:spacing w:after="0"/>
              <w:rPr>
                <w:sz w:val="17"/>
                <w:szCs w:val="17"/>
                <w:color w:val="auto"/>
              </w:rPr>
            </w:pPr>
          </w:p>
        </w:tc>
        <w:tc>
          <w:tcPr>
            <w:tcW w:w="8240" w:type="dxa"/>
            <w:vAlign w:val="bottom"/>
            <w:gridSpan w:val="1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105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863"/>
        </w:trPr>
        <w:tc>
          <w:tcPr>
            <w:tcW w:w="10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SPECIAL NOTE REGARDING FORWARD LOOKING STATEMENTS</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231F20"/>
        </w:rPr>
        <w:t>This Quarterly Report on Form 10-Q (Quarterly Report), contains forward-looking statements within the meaning of Section 27A of the Securities Act of 1933, as amended (Securities Act), and Section 21E of the Securities Exchange Act of 1934, as amended (Exchange Act). All statements other than statements of historical facts contained in this Quarterly Report,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investors can identify forward-looking statements by terms such as “may,” “will,” “should,” “would,” “expect,” “plan,” “anticipate,” “could,” “intend,” “target,” “project,” “contemplate,” “believe,” “estimate,” “predict,” “potential” or “continue” or the negative of these terms or other similar expressions. These forward-looking statements include, but are not limited to, statements about:</w:t>
      </w:r>
    </w:p>
    <w:p>
      <w:pPr>
        <w:spacing w:after="0" w:line="84"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vision to change the treatment paradigm for heart disease;</w:t>
      </w:r>
    </w:p>
    <w:p>
      <w:pPr>
        <w:spacing w:after="0" w:line="117" w:lineRule="exact"/>
        <w:rPr>
          <w:rFonts w:ascii="Times New Roman" w:cs="Times New Roman" w:eastAsia="Times New Roman" w:hAnsi="Times New Roman"/>
          <w:sz w:val="18"/>
          <w:szCs w:val="18"/>
          <w:color w:val="231F20"/>
        </w:rPr>
      </w:pPr>
    </w:p>
    <w:p>
      <w:pPr>
        <w:ind w:left="900" w:right="820" w:hanging="383"/>
        <w:spacing w:after="0" w:line="282"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of our ongoing preclinical studies and ongoing or planned clinical trials to demonstrate safety and efficacy of our product candidates, and other positive results;</w:t>
      </w:r>
    </w:p>
    <w:p>
      <w:pPr>
        <w:spacing w:after="0" w:line="53" w:lineRule="exact"/>
        <w:rPr>
          <w:rFonts w:ascii="Times New Roman" w:cs="Times New Roman" w:eastAsia="Times New Roman" w:hAnsi="Times New Roman"/>
          <w:sz w:val="18"/>
          <w:szCs w:val="18"/>
          <w:color w:val="231F20"/>
        </w:rPr>
      </w:pPr>
    </w:p>
    <w:p>
      <w:pPr>
        <w:ind w:left="900" w:right="60" w:hanging="383"/>
        <w:spacing w:after="0" w:line="282"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dosing, patient enrollment and populations, progress, and results of preclinical studies and ongoing or planned clinical trials for our current product candidates and other product candidates we may develop;</w:t>
      </w:r>
    </w:p>
    <w:p>
      <w:pPr>
        <w:spacing w:after="0" w:line="53" w:lineRule="exact"/>
        <w:rPr>
          <w:rFonts w:ascii="Times New Roman" w:cs="Times New Roman" w:eastAsia="Times New Roman" w:hAnsi="Times New Roman"/>
          <w:sz w:val="18"/>
          <w:szCs w:val="18"/>
          <w:color w:val="231F20"/>
        </w:rPr>
      </w:pPr>
    </w:p>
    <w:p>
      <w:pPr>
        <w:ind w:left="900" w:hanging="383"/>
        <w:spacing w:after="0" w:line="266"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scope and likelihood of regulatory filings and approvals, including timing of investigational new drugs (INDs), clinical trial applications (CTAs), U.S. Food and Drug Administration (FDA) approvals, and final regulatory approval of our current product candidates and any other future product candidates;</w:t>
      </w:r>
    </w:p>
    <w:p>
      <w:pPr>
        <w:spacing w:after="0" w:line="6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develop and advance our current product candidates and programs into, and successfully complete, clinical trials;</w:t>
      </w:r>
    </w:p>
    <w:p>
      <w:pPr>
        <w:spacing w:after="0" w:line="117" w:lineRule="exact"/>
        <w:rPr>
          <w:rFonts w:ascii="Times New Roman" w:cs="Times New Roman" w:eastAsia="Times New Roman" w:hAnsi="Times New Roman"/>
          <w:sz w:val="18"/>
          <w:szCs w:val="18"/>
          <w:color w:val="231F20"/>
        </w:rPr>
      </w:pPr>
    </w:p>
    <w:p>
      <w:pPr>
        <w:ind w:left="900" w:right="20" w:hanging="383"/>
        <w:spacing w:after="0" w:line="282"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impact of regulations and regulatory decisions by the FDA and other regulatory agencies on our business, including the development of our product candidates;</w:t>
      </w:r>
    </w:p>
    <w:p>
      <w:pPr>
        <w:spacing w:after="0" w:line="53" w:lineRule="exact"/>
        <w:rPr>
          <w:rFonts w:ascii="Times New Roman" w:cs="Times New Roman" w:eastAsia="Times New Roman" w:hAnsi="Times New Roman"/>
          <w:sz w:val="18"/>
          <w:szCs w:val="18"/>
          <w:color w:val="231F20"/>
        </w:rPr>
      </w:pPr>
    </w:p>
    <w:p>
      <w:pPr>
        <w:ind w:left="900" w:right="220" w:hanging="383"/>
        <w:spacing w:after="0" w:line="282"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size of the market opportunity for our product candidates, including our estimates of the number of patients who suffer from the diseases we are targeting;</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manufacturing, commercialization, and marketing capabilities and strategy;</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competitive position and the success of competing therapies that are or may become available;</w:t>
      </w:r>
    </w:p>
    <w:p>
      <w:pPr>
        <w:spacing w:after="0" w:line="117" w:lineRule="exact"/>
        <w:rPr>
          <w:rFonts w:ascii="Times New Roman" w:cs="Times New Roman" w:eastAsia="Times New Roman" w:hAnsi="Times New Roman"/>
          <w:sz w:val="18"/>
          <w:szCs w:val="18"/>
          <w:color w:val="231F20"/>
        </w:rPr>
      </w:pPr>
    </w:p>
    <w:p>
      <w:pPr>
        <w:ind w:left="900" w:right="600" w:hanging="383"/>
        <w:spacing w:after="0" w:line="282"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plans relating to the further development of our product candidates, including additional indications and targets we may pursue and whether we out-license or partner with third parties to develop our product candidates;</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impact of existing laws and regulations and regulatory developments in the United States (U.S.), Europe and other jurisdictions;</w:t>
      </w:r>
    </w:p>
    <w:p>
      <w:pPr>
        <w:spacing w:after="0" w:line="117" w:lineRule="exact"/>
        <w:rPr>
          <w:rFonts w:ascii="Times New Roman" w:cs="Times New Roman" w:eastAsia="Times New Roman" w:hAnsi="Times New Roman"/>
          <w:sz w:val="18"/>
          <w:szCs w:val="18"/>
          <w:color w:val="231F20"/>
        </w:rPr>
      </w:pPr>
    </w:p>
    <w:p>
      <w:pPr>
        <w:ind w:left="900" w:right="80" w:hanging="383"/>
        <w:spacing w:after="0" w:line="261"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intellectual property position, including the scope and length of protection we are able to establish and maintain for intellectual property rights covering our current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71" w:lineRule="exact"/>
        <w:rPr>
          <w:rFonts w:ascii="Times New Roman" w:cs="Times New Roman" w:eastAsia="Times New Roman" w:hAnsi="Times New Roman"/>
          <w:sz w:val="18"/>
          <w:szCs w:val="18"/>
          <w:color w:val="231F20"/>
        </w:rPr>
      </w:pPr>
    </w:p>
    <w:p>
      <w:pPr>
        <w:ind w:left="900" w:right="640" w:hanging="383"/>
        <w:spacing w:after="0" w:line="282"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continued reliance on third parties to conduct additional preclinical studies and clinical trials of our product candidates, and for the development and manufacture of our product candidates for preclinical studies and clinical trials;</w:t>
      </w:r>
    </w:p>
    <w:p>
      <w:pPr>
        <w:spacing w:after="0" w:line="53" w:lineRule="exact"/>
        <w:rPr>
          <w:rFonts w:ascii="Times New Roman" w:cs="Times New Roman" w:eastAsia="Times New Roman" w:hAnsi="Times New Roman"/>
          <w:sz w:val="18"/>
          <w:szCs w:val="18"/>
          <w:color w:val="231F20"/>
        </w:rPr>
      </w:pPr>
    </w:p>
    <w:p>
      <w:pPr>
        <w:ind w:left="900" w:right="60" w:hanging="383"/>
        <w:spacing w:after="0" w:line="282"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obtain, and negotiate favorable terms of, any collaboration, partnership, licensing or other arrangements that may be necessary or desirable to develop, manufacture or commercialize our product candidates;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 w:name="page4"/>
    <w:bookmarkEnd w:id="3"/>
    <w:p>
      <w:pPr>
        <w:spacing w:after="0" w:line="86" w:lineRule="exact"/>
        <w:rPr>
          <w:sz w:val="20"/>
          <w:szCs w:val="20"/>
          <w:color w:val="auto"/>
        </w:rPr>
      </w:pPr>
    </w:p>
    <w:p>
      <w:pPr>
        <w:ind w:left="900" w:right="360" w:hanging="383"/>
        <w:spacing w:after="0" w:line="282" w:lineRule="auto"/>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pricing and reimbursement of our current product candidates and other product candidates we may develop, if approved, including any increase in demand as a result of the availability of reimbursement from the government and third-party payors;</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rate and degree of market acceptance and clinical utility of our current product candidates and other product candidates we may develop;</w:t>
      </w:r>
    </w:p>
    <w:p>
      <w:pPr>
        <w:spacing w:after="0" w:line="117" w:lineRule="exact"/>
        <w:rPr>
          <w:rFonts w:ascii="Times New Roman" w:cs="Times New Roman" w:eastAsia="Times New Roman" w:hAnsi="Times New Roman"/>
          <w:sz w:val="18"/>
          <w:szCs w:val="18"/>
          <w:color w:val="231F20"/>
        </w:rPr>
      </w:pPr>
    </w:p>
    <w:p>
      <w:pPr>
        <w:ind w:left="900" w:right="500" w:hanging="383"/>
        <w:spacing w:after="0" w:line="282" w:lineRule="auto"/>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estimates regarding expenses, operating losses, future revenue, cash outlays, capital requirements and needs for additional financing, including expenses arising as a result of being a public company;</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financial performance;</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facilities;</w:t>
      </w:r>
    </w:p>
    <w:p>
      <w:pPr>
        <w:spacing w:after="0" w:line="117" w:lineRule="exact"/>
        <w:rPr>
          <w:rFonts w:ascii="Times New Roman" w:cs="Times New Roman" w:eastAsia="Times New Roman" w:hAnsi="Times New Roman"/>
          <w:sz w:val="18"/>
          <w:szCs w:val="18"/>
          <w:color w:val="231F20"/>
        </w:rPr>
      </w:pPr>
    </w:p>
    <w:p>
      <w:pPr>
        <w:ind w:left="900" w:right="240" w:hanging="383"/>
        <w:spacing w:after="0" w:line="282" w:lineRule="auto"/>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period over which we estimate our existing cash, cash equivalents and investments in marketable securities will be sufficient to fund our future operating expenses and capital expenditure requirements;</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impact of critical accounting policies on investor’s ability to understand our financial performance; and</w:t>
      </w:r>
    </w:p>
    <w:p>
      <w:pPr>
        <w:spacing w:after="0" w:line="117" w:lineRule="exact"/>
        <w:rPr>
          <w:rFonts w:ascii="Times New Roman" w:cs="Times New Roman" w:eastAsia="Times New Roman" w:hAnsi="Times New Roman"/>
          <w:sz w:val="18"/>
          <w:szCs w:val="18"/>
          <w:color w:val="231F20"/>
        </w:rPr>
      </w:pPr>
    </w:p>
    <w:p>
      <w:pPr>
        <w:ind w:left="900" w:right="200" w:hanging="383"/>
        <w:spacing w:after="0" w:line="282" w:lineRule="auto"/>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our expectations regarding the period during which we will remain an emerging growth company under the </w:t>
      </w:r>
      <w:r>
        <w:rPr>
          <w:rFonts w:ascii="Times New Roman" w:cs="Times New Roman" w:eastAsia="Times New Roman" w:hAnsi="Times New Roman"/>
          <w:sz w:val="18"/>
          <w:szCs w:val="18"/>
          <w:color w:val="000000"/>
        </w:rPr>
        <w:t>Jumpstart Our Business Startups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Act of 2012 (</w:t>
      </w:r>
      <w:r>
        <w:rPr>
          <w:rFonts w:ascii="Times New Roman" w:cs="Times New Roman" w:eastAsia="Times New Roman" w:hAnsi="Times New Roman"/>
          <w:sz w:val="18"/>
          <w:szCs w:val="18"/>
          <w:color w:val="231F20"/>
        </w:rPr>
        <w:t>JOBS Act).</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“Risk Factors” and elsewhere in this Quarterly Report. Because forward-looking statements are inherently subject to risks and uncertainties, some of which cannot be predicted or quantified, investors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In addition, statements such as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56,312</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Short-term investments in marketable securities</w:t>
            </w:r>
          </w:p>
        </w:tc>
        <w:tc>
          <w:tcPr>
            <w:tcW w:w="22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57,123</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67,375</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29,440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11,890</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104,980</w:t>
            </w:r>
          </w:p>
        </w:tc>
        <w:tc>
          <w:tcPr>
            <w:tcW w:w="1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119,940</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5,162</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15,975</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18"/>
                <w:szCs w:val="18"/>
                <w:color w:val="auto"/>
              </w:rPr>
            </w:pPr>
          </w:p>
        </w:tc>
      </w:tr>
      <w:tr>
        <w:trPr>
          <w:trHeight w:val="210"/>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27,086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4)</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667,685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607,229</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(584,833)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(514,411)</w:t>
            </w:r>
          </w:p>
        </w:tc>
      </w:tr>
      <w:tr>
        <w:trPr>
          <w:trHeight w:val="210"/>
        </w:trPr>
        <w:tc>
          <w:tcPr>
            <w:tcW w:w="7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82,868</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92,854</w:t>
            </w:r>
          </w:p>
        </w:tc>
        <w:tc>
          <w:tcPr>
            <w:tcW w:w="120" w:type="dxa"/>
            <w:vAlign w:val="bottom"/>
            <w:tcBorders>
              <w:top w:val="single" w:sz="8" w:color="CFF0FC"/>
            </w:tcBorders>
          </w:tcPr>
          <w:p>
            <w:pPr>
              <w:spacing w:after="0"/>
              <w:rPr>
                <w:sz w:val="18"/>
                <w:szCs w:val="18"/>
                <w:color w:val="auto"/>
              </w:rPr>
            </w:pPr>
          </w:p>
        </w:tc>
      </w:tr>
      <w:tr>
        <w:trPr>
          <w:trHeight w:val="23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104,980</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119,940</w:t>
            </w:r>
          </w:p>
        </w:tc>
        <w:tc>
          <w:tcPr>
            <w:tcW w:w="120" w:type="dxa"/>
            <w:vAlign w:val="bottom"/>
            <w:shd w:val="clear" w:color="auto" w:fill="CFF0FC"/>
          </w:tcPr>
          <w:p>
            <w:pPr>
              <w:spacing w:after="0"/>
              <w:rPr>
                <w:sz w:val="19"/>
                <w:szCs w:val="19"/>
                <w:color w:val="auto"/>
              </w:rPr>
            </w:pP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-3119755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-3119755</wp:posOffset>
            </wp:positionV>
            <wp:extent cx="77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-2562860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-2562860</wp:posOffset>
            </wp:positionV>
            <wp:extent cx="77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-1704975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-1704975</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-316865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gridSpan w:val="5"/>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100" w:type="dxa"/>
            <w:vAlign w:val="bottom"/>
          </w:tcPr>
          <w:p>
            <w:pPr>
              <w:spacing w:after="0"/>
              <w:rPr>
                <w:sz w:val="15"/>
                <w:szCs w:val="15"/>
                <w:color w:val="auto"/>
              </w:rPr>
            </w:pPr>
          </w:p>
        </w:tc>
        <w:tc>
          <w:tcPr>
            <w:tcW w:w="2520" w:type="dxa"/>
            <w:vAlign w:val="bottom"/>
            <w:gridSpan w:val="5"/>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156"/>
        </w:trPr>
        <w:tc>
          <w:tcPr>
            <w:tcW w:w="57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44"/>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4"/>
              <w:spacing w:after="0" w:line="156" w:lineRule="exact"/>
              <w:rPr>
                <w:sz w:val="20"/>
                <w:szCs w:val="20"/>
                <w:color w:val="auto"/>
              </w:rPr>
            </w:pPr>
            <w:r>
              <w:rPr>
                <w:rFonts w:ascii="Times New Roman" w:cs="Times New Roman" w:eastAsia="Times New Roman" w:hAnsi="Times New Roman"/>
                <w:sz w:val="15"/>
                <w:szCs w:val="15"/>
                <w:b w:val="1"/>
                <w:bCs w:val="1"/>
                <w:color w:val="auto"/>
              </w:rPr>
              <w:t>2024</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44"/>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24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44"/>
              <w:spacing w:after="0" w:line="156"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3"/>
                <w:szCs w:val="13"/>
                <w:color w:val="auto"/>
              </w:rPr>
            </w:pPr>
          </w:p>
        </w:tc>
      </w:tr>
      <w:tr>
        <w:trPr>
          <w:trHeight w:val="155"/>
        </w:trPr>
        <w:tc>
          <w:tcPr>
            <w:tcW w:w="57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Operating expenses:</w:t>
            </w: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578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Research and development</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15,363</w:t>
            </w:r>
          </w:p>
        </w:tc>
        <w:tc>
          <w:tcPr>
            <w:tcW w:w="280" w:type="dxa"/>
            <w:vAlign w:val="bottom"/>
          </w:tcPr>
          <w:p>
            <w:pPr>
              <w:spacing w:after="0"/>
              <w:rPr>
                <w:sz w:val="14"/>
                <w:szCs w:val="14"/>
                <w:color w:val="auto"/>
              </w:rPr>
            </w:pPr>
          </w:p>
        </w:tc>
        <w:tc>
          <w:tcPr>
            <w:tcW w:w="240" w:type="dxa"/>
            <w:vAlign w:val="bottom"/>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20,350</w:t>
            </w:r>
          </w:p>
        </w:tc>
        <w:tc>
          <w:tcPr>
            <w:tcW w:w="240" w:type="dxa"/>
            <w:vAlign w:val="bottom"/>
          </w:tcPr>
          <w:p>
            <w:pPr>
              <w:spacing w:after="0"/>
              <w:rPr>
                <w:sz w:val="14"/>
                <w:szCs w:val="14"/>
                <w:color w:val="auto"/>
              </w:rPr>
            </w:pP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53,809</w:t>
            </w:r>
          </w:p>
        </w:tc>
        <w:tc>
          <w:tcPr>
            <w:tcW w:w="240" w:type="dxa"/>
            <w:vAlign w:val="bottom"/>
          </w:tcPr>
          <w:p>
            <w:pPr>
              <w:spacing w:after="0"/>
              <w:rPr>
                <w:sz w:val="14"/>
                <w:szCs w:val="14"/>
                <w:color w:val="auto"/>
              </w:rPr>
            </w:pPr>
          </w:p>
        </w:tc>
        <w:tc>
          <w:tcPr>
            <w:tcW w:w="240" w:type="dxa"/>
            <w:vAlign w:val="bottom"/>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68,054</w:t>
            </w:r>
          </w:p>
        </w:tc>
        <w:tc>
          <w:tcPr>
            <w:tcW w:w="100" w:type="dxa"/>
            <w:vAlign w:val="bottom"/>
          </w:tcPr>
          <w:p>
            <w:pPr>
              <w:spacing w:after="0"/>
              <w:rPr>
                <w:sz w:val="14"/>
                <w:szCs w:val="14"/>
                <w:color w:val="auto"/>
              </w:rPr>
            </w:pPr>
          </w:p>
        </w:tc>
      </w:tr>
      <w:tr>
        <w:trPr>
          <w:trHeight w:val="162"/>
        </w:trPr>
        <w:tc>
          <w:tcPr>
            <w:tcW w:w="5780" w:type="dxa"/>
            <w:vAlign w:val="bottom"/>
            <w:tcBorders>
              <w:bottom w:val="single" w:sz="8" w:color="CFF0FC"/>
            </w:tcBorders>
            <w:shd w:val="clear" w:color="auto" w:fill="CFF0FC"/>
          </w:tcPr>
          <w:p>
            <w:pPr>
              <w:ind w:left="60"/>
              <w:spacing w:after="0" w:line="162" w:lineRule="exact"/>
              <w:rPr>
                <w:sz w:val="20"/>
                <w:szCs w:val="20"/>
                <w:color w:val="auto"/>
              </w:rPr>
            </w:pPr>
            <w:r>
              <w:rPr>
                <w:rFonts w:ascii="Times New Roman" w:cs="Times New Roman" w:eastAsia="Times New Roman" w:hAnsi="Times New Roman"/>
                <w:sz w:val="15"/>
                <w:szCs w:val="15"/>
                <w:color w:val="auto"/>
              </w:rPr>
              <w:t>General and administrative</w:t>
            </w:r>
          </w:p>
        </w:tc>
        <w:tc>
          <w:tcPr>
            <w:tcW w:w="1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5,573</w:t>
            </w:r>
          </w:p>
        </w:tc>
        <w:tc>
          <w:tcPr>
            <w:tcW w:w="2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6,361</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18,747</w:t>
            </w:r>
          </w:p>
        </w:tc>
        <w:tc>
          <w:tcPr>
            <w:tcW w:w="24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23,242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5780" w:type="dxa"/>
            <w:vAlign w:val="bottom"/>
          </w:tcPr>
          <w:p>
            <w:pPr>
              <w:ind w:left="120"/>
              <w:spacing w:after="0" w:line="156" w:lineRule="exact"/>
              <w:rPr>
                <w:sz w:val="20"/>
                <w:szCs w:val="20"/>
                <w:color w:val="auto"/>
              </w:rPr>
            </w:pPr>
            <w:r>
              <w:rPr>
                <w:rFonts w:ascii="Times New Roman" w:cs="Times New Roman" w:eastAsia="Times New Roman" w:hAnsi="Times New Roman"/>
                <w:sz w:val="15"/>
                <w:szCs w:val="15"/>
                <w:color w:val="auto"/>
              </w:rPr>
              <w:t>Total operating expenses</w:t>
            </w: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20,936</w:t>
            </w:r>
          </w:p>
        </w:tc>
        <w:tc>
          <w:tcPr>
            <w:tcW w:w="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26,711</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72,556</w:t>
            </w: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91,296</w:t>
            </w:r>
          </w:p>
        </w:tc>
        <w:tc>
          <w:tcPr>
            <w:tcW w:w="100" w:type="dxa"/>
            <w:vAlign w:val="bottom"/>
          </w:tcPr>
          <w:p>
            <w:pPr>
              <w:spacing w:after="0"/>
              <w:rPr>
                <w:sz w:val="13"/>
                <w:szCs w:val="13"/>
                <w:color w:val="auto"/>
              </w:rPr>
            </w:pPr>
          </w:p>
        </w:tc>
      </w:tr>
      <w:tr>
        <w:trPr>
          <w:trHeight w:val="155"/>
        </w:trPr>
        <w:tc>
          <w:tcPr>
            <w:tcW w:w="57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Loss from operations</w:t>
            </w:r>
          </w:p>
        </w:tc>
        <w:tc>
          <w:tcPr>
            <w:tcW w:w="10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220"/>
              <w:spacing w:after="0" w:line="156" w:lineRule="exact"/>
              <w:rPr>
                <w:sz w:val="20"/>
                <w:szCs w:val="20"/>
                <w:color w:val="auto"/>
              </w:rPr>
            </w:pPr>
            <w:r>
              <w:rPr>
                <w:rFonts w:ascii="Times New Roman" w:cs="Times New Roman" w:eastAsia="Times New Roman" w:hAnsi="Times New Roman"/>
                <w:sz w:val="15"/>
                <w:szCs w:val="15"/>
                <w:color w:val="auto"/>
              </w:rPr>
              <w:t>(20,936)</w:t>
            </w:r>
          </w:p>
        </w:tc>
        <w:tc>
          <w:tcPr>
            <w:tcW w:w="2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(26,711)</w:t>
            </w:r>
          </w:p>
        </w:tc>
        <w:tc>
          <w:tcPr>
            <w:tcW w:w="1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(72,556)</w:t>
            </w:r>
          </w:p>
        </w:tc>
        <w:tc>
          <w:tcPr>
            <w:tcW w:w="2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(91,296)</w:t>
            </w:r>
          </w:p>
        </w:tc>
      </w:tr>
      <w:tr>
        <w:trPr>
          <w:trHeight w:val="162"/>
        </w:trPr>
        <w:tc>
          <w:tcPr>
            <w:tcW w:w="5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Other income, net:</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80" w:type="dxa"/>
            <w:vAlign w:val="bottom"/>
            <w:shd w:val="clear" w:color="auto" w:fill="CFF0FC"/>
          </w:tcPr>
          <w:p>
            <w:pPr>
              <w:ind w:left="60"/>
              <w:spacing w:after="0" w:line="162" w:lineRule="exact"/>
              <w:rPr>
                <w:sz w:val="20"/>
                <w:szCs w:val="20"/>
                <w:color w:val="auto"/>
              </w:rPr>
            </w:pPr>
            <w:r>
              <w:rPr>
                <w:rFonts w:ascii="Times New Roman" w:cs="Times New Roman" w:eastAsia="Times New Roman" w:hAnsi="Times New Roman"/>
                <w:sz w:val="15"/>
                <w:szCs w:val="15"/>
                <w:color w:val="auto"/>
              </w:rPr>
              <w:t>Interest income</w:t>
            </w: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658</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1,080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2,107</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3,925</w:t>
            </w:r>
          </w:p>
        </w:tc>
        <w:tc>
          <w:tcPr>
            <w:tcW w:w="100" w:type="dxa"/>
            <w:vAlign w:val="bottom"/>
            <w:shd w:val="clear" w:color="auto" w:fill="CFF0FC"/>
          </w:tcPr>
          <w:p>
            <w:pPr>
              <w:spacing w:after="0"/>
              <w:rPr>
                <w:sz w:val="14"/>
                <w:szCs w:val="14"/>
                <w:color w:val="auto"/>
              </w:rPr>
            </w:pPr>
          </w:p>
        </w:tc>
      </w:tr>
      <w:tr>
        <w:trPr>
          <w:trHeight w:val="162"/>
        </w:trPr>
        <w:tc>
          <w:tcPr>
            <w:tcW w:w="578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Other income (loss), net</w:t>
            </w: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78</w:t>
            </w:r>
          </w:p>
        </w:tc>
        <w:tc>
          <w:tcPr>
            <w:tcW w:w="100" w:type="dxa"/>
            <w:vAlign w:val="bottom"/>
          </w:tcPr>
          <w:p>
            <w:pPr>
              <w:spacing w:after="0"/>
              <w:rPr>
                <w:sz w:val="14"/>
                <w:szCs w:val="14"/>
                <w:color w:val="auto"/>
              </w:rPr>
            </w:pPr>
          </w:p>
        </w:tc>
      </w:tr>
      <w:tr>
        <w:trPr>
          <w:trHeight w:val="156"/>
        </w:trPr>
        <w:tc>
          <w:tcPr>
            <w:tcW w:w="5780" w:type="dxa"/>
            <w:vAlign w:val="bottom"/>
            <w:tcBorders>
              <w:bottom w:val="single" w:sz="8" w:color="CFF0FC"/>
            </w:tcBorders>
            <w:shd w:val="clear" w:color="auto" w:fill="CFF0FC"/>
          </w:tcPr>
          <w:p>
            <w:pPr>
              <w:ind w:left="120"/>
              <w:spacing w:after="0" w:line="156" w:lineRule="exact"/>
              <w:rPr>
                <w:sz w:val="20"/>
                <w:szCs w:val="20"/>
                <w:color w:val="auto"/>
              </w:rPr>
            </w:pPr>
            <w:r>
              <w:rPr>
                <w:rFonts w:ascii="Times New Roman" w:cs="Times New Roman" w:eastAsia="Times New Roman" w:hAnsi="Times New Roman"/>
                <w:sz w:val="15"/>
                <w:szCs w:val="15"/>
                <w:color w:val="auto"/>
              </w:rPr>
              <w:t>Total other income, net</w:t>
            </w: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0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661</w:t>
            </w:r>
          </w:p>
        </w:tc>
        <w:tc>
          <w:tcPr>
            <w:tcW w:w="28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1,077</w:t>
            </w: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2,134</w:t>
            </w:r>
          </w:p>
        </w:tc>
        <w:tc>
          <w:tcPr>
            <w:tcW w:w="24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4,003</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57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Net loss before income tax expense</w:t>
            </w:r>
          </w:p>
        </w:tc>
        <w:tc>
          <w:tcPr>
            <w:tcW w:w="100" w:type="dxa"/>
            <w:vAlign w:val="bottom"/>
          </w:tcPr>
          <w:p>
            <w:pPr>
              <w:spacing w:after="0"/>
              <w:rPr>
                <w:sz w:val="13"/>
                <w:szCs w:val="13"/>
                <w:color w:val="auto"/>
              </w:rPr>
            </w:pPr>
          </w:p>
        </w:tc>
        <w:tc>
          <w:tcPr>
            <w:tcW w:w="1340" w:type="dxa"/>
            <w:vAlign w:val="bottom"/>
            <w:gridSpan w:val="2"/>
          </w:tcPr>
          <w:p>
            <w:pPr>
              <w:jc w:val="right"/>
              <w:ind w:right="220"/>
              <w:spacing w:after="0" w:line="156" w:lineRule="exact"/>
              <w:rPr>
                <w:sz w:val="20"/>
                <w:szCs w:val="20"/>
                <w:color w:val="auto"/>
              </w:rPr>
            </w:pPr>
            <w:r>
              <w:rPr>
                <w:rFonts w:ascii="Times New Roman" w:cs="Times New Roman" w:eastAsia="Times New Roman" w:hAnsi="Times New Roman"/>
                <w:sz w:val="15"/>
                <w:szCs w:val="15"/>
                <w:color w:val="auto"/>
              </w:rPr>
              <w:t>(20,275)</w:t>
            </w:r>
          </w:p>
        </w:tc>
        <w:tc>
          <w:tcPr>
            <w:tcW w:w="240" w:type="dxa"/>
            <w:vAlign w:val="bottom"/>
          </w:tcPr>
          <w:p>
            <w:pPr>
              <w:spacing w:after="0"/>
              <w:rPr>
                <w:sz w:val="13"/>
                <w:szCs w:val="13"/>
                <w:color w:val="auto"/>
              </w:rPr>
            </w:pPr>
          </w:p>
        </w:tc>
        <w:tc>
          <w:tcPr>
            <w:tcW w:w="116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(25,634)</w:t>
            </w:r>
          </w:p>
        </w:tc>
        <w:tc>
          <w:tcPr>
            <w:tcW w:w="100" w:type="dxa"/>
            <w:vAlign w:val="bottom"/>
          </w:tcPr>
          <w:p>
            <w:pPr>
              <w:spacing w:after="0"/>
              <w:rPr>
                <w:sz w:val="13"/>
                <w:szCs w:val="13"/>
                <w:color w:val="auto"/>
              </w:rPr>
            </w:pPr>
          </w:p>
        </w:tc>
        <w:tc>
          <w:tcPr>
            <w:tcW w:w="12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(70,422)</w:t>
            </w:r>
          </w:p>
        </w:tc>
        <w:tc>
          <w:tcPr>
            <w:tcW w:w="240" w:type="dxa"/>
            <w:vAlign w:val="bottom"/>
          </w:tcPr>
          <w:p>
            <w:pPr>
              <w:spacing w:after="0"/>
              <w:rPr>
                <w:sz w:val="13"/>
                <w:szCs w:val="13"/>
                <w:color w:val="auto"/>
              </w:rPr>
            </w:pPr>
          </w:p>
        </w:tc>
        <w:tc>
          <w:tcPr>
            <w:tcW w:w="100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(87,293)</w:t>
            </w:r>
          </w:p>
        </w:tc>
      </w:tr>
      <w:tr>
        <w:trPr>
          <w:trHeight w:val="162"/>
        </w:trPr>
        <w:tc>
          <w:tcPr>
            <w:tcW w:w="578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Income tax expense</w:t>
            </w:r>
          </w:p>
        </w:tc>
        <w:tc>
          <w:tcPr>
            <w:tcW w:w="1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57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Net loss</w:t>
            </w:r>
          </w:p>
        </w:tc>
        <w:tc>
          <w:tcPr>
            <w:tcW w:w="100" w:type="dxa"/>
            <w:vAlign w:val="bottom"/>
          </w:tcPr>
          <w:p>
            <w:pPr>
              <w:spacing w:after="0"/>
              <w:rPr>
                <w:sz w:val="13"/>
                <w:szCs w:val="13"/>
                <w:color w:val="auto"/>
              </w:rPr>
            </w:pPr>
          </w:p>
        </w:tc>
        <w:tc>
          <w:tcPr>
            <w:tcW w:w="1340" w:type="dxa"/>
            <w:vAlign w:val="bottom"/>
            <w:gridSpan w:val="2"/>
          </w:tcPr>
          <w:p>
            <w:pPr>
              <w:jc w:val="right"/>
              <w:ind w:right="220"/>
              <w:spacing w:after="0" w:line="156" w:lineRule="exact"/>
              <w:rPr>
                <w:sz w:val="20"/>
                <w:szCs w:val="20"/>
                <w:color w:val="auto"/>
              </w:rPr>
            </w:pPr>
            <w:r>
              <w:rPr>
                <w:rFonts w:ascii="Times New Roman" w:cs="Times New Roman" w:eastAsia="Times New Roman" w:hAnsi="Times New Roman"/>
                <w:sz w:val="15"/>
                <w:szCs w:val="15"/>
                <w:color w:val="auto"/>
              </w:rPr>
              <w:t>(20,275)</w:t>
            </w:r>
          </w:p>
        </w:tc>
        <w:tc>
          <w:tcPr>
            <w:tcW w:w="240" w:type="dxa"/>
            <w:vAlign w:val="bottom"/>
          </w:tcPr>
          <w:p>
            <w:pPr>
              <w:spacing w:after="0"/>
              <w:rPr>
                <w:sz w:val="13"/>
                <w:szCs w:val="13"/>
                <w:color w:val="auto"/>
              </w:rPr>
            </w:pPr>
          </w:p>
        </w:tc>
        <w:tc>
          <w:tcPr>
            <w:tcW w:w="116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(25,634)</w:t>
            </w:r>
          </w:p>
        </w:tc>
        <w:tc>
          <w:tcPr>
            <w:tcW w:w="100" w:type="dxa"/>
            <w:vAlign w:val="bottom"/>
          </w:tcPr>
          <w:p>
            <w:pPr>
              <w:spacing w:after="0"/>
              <w:rPr>
                <w:sz w:val="13"/>
                <w:szCs w:val="13"/>
                <w:color w:val="auto"/>
              </w:rPr>
            </w:pPr>
          </w:p>
        </w:tc>
        <w:tc>
          <w:tcPr>
            <w:tcW w:w="12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(70,422)</w:t>
            </w:r>
          </w:p>
        </w:tc>
        <w:tc>
          <w:tcPr>
            <w:tcW w:w="240" w:type="dxa"/>
            <w:vAlign w:val="bottom"/>
          </w:tcPr>
          <w:p>
            <w:pPr>
              <w:spacing w:after="0"/>
              <w:rPr>
                <w:sz w:val="13"/>
                <w:szCs w:val="13"/>
                <w:color w:val="auto"/>
              </w:rPr>
            </w:pPr>
          </w:p>
        </w:tc>
        <w:tc>
          <w:tcPr>
            <w:tcW w:w="100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(87,293)</w:t>
            </w:r>
          </w:p>
        </w:tc>
      </w:tr>
      <w:tr>
        <w:trPr>
          <w:trHeight w:val="156"/>
        </w:trPr>
        <w:tc>
          <w:tcPr>
            <w:tcW w:w="57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Other comprehensive loss:</w:t>
            </w:r>
          </w:p>
        </w:tc>
        <w:tc>
          <w:tcPr>
            <w:tcW w:w="10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578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Net unrealized gain (loss) on marketable securities</w:t>
            </w: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(28)</w:t>
            </w:r>
          </w:p>
        </w:tc>
        <w:tc>
          <w:tcPr>
            <w:tcW w:w="2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182</w:t>
            </w:r>
          </w:p>
        </w:tc>
        <w:tc>
          <w:tcPr>
            <w:tcW w:w="100" w:type="dxa"/>
            <w:vAlign w:val="bottom"/>
          </w:tcPr>
          <w:p>
            <w:pPr>
              <w:spacing w:after="0"/>
              <w:rPr>
                <w:sz w:val="14"/>
                <w:szCs w:val="14"/>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57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Comprehensive loss</w:t>
            </w:r>
          </w:p>
        </w:tc>
        <w:tc>
          <w:tcPr>
            <w:tcW w:w="1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gridSpan w:val="2"/>
            <w:shd w:val="clear" w:color="auto" w:fill="CFF0FC"/>
          </w:tcPr>
          <w:p>
            <w:pPr>
              <w:jc w:val="right"/>
              <w:ind w:right="220"/>
              <w:spacing w:after="0" w:line="156" w:lineRule="exact"/>
              <w:rPr>
                <w:sz w:val="20"/>
                <w:szCs w:val="20"/>
                <w:color w:val="auto"/>
              </w:rPr>
            </w:pPr>
            <w:r>
              <w:rPr>
                <w:rFonts w:ascii="Times New Roman" w:cs="Times New Roman" w:eastAsia="Times New Roman" w:hAnsi="Times New Roman"/>
                <w:sz w:val="15"/>
                <w:szCs w:val="15"/>
                <w:color w:val="auto"/>
              </w:rPr>
              <w:t>(20,274)</w:t>
            </w:r>
          </w:p>
        </w:tc>
        <w:tc>
          <w:tcPr>
            <w:tcW w:w="240" w:type="dxa"/>
            <w:vAlign w:val="bottom"/>
            <w:shd w:val="clear" w:color="auto" w:fill="CFF0FC"/>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shd w:val="clear" w:color="auto" w:fill="CFF0FC"/>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(25,491)</w:t>
            </w:r>
          </w:p>
        </w:tc>
        <w:tc>
          <w:tcPr>
            <w:tcW w:w="1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gridSpan w:val="2"/>
            <w:shd w:val="clear" w:color="auto" w:fill="CFF0FC"/>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(70,450)</w:t>
            </w:r>
          </w:p>
        </w:tc>
        <w:tc>
          <w:tcPr>
            <w:tcW w:w="240" w:type="dxa"/>
            <w:vAlign w:val="bottom"/>
            <w:shd w:val="clear" w:color="auto" w:fill="CFF0FC"/>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(87,111)</w:t>
            </w: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43"/>
        </w:trPr>
        <w:tc>
          <w:tcPr>
            <w:tcW w:w="5780" w:type="dxa"/>
            <w:vAlign w:val="bottom"/>
          </w:tcPr>
          <w:p>
            <w:pPr>
              <w:spacing w:after="0" w:line="143" w:lineRule="exact"/>
              <w:rPr>
                <w:sz w:val="20"/>
                <w:szCs w:val="20"/>
                <w:color w:val="auto"/>
              </w:rPr>
            </w:pPr>
            <w:r>
              <w:rPr>
                <w:rFonts w:ascii="Times New Roman" w:cs="Times New Roman" w:eastAsia="Times New Roman" w:hAnsi="Times New Roman"/>
                <w:sz w:val="15"/>
                <w:szCs w:val="15"/>
                <w:color w:val="auto"/>
              </w:rPr>
              <w:t>Net loss per share, basic and diluted</w:t>
            </w:r>
          </w:p>
        </w:tc>
        <w:tc>
          <w:tcPr>
            <w:tcW w:w="100" w:type="dxa"/>
            <w:vAlign w:val="bottom"/>
          </w:tcPr>
          <w:p>
            <w:pPr>
              <w:jc w:val="right"/>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gridSpan w:val="2"/>
          </w:tcPr>
          <w:p>
            <w:pPr>
              <w:jc w:val="right"/>
              <w:ind w:right="220"/>
              <w:spacing w:after="0" w:line="143" w:lineRule="exact"/>
              <w:rPr>
                <w:sz w:val="20"/>
                <w:szCs w:val="20"/>
                <w:color w:val="auto"/>
              </w:rPr>
            </w:pPr>
            <w:r>
              <w:rPr>
                <w:rFonts w:ascii="Times New Roman" w:cs="Times New Roman" w:eastAsia="Times New Roman" w:hAnsi="Times New Roman"/>
                <w:sz w:val="15"/>
                <w:szCs w:val="15"/>
                <w:color w:val="auto"/>
              </w:rPr>
              <w:t>(0.12)</w:t>
            </w:r>
          </w:p>
        </w:tc>
        <w:tc>
          <w:tcPr>
            <w:tcW w:w="240" w:type="dxa"/>
            <w:vAlign w:val="bottom"/>
          </w:tcPr>
          <w:p>
            <w:pPr>
              <w:jc w:val="right"/>
              <w:ind w:right="8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tcPr>
          <w:p>
            <w:pPr>
              <w:jc w:val="right"/>
              <w:ind w:right="200"/>
              <w:spacing w:after="0" w:line="143" w:lineRule="exact"/>
              <w:rPr>
                <w:sz w:val="20"/>
                <w:szCs w:val="20"/>
                <w:color w:val="auto"/>
              </w:rPr>
            </w:pPr>
            <w:r>
              <w:rPr>
                <w:rFonts w:ascii="Times New Roman" w:cs="Times New Roman" w:eastAsia="Times New Roman" w:hAnsi="Times New Roman"/>
                <w:sz w:val="15"/>
                <w:szCs w:val="15"/>
                <w:color w:val="auto"/>
              </w:rPr>
              <w:t>(0.30)</w:t>
            </w:r>
          </w:p>
        </w:tc>
        <w:tc>
          <w:tcPr>
            <w:tcW w:w="100" w:type="dxa"/>
            <w:vAlign w:val="bottom"/>
          </w:tcPr>
          <w:p>
            <w:pPr>
              <w:jc w:val="right"/>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gridSpan w:val="2"/>
          </w:tcPr>
          <w:p>
            <w:pPr>
              <w:jc w:val="right"/>
              <w:ind w:right="200"/>
              <w:spacing w:after="0" w:line="143" w:lineRule="exact"/>
              <w:rPr>
                <w:sz w:val="20"/>
                <w:szCs w:val="20"/>
                <w:color w:val="auto"/>
              </w:rPr>
            </w:pPr>
            <w:r>
              <w:rPr>
                <w:rFonts w:ascii="Times New Roman" w:cs="Times New Roman" w:eastAsia="Times New Roman" w:hAnsi="Times New Roman"/>
                <w:sz w:val="15"/>
                <w:szCs w:val="15"/>
                <w:color w:val="auto"/>
              </w:rPr>
              <w:t>(0.48)</w:t>
            </w:r>
          </w:p>
        </w:tc>
        <w:tc>
          <w:tcPr>
            <w:tcW w:w="240" w:type="dxa"/>
            <w:vAlign w:val="bottom"/>
          </w:tcPr>
          <w:p>
            <w:pPr>
              <w:jc w:val="right"/>
              <w:ind w:right="8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gridSpan w:val="2"/>
          </w:tcPr>
          <w:p>
            <w:pPr>
              <w:jc w:val="right"/>
              <w:ind w:right="60"/>
              <w:spacing w:after="0" w:line="143" w:lineRule="exact"/>
              <w:rPr>
                <w:sz w:val="20"/>
                <w:szCs w:val="20"/>
                <w:color w:val="auto"/>
              </w:rPr>
            </w:pPr>
            <w:r>
              <w:rPr>
                <w:rFonts w:ascii="Times New Roman" w:cs="Times New Roman" w:eastAsia="Times New Roman" w:hAnsi="Times New Roman"/>
                <w:sz w:val="15"/>
                <w:szCs w:val="15"/>
                <w:color w:val="auto"/>
              </w:rPr>
              <w:t>(1.04)</w:t>
            </w:r>
          </w:p>
        </w:tc>
      </w:tr>
      <w:tr>
        <w:trPr>
          <w:trHeight w:val="20"/>
        </w:trPr>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780" w:type="dxa"/>
            <w:vAlign w:val="bottom"/>
            <w:tcBorders>
              <w:bottom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5"/>
                <w:szCs w:val="15"/>
                <w:color w:val="auto"/>
              </w:rPr>
              <w:t>Weighted-average shares used in computing net loss per share, basic and diluted</w:t>
            </w:r>
          </w:p>
        </w:tc>
        <w:tc>
          <w:tcPr>
            <w:tcW w:w="1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163,345,972</w:t>
            </w: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86,162,841</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145,531,495</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84,290,747</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-1576705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-1576705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-1576705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-934085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-934085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-934085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-719455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-719455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-719455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-282575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-265430</wp:posOffset>
            </wp:positionV>
            <wp:extent cx="77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-282575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-265430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-282575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-265430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-265430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-25400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2100" w:type="dxa"/>
            <w:vAlign w:val="bottom"/>
            <w:gridSpan w:val="3"/>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0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740" w:type="dxa"/>
            <w:vAlign w:val="bottom"/>
          </w:tcPr>
          <w:p>
            <w:pPr>
              <w:spacing w:after="0"/>
              <w:rPr>
                <w:sz w:val="13"/>
                <w:szCs w:val="13"/>
                <w:color w:val="auto"/>
              </w:rPr>
            </w:pPr>
          </w:p>
        </w:tc>
        <w:tc>
          <w:tcPr>
            <w:tcW w:w="2100" w:type="dxa"/>
            <w:vAlign w:val="bottom"/>
            <w:tcBorders>
              <w:bottom w:val="single" w:sz="8" w:color="auto"/>
            </w:tcBorders>
            <w:gridSpan w:val="3"/>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3"/>
                <w:szCs w:val="13"/>
                <w:color w:val="auto"/>
              </w:rPr>
            </w:pPr>
          </w:p>
        </w:tc>
        <w:tc>
          <w:tcPr>
            <w:tcW w:w="1240" w:type="dxa"/>
            <w:vAlign w:val="bottom"/>
            <w:gridSpan w:val="3"/>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108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January 1, 2025</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86,542,340</w:t>
            </w:r>
          </w:p>
        </w:tc>
        <w:tc>
          <w:tcPr>
            <w:tcW w:w="1020" w:type="dxa"/>
            <w:vAlign w:val="bottom"/>
            <w:gridSpan w:val="2"/>
            <w:shd w:val="clear" w:color="auto" w:fill="CFF0FC"/>
          </w:tcPr>
          <w:p>
            <w:pPr>
              <w:jc w:val="right"/>
              <w:ind w:right="6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607,229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(514,411)</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92,854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common stock and warrants in follow-</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on offering, net of issuance costs of $3,699</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75,000,000</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48,793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Issuance of common stock upon vesting of restricted</w:t>
            </w:r>
          </w:p>
        </w:tc>
        <w:tc>
          <w:tcPr>
            <w:tcW w:w="10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stock units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295,191</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common stock in connection with at-the</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market sales, net of issuance costs of $280</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822,566</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3,731</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(26,864)</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(26,864)</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March 31, 2025</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162,660,097</w:t>
            </w:r>
          </w:p>
        </w:tc>
        <w:tc>
          <w:tcPr>
            <w:tcW w:w="220" w:type="dxa"/>
            <w:vAlign w:val="bottom"/>
          </w:tcPr>
          <w:p>
            <w:pPr>
              <w:spacing w:after="0"/>
              <w:rPr>
                <w:sz w:val="17"/>
                <w:szCs w:val="17"/>
                <w:color w:val="auto"/>
              </w:rPr>
            </w:pPr>
          </w:p>
        </w:tc>
        <w:tc>
          <w:tcPr>
            <w:tcW w:w="800" w:type="dxa"/>
            <w:vAlign w:val="bottom"/>
          </w:tcPr>
          <w:p>
            <w:pPr>
              <w:jc w:val="right"/>
              <w:ind w:right="64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660,665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(541,275)</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119,396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40" w:type="dxa"/>
            <w:vAlign w:val="bottom"/>
            <w:shd w:val="clear" w:color="auto" w:fill="CFF0FC"/>
          </w:tcPr>
          <w:p>
            <w:pPr>
              <w:ind w:left="80"/>
              <w:spacing w:after="0" w:line="169" w:lineRule="exact"/>
              <w:rPr>
                <w:sz w:val="20"/>
                <w:szCs w:val="20"/>
                <w:color w:val="auto"/>
              </w:rPr>
            </w:pPr>
            <w:r>
              <w:rPr>
                <w:rFonts w:ascii="Times New Roman" w:cs="Times New Roman" w:eastAsia="Times New Roman" w:hAnsi="Times New Roman"/>
                <w:sz w:val="16"/>
                <w:szCs w:val="16"/>
                <w:color w:val="auto"/>
              </w:rPr>
              <w:t>Issuance of common stock pursuant to employee</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stock purchase plan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119,998</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common stock upon vesting of restricted</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196,007</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3,636</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(23,283)</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(23,283)</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June 30, 2025</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162,976,102</w:t>
            </w:r>
          </w:p>
        </w:tc>
        <w:tc>
          <w:tcPr>
            <w:tcW w:w="220" w:type="dxa"/>
            <w:vAlign w:val="bottom"/>
          </w:tcPr>
          <w:p>
            <w:pPr>
              <w:spacing w:after="0"/>
              <w:rPr>
                <w:sz w:val="17"/>
                <w:szCs w:val="17"/>
                <w:color w:val="auto"/>
              </w:rPr>
            </w:pPr>
          </w:p>
        </w:tc>
        <w:tc>
          <w:tcPr>
            <w:tcW w:w="800" w:type="dxa"/>
            <w:vAlign w:val="bottom"/>
          </w:tcPr>
          <w:p>
            <w:pPr>
              <w:jc w:val="right"/>
              <w:ind w:right="64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664,371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(564,558)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40" w:type="dxa"/>
            <w:vAlign w:val="bottom"/>
            <w:shd w:val="clear" w:color="auto" w:fill="CFF0FC"/>
          </w:tcPr>
          <w:p>
            <w:pPr>
              <w:ind w:left="80"/>
              <w:spacing w:after="0" w:line="169"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260,933</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common stock upon exercise of warrants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507,500</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(20,275)</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(20,275)</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September 30, 2025</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163,744,535</w:t>
            </w:r>
          </w:p>
        </w:tc>
        <w:tc>
          <w:tcPr>
            <w:tcW w:w="220" w:type="dxa"/>
            <w:vAlign w:val="bottom"/>
          </w:tcPr>
          <w:p>
            <w:pPr>
              <w:spacing w:after="0"/>
              <w:rPr>
                <w:sz w:val="17"/>
                <w:szCs w:val="17"/>
                <w:color w:val="auto"/>
              </w:rPr>
            </w:pPr>
          </w:p>
        </w:tc>
        <w:tc>
          <w:tcPr>
            <w:tcW w:w="800" w:type="dxa"/>
            <w:vAlign w:val="bottom"/>
          </w:tcPr>
          <w:p>
            <w:pPr>
              <w:jc w:val="right"/>
              <w:ind w:right="64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667,685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(584,833)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82,868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-2159635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-2159635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-2159635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-2159635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-2159635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-2159635</wp:posOffset>
            </wp:positionV>
            <wp:extent cx="77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-1096645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-1096645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-1096645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-1096645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-1096645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-1096645</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-162560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-162560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-162560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-162560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-162560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3"/>
                <w:szCs w:val="13"/>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2140" w:type="dxa"/>
            <w:vAlign w:val="bottom"/>
            <w:gridSpan w:val="3"/>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20" w:type="dxa"/>
            <w:vAlign w:val="bottom"/>
          </w:tcPr>
          <w:p>
            <w:pPr>
              <w:spacing w:after="0"/>
              <w:rPr>
                <w:sz w:val="13"/>
                <w:szCs w:val="13"/>
                <w:color w:val="auto"/>
              </w:rPr>
            </w:pPr>
          </w:p>
        </w:tc>
        <w:tc>
          <w:tcPr>
            <w:tcW w:w="2140" w:type="dxa"/>
            <w:vAlign w:val="bottom"/>
            <w:tcBorders>
              <w:bottom w:val="single" w:sz="8" w:color="auto"/>
            </w:tcBorders>
            <w:gridSpan w:val="3"/>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3"/>
                <w:szCs w:val="13"/>
                <w:color w:val="auto"/>
              </w:rPr>
            </w:pPr>
          </w:p>
        </w:tc>
        <w:tc>
          <w:tcPr>
            <w:tcW w:w="114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100" w:type="dxa"/>
            <w:vAlign w:val="bottom"/>
            <w:gridSpan w:val="3"/>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08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2"/>
                <w:szCs w:val="12"/>
                <w:color w:val="auto"/>
              </w:rPr>
            </w:pPr>
          </w:p>
        </w:tc>
        <w:tc>
          <w:tcPr>
            <w:tcW w:w="100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January 1, 2024</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68,330,342</w:t>
            </w:r>
          </w:p>
        </w:tc>
        <w:tc>
          <w:tcPr>
            <w:tcW w:w="1060" w:type="dxa"/>
            <w:vAlign w:val="bottom"/>
            <w:gridSpan w:val="2"/>
            <w:shd w:val="clear" w:color="auto" w:fill="CFF0FC"/>
          </w:tcPr>
          <w:p>
            <w:pPr>
              <w:jc w:val="right"/>
              <w:ind w:right="64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542,805</w:t>
            </w:r>
          </w:p>
        </w:tc>
        <w:tc>
          <w:tcPr>
            <w:tcW w:w="4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(106)</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(403,282)</w:t>
            </w:r>
          </w:p>
        </w:tc>
        <w:tc>
          <w:tcPr>
            <w:tcW w:w="1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139,424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common stock and pre-funded warrants,</w:t>
            </w: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of issuance costs of $3,236</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8,888,890</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46,761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0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246,708</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common stock upon exercise of pre-</w:t>
            </w: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funded warrants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1,051,594</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4,224</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3"/>
        </w:trPr>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(32,228)</w:t>
            </w: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(32,228)</w:t>
            </w: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March 31,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78,517,534</w:t>
            </w:r>
          </w:p>
        </w:tc>
        <w:tc>
          <w:tcPr>
            <w:tcW w:w="260" w:type="dxa"/>
            <w:vAlign w:val="bottom"/>
          </w:tcPr>
          <w:p>
            <w:pPr>
              <w:spacing w:after="0"/>
              <w:rPr>
                <w:sz w:val="17"/>
                <w:szCs w:val="17"/>
                <w:color w:val="auto"/>
              </w:rPr>
            </w:pPr>
          </w:p>
        </w:tc>
        <w:tc>
          <w:tcPr>
            <w:tcW w:w="800" w:type="dxa"/>
            <w:vAlign w:val="bottom"/>
          </w:tcPr>
          <w:p>
            <w:pPr>
              <w:jc w:val="right"/>
              <w:ind w:right="64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593,802</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(435,510)</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20" w:type="dxa"/>
            <w:vAlign w:val="bottom"/>
            <w:shd w:val="clear" w:color="auto" w:fill="CFF0FC"/>
          </w:tcPr>
          <w:p>
            <w:pPr>
              <w:ind w:left="80"/>
              <w:spacing w:after="0" w:line="169" w:lineRule="exact"/>
              <w:rPr>
                <w:sz w:val="20"/>
                <w:szCs w:val="20"/>
                <w:color w:val="auto"/>
              </w:rPr>
            </w:pPr>
            <w:r>
              <w:rPr>
                <w:rFonts w:ascii="Times New Roman" w:cs="Times New Roman" w:eastAsia="Times New Roman" w:hAnsi="Times New Roman"/>
                <w:sz w:val="16"/>
                <w:szCs w:val="16"/>
                <w:color w:val="auto"/>
              </w:rPr>
              <w:t>Issuance of common stock pursuant to employee</w:t>
            </w: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stock purchase plan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320,951</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28,952</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4,611</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(29,431)</w:t>
            </w: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(29,431)</w:t>
            </w: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June 30,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78,867,437</w:t>
            </w:r>
          </w:p>
        </w:tc>
        <w:tc>
          <w:tcPr>
            <w:tcW w:w="260" w:type="dxa"/>
            <w:vAlign w:val="bottom"/>
          </w:tcPr>
          <w:p>
            <w:pPr>
              <w:spacing w:after="0"/>
              <w:rPr>
                <w:sz w:val="17"/>
                <w:szCs w:val="17"/>
                <w:color w:val="auto"/>
              </w:rPr>
            </w:pPr>
          </w:p>
        </w:tc>
        <w:tc>
          <w:tcPr>
            <w:tcW w:w="800" w:type="dxa"/>
            <w:vAlign w:val="bottom"/>
          </w:tcPr>
          <w:p>
            <w:pPr>
              <w:jc w:val="right"/>
              <w:ind w:right="64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598,997</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(464,941)</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20" w:type="dxa"/>
            <w:vAlign w:val="bottom"/>
            <w:shd w:val="clear" w:color="auto" w:fill="CFF0FC"/>
          </w:tcPr>
          <w:p>
            <w:pPr>
              <w:ind w:left="80"/>
              <w:spacing w:after="0" w:line="169"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353,079</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warrant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3,907</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(25,634)</w:t>
            </w: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(25,634)</w:t>
            </w: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September 30,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79,220,516</w:t>
            </w:r>
          </w:p>
        </w:tc>
        <w:tc>
          <w:tcPr>
            <w:tcW w:w="260" w:type="dxa"/>
            <w:vAlign w:val="bottom"/>
          </w:tcPr>
          <w:p>
            <w:pPr>
              <w:spacing w:after="0"/>
              <w:rPr>
                <w:sz w:val="17"/>
                <w:szCs w:val="17"/>
                <w:color w:val="auto"/>
              </w:rPr>
            </w:pPr>
          </w:p>
        </w:tc>
        <w:tc>
          <w:tcPr>
            <w:tcW w:w="800" w:type="dxa"/>
            <w:vAlign w:val="bottom"/>
          </w:tcPr>
          <w:p>
            <w:pPr>
              <w:jc w:val="right"/>
              <w:ind w:right="64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603,093</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(490,575)</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-2159635</wp:posOffset>
            </wp:positionV>
            <wp:extent cx="77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-2159635</wp:posOffset>
            </wp:positionV>
            <wp:extent cx="77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-2159635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-2159635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-2159635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-1096645</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-1096645</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-1096645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-1096645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-1096645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-162560</wp:posOffset>
            </wp:positionV>
            <wp:extent cx="774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-162560</wp:posOffset>
            </wp:positionV>
            <wp:extent cx="774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-162560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-162560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-162560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8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73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320" w:type="dxa"/>
            <w:vAlign w:val="bottom"/>
            <w:gridSpan w:val="2"/>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(70,422)</w:t>
            </w:r>
          </w:p>
        </w:tc>
        <w:tc>
          <w:tcPr>
            <w:tcW w:w="1020" w:type="dxa"/>
            <w:vAlign w:val="bottom"/>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(87,293)</w:t>
            </w:r>
          </w:p>
        </w:tc>
      </w:tr>
      <w:tr>
        <w:trPr>
          <w:trHeight w:val="148"/>
        </w:trPr>
        <w:tc>
          <w:tcPr>
            <w:tcW w:w="7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6,609</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6,379</w:t>
            </w:r>
          </w:p>
        </w:tc>
        <w:tc>
          <w:tcPr>
            <w:tcW w:w="120" w:type="dxa"/>
            <w:vAlign w:val="bottom"/>
          </w:tcPr>
          <w:p>
            <w:pPr>
              <w:spacing w:after="0"/>
              <w:rPr>
                <w:sz w:val="12"/>
                <w:szCs w:val="12"/>
                <w:color w:val="auto"/>
              </w:rPr>
            </w:pPr>
          </w:p>
        </w:tc>
      </w:tr>
      <w:tr>
        <w:trPr>
          <w:trHeight w:val="148"/>
        </w:trPr>
        <w:tc>
          <w:tcPr>
            <w:tcW w:w="73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Amortization (accretion) of premium (discount) on marketable securities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411</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20" w:type="dxa"/>
            <w:vAlign w:val="bottom"/>
            <w:shd w:val="clear" w:color="auto" w:fill="CFF0FC"/>
          </w:tcPr>
          <w:p>
            <w:pPr>
              <w:spacing w:after="0"/>
              <w:rPr>
                <w:sz w:val="12"/>
                <w:szCs w:val="12"/>
                <w:color w:val="auto"/>
              </w:rPr>
            </w:pPr>
          </w:p>
        </w:tc>
      </w:tr>
      <w:tr>
        <w:trPr>
          <w:trHeight w:val="149"/>
        </w:trPr>
        <w:tc>
          <w:tcPr>
            <w:tcW w:w="7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10,301</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12,742</w:t>
            </w:r>
          </w:p>
        </w:tc>
        <w:tc>
          <w:tcPr>
            <w:tcW w:w="120" w:type="dxa"/>
            <w:vAlign w:val="bottom"/>
          </w:tcPr>
          <w:p>
            <w:pPr>
              <w:spacing w:after="0"/>
              <w:rPr>
                <w:sz w:val="12"/>
                <w:szCs w:val="12"/>
                <w:color w:val="auto"/>
              </w:rPr>
            </w:pPr>
          </w:p>
        </w:tc>
      </w:tr>
      <w:tr>
        <w:trPr>
          <w:trHeight w:val="148"/>
        </w:trPr>
        <w:tc>
          <w:tcPr>
            <w:tcW w:w="73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Non-cash operating lease expense</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1,833</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2,655</w:t>
            </w:r>
          </w:p>
        </w:tc>
        <w:tc>
          <w:tcPr>
            <w:tcW w:w="120" w:type="dxa"/>
            <w:vAlign w:val="bottom"/>
            <w:shd w:val="clear" w:color="auto" w:fill="CFF0FC"/>
          </w:tcPr>
          <w:p>
            <w:pPr>
              <w:spacing w:after="0"/>
              <w:rPr>
                <w:sz w:val="12"/>
                <w:szCs w:val="12"/>
                <w:color w:val="auto"/>
              </w:rPr>
            </w:pPr>
          </w:p>
        </w:tc>
      </w:tr>
      <w:tr>
        <w:trPr>
          <w:trHeight w:val="148"/>
        </w:trPr>
        <w:tc>
          <w:tcPr>
            <w:tcW w:w="7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120" w:type="dxa"/>
            <w:vAlign w:val="bottom"/>
          </w:tcPr>
          <w:p>
            <w:pPr>
              <w:spacing w:after="0"/>
              <w:rPr>
                <w:sz w:val="12"/>
                <w:szCs w:val="12"/>
                <w:color w:val="auto"/>
              </w:rPr>
            </w:pPr>
          </w:p>
        </w:tc>
      </w:tr>
      <w:tr>
        <w:trPr>
          <w:trHeight w:val="148"/>
        </w:trPr>
        <w:tc>
          <w:tcPr>
            <w:tcW w:w="73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714</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1,026</w:t>
            </w:r>
          </w:p>
        </w:tc>
        <w:tc>
          <w:tcPr>
            <w:tcW w:w="120" w:type="dxa"/>
            <w:vAlign w:val="bottom"/>
          </w:tcPr>
          <w:p>
            <w:pPr>
              <w:spacing w:after="0"/>
              <w:rPr>
                <w:sz w:val="12"/>
                <w:szCs w:val="12"/>
                <w:color w:val="auto"/>
              </w:rPr>
            </w:pPr>
          </w:p>
        </w:tc>
      </w:tr>
      <w:tr>
        <w:trPr>
          <w:trHeight w:val="149"/>
        </w:trPr>
        <w:tc>
          <w:tcPr>
            <w:tcW w:w="73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573</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600</w:t>
            </w:r>
          </w:p>
        </w:tc>
        <w:tc>
          <w:tcPr>
            <w:tcW w:w="120" w:type="dxa"/>
            <w:vAlign w:val="bottom"/>
            <w:shd w:val="clear" w:color="auto" w:fill="CFF0FC"/>
          </w:tcPr>
          <w:p>
            <w:pPr>
              <w:spacing w:after="0"/>
              <w:rPr>
                <w:sz w:val="12"/>
                <w:szCs w:val="12"/>
                <w:color w:val="auto"/>
              </w:rPr>
            </w:pPr>
          </w:p>
        </w:tc>
      </w:tr>
      <w:tr>
        <w:trPr>
          <w:trHeight w:val="148"/>
        </w:trPr>
        <w:tc>
          <w:tcPr>
            <w:tcW w:w="7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(1,961)</w:t>
            </w: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120" w:type="dxa"/>
            <w:vAlign w:val="bottom"/>
          </w:tcPr>
          <w:p>
            <w:pPr>
              <w:spacing w:after="0"/>
              <w:rPr>
                <w:sz w:val="12"/>
                <w:szCs w:val="12"/>
                <w:color w:val="auto"/>
              </w:rPr>
            </w:pPr>
          </w:p>
        </w:tc>
      </w:tr>
      <w:tr>
        <w:trPr>
          <w:trHeight w:val="148"/>
        </w:trPr>
        <w:tc>
          <w:tcPr>
            <w:tcW w:w="73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and other current liabilities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(594)</w:t>
            </w:r>
          </w:p>
        </w:tc>
        <w:tc>
          <w:tcPr>
            <w:tcW w:w="10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(5,453)</w:t>
            </w:r>
          </w:p>
        </w:tc>
      </w:tr>
      <w:tr>
        <w:trPr>
          <w:trHeight w:val="148"/>
        </w:trPr>
        <w:tc>
          <w:tcPr>
            <w:tcW w:w="7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(2,081)</w:t>
            </w:r>
          </w:p>
        </w:tc>
        <w:tc>
          <w:tcPr>
            <w:tcW w:w="102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(3,188)</w:t>
            </w:r>
          </w:p>
        </w:tc>
      </w:tr>
      <w:tr>
        <w:trPr>
          <w:trHeight w:val="142"/>
        </w:trPr>
        <w:tc>
          <w:tcPr>
            <w:tcW w:w="7380" w:type="dxa"/>
            <w:vAlign w:val="bottom"/>
            <w:tcBorders>
              <w:top w:val="single" w:sz="8" w:color="CFF0FC"/>
              <w:bottom w:val="single" w:sz="8" w:color="CFF0FC"/>
            </w:tcBorders>
            <w:shd w:val="clear" w:color="auto" w:fill="CFF0FC"/>
          </w:tcPr>
          <w:p>
            <w:pPr>
              <w:ind w:left="360"/>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300" w:type="dxa"/>
            <w:vAlign w:val="bottom"/>
            <w:tcBorders>
              <w:top w:val="single" w:sz="8" w:color="CFF0FC"/>
              <w:bottom w:val="single" w:sz="8" w:color="CFF0FC"/>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(54,324)</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(72,113)</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142"/>
        </w:trPr>
        <w:tc>
          <w:tcPr>
            <w:tcW w:w="73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3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(551)</w:t>
            </w:r>
          </w:p>
        </w:tc>
        <w:tc>
          <w:tcPr>
            <w:tcW w:w="10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(821)</w:t>
            </w:r>
          </w:p>
        </w:tc>
      </w:tr>
      <w:tr>
        <w:trPr>
          <w:trHeight w:val="148"/>
        </w:trPr>
        <w:tc>
          <w:tcPr>
            <w:tcW w:w="7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Purchases of marketable securities</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(85,058)</w:t>
            </w:r>
          </w:p>
        </w:tc>
      </w:tr>
      <w:tr>
        <w:trPr>
          <w:trHeight w:val="148"/>
        </w:trPr>
        <w:tc>
          <w:tcPr>
            <w:tcW w:w="73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sales of marketable securities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10,958</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45,743</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72,890</w:t>
            </w:r>
          </w:p>
        </w:tc>
        <w:tc>
          <w:tcPr>
            <w:tcW w:w="120" w:type="dxa"/>
            <w:vAlign w:val="bottom"/>
          </w:tcPr>
          <w:p>
            <w:pPr>
              <w:spacing w:after="0"/>
              <w:rPr>
                <w:sz w:val="12"/>
                <w:szCs w:val="12"/>
                <w:color w:val="auto"/>
              </w:rPr>
            </w:pPr>
          </w:p>
        </w:tc>
      </w:tr>
      <w:tr>
        <w:trPr>
          <w:trHeight w:val="148"/>
        </w:trPr>
        <w:tc>
          <w:tcPr>
            <w:tcW w:w="738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38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56,150</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(12,972)</w:t>
            </w:r>
          </w:p>
        </w:tc>
      </w:tr>
      <w:tr>
        <w:trPr>
          <w:trHeight w:val="142"/>
        </w:trPr>
        <w:tc>
          <w:tcPr>
            <w:tcW w:w="73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 w:type="dxa"/>
            <w:vAlign w:val="bottom"/>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 pre-funded warrants, and warrants in follow-on offering, net of issuance costs</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48,801</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46,762</w:t>
            </w:r>
          </w:p>
        </w:tc>
        <w:tc>
          <w:tcPr>
            <w:tcW w:w="120" w:type="dxa"/>
            <w:vAlign w:val="bottom"/>
          </w:tcPr>
          <w:p>
            <w:pPr>
              <w:spacing w:after="0"/>
              <w:rPr>
                <w:sz w:val="12"/>
                <w:szCs w:val="12"/>
                <w:color w:val="auto"/>
              </w:rPr>
            </w:pPr>
          </w:p>
        </w:tc>
      </w:tr>
      <w:tr>
        <w:trPr>
          <w:trHeight w:val="148"/>
        </w:trPr>
        <w:tc>
          <w:tcPr>
            <w:tcW w:w="73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 and employee stock purchase plan</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609</w:t>
            </w:r>
          </w:p>
        </w:tc>
        <w:tc>
          <w:tcPr>
            <w:tcW w:w="120" w:type="dxa"/>
            <w:vAlign w:val="bottom"/>
            <w:shd w:val="clear" w:color="auto" w:fill="CFF0FC"/>
          </w:tcPr>
          <w:p>
            <w:pPr>
              <w:spacing w:after="0"/>
              <w:rPr>
                <w:sz w:val="12"/>
                <w:szCs w:val="12"/>
                <w:color w:val="auto"/>
              </w:rPr>
            </w:pPr>
          </w:p>
        </w:tc>
      </w:tr>
      <w:tr>
        <w:trPr>
          <w:trHeight w:val="148"/>
        </w:trPr>
        <w:tc>
          <w:tcPr>
            <w:tcW w:w="7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exercise of warrants</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356</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3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exercise of prefunded warrants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2"/>
                <w:szCs w:val="12"/>
                <w:color w:val="auto"/>
              </w:rPr>
            </w:pPr>
          </w:p>
        </w:tc>
      </w:tr>
      <w:tr>
        <w:trPr>
          <w:trHeight w:val="148"/>
        </w:trPr>
        <w:tc>
          <w:tcPr>
            <w:tcW w:w="7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at-the-market sales, net of issuance costs</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912</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7380" w:type="dxa"/>
            <w:vAlign w:val="bottom"/>
            <w:tcBorders>
              <w:top w:val="single" w:sz="8" w:color="CFF0FC"/>
              <w:bottom w:val="single" w:sz="8" w:color="CFF0FC"/>
            </w:tcBorders>
            <w:shd w:val="clear" w:color="auto" w:fill="CFF0FC"/>
          </w:tcPr>
          <w:p>
            <w:pPr>
              <w:ind w:left="360"/>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300" w:type="dxa"/>
            <w:vAlign w:val="bottom"/>
            <w:tcBorders>
              <w:top w:val="single" w:sz="8" w:color="CFF0FC"/>
              <w:bottom w:val="single" w:sz="8" w:color="CFF0FC"/>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50,163</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47,372</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142"/>
        </w:trPr>
        <w:tc>
          <w:tcPr>
            <w:tcW w:w="73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51,989</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(37,713)</w:t>
            </w:r>
          </w:p>
        </w:tc>
      </w:tr>
      <w:tr>
        <w:trPr>
          <w:trHeight w:val="148"/>
        </w:trPr>
        <w:tc>
          <w:tcPr>
            <w:tcW w:w="73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30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4,742</w:t>
            </w:r>
          </w:p>
        </w:tc>
        <w:tc>
          <w:tcPr>
            <w:tcW w:w="28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46,363</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3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and restricted cash at end of period</w:t>
            </w:r>
          </w:p>
        </w:tc>
        <w:tc>
          <w:tcPr>
            <w:tcW w:w="1320" w:type="dxa"/>
            <w:vAlign w:val="bottom"/>
            <w:gridSpan w:val="2"/>
          </w:tcPr>
          <w:p>
            <w:pPr>
              <w:jc w:val="right"/>
              <w:ind w:right="8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56,731</w:t>
            </w:r>
          </w:p>
        </w:tc>
        <w:tc>
          <w:tcPr>
            <w:tcW w:w="280" w:type="dxa"/>
            <w:vAlign w:val="bottom"/>
          </w:tcPr>
          <w:p>
            <w:pPr>
              <w:spacing w:after="0"/>
              <w:rPr>
                <w:sz w:val="12"/>
                <w:szCs w:val="12"/>
                <w:color w:val="auto"/>
              </w:rPr>
            </w:pPr>
          </w:p>
        </w:tc>
        <w:tc>
          <w:tcPr>
            <w:tcW w:w="1020" w:type="dxa"/>
            <w:vAlign w:val="bottom"/>
          </w:tcPr>
          <w:p>
            <w:pPr>
              <w:jc w:val="right"/>
              <w:ind w:right="8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8,650</w:t>
            </w:r>
          </w:p>
        </w:tc>
        <w:tc>
          <w:tcPr>
            <w:tcW w:w="120" w:type="dxa"/>
            <w:vAlign w:val="bottom"/>
          </w:tcPr>
          <w:p>
            <w:pPr>
              <w:spacing w:after="0"/>
              <w:rPr>
                <w:sz w:val="12"/>
                <w:szCs w:val="12"/>
                <w:color w:val="auto"/>
              </w:rPr>
            </w:pPr>
          </w:p>
        </w:tc>
      </w:tr>
      <w:tr>
        <w:trPr>
          <w:trHeight w:val="20"/>
        </w:trPr>
        <w:tc>
          <w:tcPr>
            <w:tcW w:w="7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73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Components of cash, cash equivalents and restricted cash:</w:t>
            </w: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320" w:type="dxa"/>
            <w:vAlign w:val="bottom"/>
            <w:gridSpan w:val="2"/>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56,312</w:t>
            </w:r>
          </w:p>
        </w:tc>
        <w:tc>
          <w:tcPr>
            <w:tcW w:w="280" w:type="dxa"/>
            <w:vAlign w:val="bottom"/>
          </w:tcPr>
          <w:p>
            <w:pPr>
              <w:spacing w:after="0"/>
              <w:rPr>
                <w:sz w:val="12"/>
                <w:szCs w:val="12"/>
                <w:color w:val="auto"/>
              </w:rPr>
            </w:pPr>
          </w:p>
        </w:tc>
        <w:tc>
          <w:tcPr>
            <w:tcW w:w="1020" w:type="dxa"/>
            <w:vAlign w:val="bottom"/>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8,231</w:t>
            </w:r>
          </w:p>
        </w:tc>
        <w:tc>
          <w:tcPr>
            <w:tcW w:w="120" w:type="dxa"/>
            <w:vAlign w:val="bottom"/>
          </w:tcPr>
          <w:p>
            <w:pPr>
              <w:spacing w:after="0"/>
              <w:rPr>
                <w:sz w:val="12"/>
                <w:szCs w:val="12"/>
                <w:color w:val="auto"/>
              </w:rPr>
            </w:pPr>
          </w:p>
        </w:tc>
      </w:tr>
      <w:tr>
        <w:trPr>
          <w:trHeight w:val="148"/>
        </w:trPr>
        <w:tc>
          <w:tcPr>
            <w:tcW w:w="73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Restricted cash included in other noncurrent assets</w:t>
            </w:r>
          </w:p>
        </w:tc>
        <w:tc>
          <w:tcPr>
            <w:tcW w:w="30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419</w:t>
            </w:r>
          </w:p>
        </w:tc>
        <w:tc>
          <w:tcPr>
            <w:tcW w:w="28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419</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3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w:t>
            </w:r>
          </w:p>
        </w:tc>
        <w:tc>
          <w:tcPr>
            <w:tcW w:w="1320" w:type="dxa"/>
            <w:vAlign w:val="bottom"/>
            <w:gridSpan w:val="2"/>
          </w:tcPr>
          <w:p>
            <w:pPr>
              <w:jc w:val="right"/>
              <w:ind w:right="8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56,731</w:t>
            </w:r>
          </w:p>
        </w:tc>
        <w:tc>
          <w:tcPr>
            <w:tcW w:w="280" w:type="dxa"/>
            <w:vAlign w:val="bottom"/>
          </w:tcPr>
          <w:p>
            <w:pPr>
              <w:spacing w:after="0"/>
              <w:rPr>
                <w:sz w:val="12"/>
                <w:szCs w:val="12"/>
                <w:color w:val="auto"/>
              </w:rPr>
            </w:pPr>
          </w:p>
        </w:tc>
        <w:tc>
          <w:tcPr>
            <w:tcW w:w="1020" w:type="dxa"/>
            <w:vAlign w:val="bottom"/>
          </w:tcPr>
          <w:p>
            <w:pPr>
              <w:jc w:val="right"/>
              <w:ind w:right="8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8,650</w:t>
            </w:r>
          </w:p>
        </w:tc>
        <w:tc>
          <w:tcPr>
            <w:tcW w:w="120" w:type="dxa"/>
            <w:vAlign w:val="bottom"/>
          </w:tcPr>
          <w:p>
            <w:pPr>
              <w:spacing w:after="0"/>
              <w:rPr>
                <w:sz w:val="12"/>
                <w:szCs w:val="12"/>
                <w:color w:val="auto"/>
              </w:rPr>
            </w:pPr>
          </w:p>
        </w:tc>
      </w:tr>
      <w:tr>
        <w:trPr>
          <w:trHeight w:val="20"/>
        </w:trPr>
        <w:tc>
          <w:tcPr>
            <w:tcW w:w="7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73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7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Property and equipment included in accounts payable and accrued and other current liabilities</w:t>
            </w:r>
          </w:p>
        </w:tc>
        <w:tc>
          <w:tcPr>
            <w:tcW w:w="1320" w:type="dxa"/>
            <w:vAlign w:val="bottom"/>
            <w:gridSpan w:val="2"/>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120" w:type="dxa"/>
            <w:vAlign w:val="bottom"/>
          </w:tcPr>
          <w:p>
            <w:pPr>
              <w:spacing w:after="0"/>
              <w:rPr>
                <w:sz w:val="12"/>
                <w:szCs w:val="12"/>
                <w:color w:val="auto"/>
              </w:rPr>
            </w:pPr>
          </w:p>
        </w:tc>
      </w:tr>
      <w:tr>
        <w:trPr>
          <w:trHeight w:val="148"/>
        </w:trPr>
        <w:tc>
          <w:tcPr>
            <w:tcW w:w="73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Issuance of warrant in connection with Loan Agreement</w:t>
            </w:r>
          </w:p>
        </w:tc>
        <w:tc>
          <w:tcPr>
            <w:tcW w:w="1320" w:type="dxa"/>
            <w:vAlign w:val="bottom"/>
            <w:gridSpan w:val="2"/>
            <w:shd w:val="clear" w:color="auto" w:fill="CFF0FC"/>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120" w:type="dxa"/>
            <w:vAlign w:val="bottom"/>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5864225</wp:posOffset>
            </wp:positionH>
            <wp:positionV relativeFrom="paragraph">
              <wp:posOffset>-2489200</wp:posOffset>
            </wp:positionV>
            <wp:extent cx="9398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-2489200</wp:posOffset>
            </wp:positionV>
            <wp:extent cx="10287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-1799590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-1799590</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5864225</wp:posOffset>
            </wp:positionH>
            <wp:positionV relativeFrom="paragraph">
              <wp:posOffset>-1134745</wp:posOffset>
            </wp:positionV>
            <wp:extent cx="93980" cy="1365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-1134745</wp:posOffset>
            </wp:positionV>
            <wp:extent cx="102870" cy="1365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2870" cy="13652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-822325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-822325</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-410845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-410845</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the Business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Tenaya Therapeutics, Inc. (the Company) was incorporated in the state of Delaware in August 2016 and is headquartered in South San Francisco, California. The Company is a clinical-stage biotechnology company focused on discovering, developing and delivering curative therapies that address the underlying drivers of heart disease. The Company’s lead product candidates include TN-201, a gene therapy for myosin binding protein C3-associated hypertrophic cardiomyopathy, TN-401, a gene therapy for plakophilin 2-associated arrhythmogenic right ventricular cardiomyopathy, and TN-301, a small molecule for heart failure with preserved ejection fraction.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Company has incurred net losses since inception and expects such losses to continue in the future as it conducts research and development activities. As of September 30, 2025, the Company had an accumulated deficit of $584.8 million. The Company incurred a net loss of $70.4 million and $87.3 million during the nine months ended September 30, 2025 and 2024, respectively. The Company had $56.3 million of cash, cash equivalents and investments in marketable securities as of September 30, 2025.</w:t>
      </w:r>
    </w:p>
    <w:p>
      <w:pPr>
        <w:spacing w:after="0" w:line="7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On August 6, 2024, the Company entered into a Loan Agreement with Silicon Valley Bank (SVB), a division of First-Citizens Bank &amp; Trust Company (the Loan Agreement). As of September 30, 2025, under the Loan Agreement, the Company has the right to draw down $10.0 million at its discretion until December 31, 2025, and up to an additional $20.0 million that may be available at SVB's discretion, subject to specified conditions. See Note 6, </w:t>
      </w:r>
      <w:r>
        <w:rPr>
          <w:rFonts w:ascii="Times New Roman" w:cs="Times New Roman" w:eastAsia="Times New Roman" w:hAnsi="Times New Roman"/>
          <w:sz w:val="18"/>
          <w:szCs w:val="18"/>
          <w:i w:val="1"/>
          <w:iCs w:val="1"/>
          <w:color w:val="auto"/>
        </w:rPr>
        <w:t>Term Loan</w:t>
      </w:r>
      <w:r>
        <w:rPr>
          <w:rFonts w:ascii="Times New Roman" w:cs="Times New Roman" w:eastAsia="Times New Roman" w:hAnsi="Times New Roman"/>
          <w:sz w:val="18"/>
          <w:szCs w:val="18"/>
          <w:color w:val="auto"/>
        </w:rPr>
        <w:t>, for further details.</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On March 5, 2025, the Company completed an underwritten offering of its common stock and accompanying warrants. The Company received net proceeds of approximately $48.8 million, after deducting underwriting discounts and commissions of approximately $3.2 million and other offering expenses of approximately $0.5 million. See Note 7,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for further details. Subsequently, the Company issued an aggregate of 3,268,750 shares of its common stock upon the cash exercise of warrants issued in the underwritten offering for aggregate proceeds of approximately $2.3 million, including $1.9 million in October 2025. See Note 7,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for further details on Company's warrants.</w:t>
      </w:r>
    </w:p>
    <w:p>
      <w:pPr>
        <w:spacing w:after="0" w:line="7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 March 2025, the Company announced cost containment measures, including a committed plan to reduce its workforce (the 2025 Workforce Reduction), in alignment with its focus on generating data from the clinical trials of TN-201 and TN-401. See Note 11, </w:t>
      </w:r>
      <w:r>
        <w:rPr>
          <w:rFonts w:ascii="Times New Roman" w:cs="Times New Roman" w:eastAsia="Times New Roman" w:hAnsi="Times New Roman"/>
          <w:sz w:val="18"/>
          <w:szCs w:val="18"/>
          <w:i w:val="1"/>
          <w:iCs w:val="1"/>
          <w:color w:val="auto"/>
        </w:rPr>
        <w:t>Workforce Reduction</w:t>
      </w:r>
      <w:r>
        <w:rPr>
          <w:rFonts w:ascii="Times New Roman" w:cs="Times New Roman" w:eastAsia="Times New Roman" w:hAnsi="Times New Roman"/>
          <w:sz w:val="18"/>
          <w:szCs w:val="18"/>
          <w:color w:val="auto"/>
        </w:rPr>
        <w:t>, for further details.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believes that savings from these measures and future cost containment initiatives to be taken as necessary, combined with existing cash, cash equivalents and short-term investments as of September 30, 2025, along with the $10.0 million of funds available under its Loan Agreement with SVB, and the $1.9 million of proceeds from warrant exercises in October 2025, will be sufficient to fund the Company’s operations for at least the next twelve months following the date these condensed financial statements are filed with the Securities and Exchange Commission (SEC). Management also recognizes the need to raise additional capital to fully implement the Company's business plan. The Company may seek to raise capital through equity financings, debt financings, license agreements, collaborative agreements or other sources of financing. There is no assurance, however, that any additional financing or any revenue-generating license or collaboration will be available when needed or that the Company will be able to obtain financing or enter into a license or collaboration on terms acceptable to the Company, or at all. The condensed financial statements do not reflect any adjustments relating to the outcome of this uncertainty.</w:t>
      </w:r>
    </w:p>
    <w:p>
      <w:pPr>
        <w:spacing w:after="0" w:line="184" w:lineRule="exact"/>
        <w:rPr>
          <w:sz w:val="20"/>
          <w:szCs w:val="20"/>
          <w:color w:val="auto"/>
        </w:rPr>
      </w:pPr>
    </w:p>
    <w:p>
      <w:pPr>
        <w:ind w:left="520" w:right="7440" w:hanging="512"/>
        <w:spacing w:after="0" w:line="378" w:lineRule="auto"/>
        <w:tabs>
          <w:tab w:leader="none" w:pos="38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condensed financial statements have been prepared in accordance with accounting principles generally accepted in the United States of America (GAAP) and follow the requirements of the SEC for</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0" w:name="page11"/>
    <w:bookmarkEnd w:id="10"/>
    <w:p>
      <w:pPr>
        <w:spacing w:after="0" w:line="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interim reporting. As permitted under those rules, certain footnotes or other financial information that are normally required by GAAP can be condensed or omitted.</w:t>
      </w:r>
    </w:p>
    <w:p>
      <w:pPr>
        <w:spacing w:after="0" w:line="5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interim condensed balance sheet as of September 30, 2025, the interim condensed statements of operations and comprehensive loss, stockholders’ equity and cash flows for the nine months ended September 30, 2025 and 2024 are unaudited. These unaudited interim condensed financial statements have been prepared on the same basis as the Company’s annual financial statements and reflect all adjustments that are necessary for the fair statement of the Company’s financial position, results of operations and cash flows for the interim periods presented. The condensed results of operations for the nine months ended September 30, 2025, are not necessarily indicative of the results to be expected for the full year or for any other future annual or interim period. The condensed balance sheet as of December 31, 2024, included herein was derived from the audited financial statements as of that date. These condensed financial statements should be read in conjunction with the Company’s audited financial statements and the related notes thereto for the year ended December 31, 2024, included in the Company’s Annual Report on Form 10-K, filed with the SEC on March 10, 2025.</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condensed financial statements in conformity with GAAP requires management to make estimates and assumptions that affect the reported amounts of assets, liabilities, and the disclosure of contingent assets and liabilities at the date of the condensed financial statements and the reported amounts of expenses during the reporting period. Significant estimates and assumptions made in the accompanying financial statements include, but are not limited to, accrued expenses related to research and development activities. The Company bases its estimates on historical experience, the current economic environment, and on various other assumptions that are believed to be reasonable under the circumstances. Actual results may differ from those estimates or assumptions.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19" w:lineRule="exact"/>
        <w:rPr>
          <w:sz w:val="20"/>
          <w:szCs w:val="20"/>
          <w:color w:val="auto"/>
        </w:rPr>
      </w:pPr>
    </w:p>
    <w:p>
      <w:pPr>
        <w:ind w:right="300"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There have been no material revisions to the Company’s significant accounting policies described in Note 2,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to the financial statements included in the Company’s Annual Report on Form 10-K for the year ended December 31, 2024.</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CIRM Grant</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February 2025, the Company announced it was awarded an $8 million grant from the California Institute for Regenerative Medicine (CIRM) to support the clinical trial of TN-401. The award is payable to the Company upon achievement of certain clinical milestones. Additionally, if CIRM determines, in its sole discretion, that the Company has not complied with the terms and conditions of the grant, CIRM may suspend or permanently cease disbursements. Funds received under this grant may only be used for allowable project costs specifically identified with the CIRM-funded project. Such costs can include, but are not limited to, salary for personnel, itemized supplies, consultants, and itemized clinical study costs. Under the terms of the grant, the Company will co-fund the research project with CIRM and the amount of the Company's co-funding requirement is predetermined as a part of the award. The Company accounts for the grant under Accounting Standards Codification (ASC) 450-30, </w:t>
      </w:r>
      <w:r>
        <w:rPr>
          <w:rFonts w:ascii="Times New Roman" w:cs="Times New Roman" w:eastAsia="Times New Roman" w:hAnsi="Times New Roman"/>
          <w:sz w:val="18"/>
          <w:szCs w:val="18"/>
          <w:i w:val="1"/>
          <w:iCs w:val="1"/>
          <w:color w:val="auto"/>
        </w:rPr>
        <w:t>Gain Contingencies</w:t>
      </w:r>
      <w:r>
        <w:rPr>
          <w:rFonts w:ascii="Times New Roman" w:cs="Times New Roman" w:eastAsia="Times New Roman" w:hAnsi="Times New Roman"/>
          <w:sz w:val="18"/>
          <w:szCs w:val="18"/>
          <w:color w:val="auto"/>
        </w:rPr>
        <w:t>, and records the funds against the research and development expenses as the milestones are achieved. For the nine months ended September 30, 2025, the Company recognized $1.5 million in connection with the grant.</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19"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 Update (ASU) No.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280): Improvements to Reportable Segment Disclosures </w:t>
      </w:r>
      <w:r>
        <w:rPr>
          <w:rFonts w:ascii="Times New Roman" w:cs="Times New Roman" w:eastAsia="Times New Roman" w:hAnsi="Times New Roman"/>
          <w:sz w:val="18"/>
          <w:szCs w:val="18"/>
          <w:color w:val="auto"/>
        </w:rPr>
        <w:t>(ASU 2023-07), which improves reportable segment disclosure requirements,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enhanced disclosures about significant segment expenses. In addition, ASU 2023-07 enhances interim disclosure requirements, clarifies circumstances in which an entity can disclose multiple segment measures of profit or loss, provides new segment disclosure requirements for entities with a single reportable segment, and contains other disclosure requirements. ASU 2023-07 is effective for annual periods beginning after December 15, 2023, and interim periods beginning after December 15, 2024. The adoption of ASU 2023-07 did not have any effect on the Company's financial</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statements. See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to our financial statements for the disclosure pursuant to the adoption of ASU 2023-07.</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Receivable and Contract Assets </w:t>
      </w:r>
      <w:r>
        <w:rPr>
          <w:rFonts w:ascii="Times New Roman" w:cs="Times New Roman" w:eastAsia="Times New Roman" w:hAnsi="Times New Roman"/>
          <w:sz w:val="18"/>
          <w:szCs w:val="18"/>
          <w:color w:val="auto"/>
        </w:rPr>
        <w:t>(ASU 2025-05), which provides a practical expedient for entities to estimate expected credit losses on current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and current contract assets arising from revenue transactions accounted for under ASC 606. ASU 2025-05 is effective for the Company for annual periods beginning after December 15, 2025, and interim periods within those annual periods. Early adoption is permitted. The Company is evaluating the impact of this standard on its financial statements and related disclosures.</w:t>
      </w:r>
    </w:p>
    <w:p>
      <w:pPr>
        <w:spacing w:after="0" w:line="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(Topic 220):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Disaggregation of Income Statement Expenses </w:t>
      </w:r>
      <w:r>
        <w:rPr>
          <w:rFonts w:ascii="Times New Roman" w:cs="Times New Roman" w:eastAsia="Times New Roman" w:hAnsi="Times New Roman"/>
          <w:sz w:val="18"/>
          <w:szCs w:val="18"/>
          <w:color w:val="auto"/>
        </w:rPr>
        <w:t>(ASU 2024-03), which requires public companies to disclose, in interim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reporting periods, additional information about certain expenses in the financial statements. The amendments in this ASU will be effective for annual periods beginning after December 15, 2026, and interim reporting periods beginning after December 15, 2027. Early adoption is permitted. The Company is evaluating the impact of this standard on its financial statements and related disclosures.</w:t>
      </w:r>
    </w:p>
    <w:p>
      <w:pPr>
        <w:spacing w:after="0" w:line="75"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requires disaggregated information about a reporting entity’s effective tax rate reconciliation as well as information on income taxes paid. ASU 2023-09 is effective for annual periods beginning after December 15, 2024. The Company is evaluating the impact of this standard on its financial statements and related disclosures.</w:t>
      </w:r>
    </w:p>
    <w:p>
      <w:pPr>
        <w:spacing w:after="0" w:line="17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3.</w:t>
        <w:tab/>
        <w:t>Balance Sheet Components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4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480" w:type="dxa"/>
            <w:vAlign w:val="bottom"/>
            <w:gridSpan w:val="4"/>
          </w:tcPr>
          <w:p>
            <w:pPr>
              <w:jc w:val="center"/>
              <w:ind w:right="853"/>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00" w:type="dxa"/>
            <w:vAlign w:val="bottom"/>
          </w:tcPr>
          <w:p>
            <w:pPr>
              <w:spacing w:after="0"/>
              <w:rPr>
                <w:sz w:val="12"/>
                <w:szCs w:val="12"/>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26,217</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26,159</w:t>
            </w: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19,770</w:t>
            </w:r>
          </w:p>
        </w:tc>
        <w:tc>
          <w:tcPr>
            <w:tcW w:w="100" w:type="dxa"/>
            <w:vAlign w:val="bottom"/>
          </w:tcPr>
          <w:p>
            <w:pPr>
              <w:spacing w:after="0"/>
              <w:rPr>
                <w:sz w:val="18"/>
                <w:szCs w:val="18"/>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17,738</w:t>
            </w: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tcPr>
          <w:p>
            <w:pPr>
              <w:spacing w:after="0"/>
              <w:rPr>
                <w:sz w:val="18"/>
                <w:szCs w:val="18"/>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18"/>
                <w:szCs w:val="18"/>
                <w:color w:val="auto"/>
              </w:rPr>
            </w:pPr>
          </w:p>
        </w:tc>
      </w:tr>
      <w:tr>
        <w:trPr>
          <w:trHeight w:val="210"/>
        </w:trPr>
        <w:tc>
          <w:tcPr>
            <w:tcW w:w="4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68,323</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68,148</w:t>
            </w: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(38,883)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(32,290)</w:t>
            </w:r>
          </w:p>
        </w:tc>
      </w:tr>
      <w:tr>
        <w:trPr>
          <w:trHeight w:val="20"/>
        </w:trPr>
        <w:tc>
          <w:tcPr>
            <w:tcW w:w="4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29,440</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35,858</w:t>
            </w:r>
          </w:p>
        </w:tc>
        <w:tc>
          <w:tcPr>
            <w:tcW w:w="100" w:type="dxa"/>
            <w:vAlign w:val="bottom"/>
            <w:shd w:val="clear" w:color="auto" w:fill="CFF0FC"/>
          </w:tcPr>
          <w:p>
            <w:pPr>
              <w:spacing w:after="0"/>
              <w:rPr>
                <w:sz w:val="19"/>
                <w:szCs w:val="19"/>
                <w:color w:val="auto"/>
              </w:rPr>
            </w:pP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-24765</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51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and amortization expense for the three months ended September 30, 2025 and 2024 was $1.9 million and $2.1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for the nine months ended September 30, 2025 and 2024 was $6.6 and $6.4 million, respectively.</w:t>
      </w:r>
    </w:p>
    <w:p>
      <w:pPr>
        <w:spacing w:after="0" w:line="200" w:lineRule="exact"/>
        <w:rPr>
          <w:sz w:val="20"/>
          <w:szCs w:val="20"/>
          <w:color w:val="auto"/>
        </w:rPr>
      </w:pPr>
    </w:p>
    <w:p>
      <w:pPr>
        <w:spacing w:after="0" w:line="2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12" w:name="page13"/>
    <w:bookmarkEnd w:id="12"/>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and other current liabilities consist of the following:</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6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480" w:type="dxa"/>
            <w:vAlign w:val="bottom"/>
            <w:gridSpan w:val="3"/>
          </w:tcPr>
          <w:p>
            <w:pPr>
              <w:jc w:val="center"/>
              <w:ind w:right="855"/>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00" w:type="dxa"/>
            <w:vAlign w:val="bottom"/>
          </w:tcPr>
          <w:p>
            <w:pPr>
              <w:spacing w:after="0"/>
              <w:rPr>
                <w:sz w:val="12"/>
                <w:szCs w:val="12"/>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360" w:type="dxa"/>
            <w:vAlign w:val="bottom"/>
            <w:gridSpan w:val="2"/>
            <w:shd w:val="clear" w:color="auto" w:fill="CFF0FC"/>
          </w:tcPr>
          <w:p>
            <w:pPr>
              <w:jc w:val="center"/>
              <w:ind w:left="9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8"/>
                <w:szCs w:val="18"/>
                <w:color w:val="auto"/>
              </w:rPr>
            </w:pPr>
          </w:p>
        </w:tc>
      </w:tr>
      <w:tr>
        <w:trPr>
          <w:trHeight w:val="216"/>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w:t>
            </w:r>
          </w:p>
        </w:tc>
        <w:tc>
          <w:tcPr>
            <w:tcW w:w="360" w:type="dxa"/>
            <w:vAlign w:val="bottom"/>
            <w:gridSpan w:val="2"/>
          </w:tcPr>
          <w:p>
            <w:pPr>
              <w:jc w:val="center"/>
              <w:ind w:left="9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100" w:type="dxa"/>
            <w:vAlign w:val="bottom"/>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-170815</wp:posOffset>
            </wp:positionV>
            <wp:extent cx="514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p>
      <w:pPr>
        <w:spacing w:after="0" w:line="98"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8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142"/>
        </w:trPr>
        <w:tc>
          <w:tcPr>
            <w:tcW w:w="48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40" w:type="dxa"/>
            <w:vAlign w:val="bottom"/>
            <w:gridSpan w:val="3"/>
          </w:tcPr>
          <w:p>
            <w:pPr>
              <w:jc w:val="center"/>
              <w:ind w:right="897"/>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80" w:type="dxa"/>
            <w:vAlign w:val="bottom"/>
          </w:tcPr>
          <w:p>
            <w:pPr>
              <w:spacing w:after="0"/>
              <w:rPr>
                <w:sz w:val="12"/>
                <w:szCs w:val="12"/>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400" w:type="dxa"/>
            <w:vAlign w:val="bottom"/>
            <w:gridSpan w:val="2"/>
            <w:shd w:val="clear" w:color="auto" w:fill="CFF0FC"/>
          </w:tcPr>
          <w:p>
            <w:pPr>
              <w:jc w:val="center"/>
              <w:ind w:left="7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8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80" w:type="dxa"/>
            <w:vAlign w:val="bottom"/>
          </w:tcPr>
          <w:p>
            <w:pPr>
              <w:spacing w:after="0"/>
              <w:rPr>
                <w:sz w:val="18"/>
                <w:szCs w:val="18"/>
                <w:color w:val="auto"/>
              </w:rPr>
            </w:pPr>
          </w:p>
        </w:tc>
      </w:tr>
      <w:tr>
        <w:trPr>
          <w:trHeight w:val="229"/>
        </w:trPr>
        <w:tc>
          <w:tcPr>
            <w:tcW w:w="4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400" w:type="dxa"/>
            <w:vAlign w:val="bottom"/>
            <w:gridSpan w:val="2"/>
            <w:shd w:val="clear" w:color="auto" w:fill="CFF0FC"/>
          </w:tcPr>
          <w:p>
            <w:pPr>
              <w:jc w:val="center"/>
              <w:ind w:left="7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80" w:type="dxa"/>
            <w:vAlign w:val="bottom"/>
            <w:shd w:val="clear" w:color="auto" w:fill="CFF0FC"/>
          </w:tcPr>
          <w:p>
            <w:pPr>
              <w:spacing w:after="0"/>
              <w:rPr>
                <w:sz w:val="19"/>
                <w:szCs w:val="19"/>
                <w:color w:val="auto"/>
              </w:rPr>
            </w:pPr>
          </w:p>
        </w:tc>
      </w:tr>
      <w:tr>
        <w:trPr>
          <w:trHeight w:val="20"/>
        </w:trPr>
        <w:tc>
          <w:tcPr>
            <w:tcW w:w="488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-25400</wp:posOffset>
            </wp:positionV>
            <wp:extent cx="514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514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-25400</wp:posOffset>
            </wp:positionV>
            <wp:extent cx="596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596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7" w:lineRule="exact"/>
        <w:rPr>
          <w:sz w:val="20"/>
          <w:szCs w:val="20"/>
          <w:color w:val="auto"/>
        </w:rPr>
      </w:pPr>
    </w:p>
    <w:p>
      <w:pPr>
        <w:ind w:left="520" w:right="8200" w:hanging="512"/>
        <w:spacing w:after="0" w:line="378" w:lineRule="auto"/>
        <w:tabs>
          <w:tab w:leader="none" w:pos="38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Facility Leases</w:t>
      </w: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December 2016, the Company entered into a lease agreement for office and laboratory space in South San Francisco, California. The lease was initially set to expire in May 2025 with two five-year renewal options. In June 2024, the Company amended the lease to extend the term to November 2027. Pursuant to the terms of the amended lease, the Company has one remaining five-year renewal option.</w:t>
      </w:r>
    </w:p>
    <w:p>
      <w:pPr>
        <w:spacing w:after="0" w:line="6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February 2021, the Company entered into a lease agreement for office and manufacturing space in Union City, California. The lease commenced in May 2021 and has a ten-year term with one five-year renewal option.</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related to operating lease activity during the three and nine months ended September 30, 2025 was as follows (in thousands):</w:t>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00" w:type="dxa"/>
            <w:vAlign w:val="bottom"/>
            <w:gridSpan w:val="5"/>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42"/>
        </w:trPr>
        <w:tc>
          <w:tcPr>
            <w:tcW w:w="4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360" w:type="dxa"/>
            <w:vAlign w:val="bottom"/>
            <w:gridSpan w:val="3"/>
          </w:tcPr>
          <w:p>
            <w:pPr>
              <w:jc w:val="center"/>
              <w:ind w:right="715"/>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920" w:type="dxa"/>
            <w:vAlign w:val="bottom"/>
            <w:gridSpan w:val="2"/>
            <w:shd w:val="clear" w:color="auto" w:fill="CFF0FC"/>
          </w:tcPr>
          <w:p>
            <w:pPr>
              <w:jc w:val="right"/>
              <w:ind w:right="56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48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360" w:type="dxa"/>
            <w:vAlign w:val="bottom"/>
            <w:gridSpan w:val="2"/>
            <w:shd w:val="clear" w:color="auto" w:fill="CFF0FC"/>
          </w:tcPr>
          <w:p>
            <w:pPr>
              <w:jc w:val="center"/>
              <w:ind w:left="9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120" w:type="dxa"/>
            <w:vAlign w:val="bottom"/>
            <w:shd w:val="clear" w:color="auto" w:fill="CFF0FC"/>
          </w:tcPr>
          <w:p>
            <w:pPr>
              <w:spacing w:after="0"/>
              <w:rPr>
                <w:sz w:val="18"/>
                <w:szCs w:val="18"/>
                <w:color w:val="auto"/>
              </w:rPr>
            </w:pPr>
          </w:p>
        </w:tc>
      </w:tr>
      <w:tr>
        <w:trPr>
          <w:trHeight w:val="216"/>
        </w:trPr>
        <w:tc>
          <w:tcPr>
            <w:tcW w:w="4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tcBorders>
              <w:bottom w:val="single" w:sz="8" w:color="CFF0FC"/>
            </w:tcBorders>
          </w:tcPr>
          <w:p>
            <w:pPr>
              <w:spacing w:after="0"/>
              <w:rPr>
                <w:sz w:val="18"/>
                <w:szCs w:val="18"/>
                <w:color w:val="auto"/>
              </w:rPr>
            </w:pPr>
          </w:p>
        </w:tc>
      </w:tr>
      <w:tr>
        <w:trPr>
          <w:trHeight w:val="250"/>
        </w:trPr>
        <w:tc>
          <w:tcPr>
            <w:tcW w:w="45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lease cost</w:t>
            </w:r>
          </w:p>
        </w:tc>
        <w:tc>
          <w:tcPr>
            <w:tcW w:w="2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6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1,299</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6"/>
        </w:trPr>
        <w:tc>
          <w:tcPr>
            <w:tcW w:w="4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8"/>
        </w:trPr>
        <w:tc>
          <w:tcPr>
            <w:tcW w:w="45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Operating lease right-of-use assets obtained in exchange for</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center"/>
              <w:ind w:left="9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5,302</w:t>
            </w:r>
          </w:p>
        </w:tc>
        <w:tc>
          <w:tcPr>
            <w:tcW w:w="120" w:type="dxa"/>
            <w:vAlign w:val="bottom"/>
            <w:shd w:val="clear" w:color="auto" w:fill="CFF0FC"/>
          </w:tcPr>
          <w:p>
            <w:pPr>
              <w:spacing w:after="0"/>
              <w:rPr>
                <w:sz w:val="20"/>
                <w:szCs w:val="20"/>
                <w:color w:val="auto"/>
              </w:rPr>
            </w:pPr>
          </w:p>
        </w:tc>
      </w:tr>
      <w:tr>
        <w:trPr>
          <w:trHeight w:val="198"/>
        </w:trPr>
        <w:tc>
          <w:tcPr>
            <w:tcW w:w="4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gridSpan w:val="2"/>
          </w:tcPr>
          <w:p>
            <w:pPr>
              <w:jc w:val="center"/>
              <w:ind w:left="9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-710565</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-694055</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-856615</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-710565</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-694055</wp:posOffset>
            </wp:positionV>
            <wp:extent cx="603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-856615</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-710565</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-694055</wp:posOffset>
            </wp:positionV>
            <wp:extent cx="60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-856615</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-710565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-694055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-856615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Company’s operating leases had a weighted average remaining lease term of 4.2 years and a weighted average discount rate of 9.0%. As of December 31, 2024, the Company’s operating leases</w:t>
      </w: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3" w:name="page14"/>
    <w:bookmarkEnd w:id="13"/>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had a weighted average remaining lease term of 4.8 years and a weighted average discount rate of 8.9%. Future minimum lease payments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operating leases as of September 30, 2025 were as follows:</w:t>
      </w:r>
    </w:p>
    <w:p>
      <w:pPr>
        <w:spacing w:after="0" w:line="92"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2"/>
        </w:trPr>
        <w:tc>
          <w:tcPr>
            <w:tcW w:w="4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(three months remaining)</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6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60" w:type="dxa"/>
            <w:vAlign w:val="bottom"/>
          </w:tcPr>
          <w:p>
            <w:pPr>
              <w:spacing w:after="0"/>
              <w:rPr>
                <w:sz w:val="18"/>
                <w:szCs w:val="18"/>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6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60" w:type="dxa"/>
            <w:vAlign w:val="bottom"/>
          </w:tcPr>
          <w:p>
            <w:pPr>
              <w:spacing w:after="0"/>
              <w:rPr>
                <w:sz w:val="18"/>
                <w:szCs w:val="18"/>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6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60" w:type="dxa"/>
            <w:vAlign w:val="bottom"/>
          </w:tcPr>
          <w:p>
            <w:pPr>
              <w:spacing w:after="0"/>
              <w:rPr>
                <w:sz w:val="18"/>
                <w:szCs w:val="18"/>
                <w:color w:val="auto"/>
              </w:rPr>
            </w:pPr>
          </w:p>
        </w:tc>
      </w:tr>
      <w:tr>
        <w:trPr>
          <w:trHeight w:val="209"/>
        </w:trPr>
        <w:tc>
          <w:tcPr>
            <w:tcW w:w="4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undiscounted future minimum lease payments</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14,063</w:t>
            </w:r>
          </w:p>
        </w:tc>
        <w:tc>
          <w:tcPr>
            <w:tcW w:w="6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Imputed interest</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(2,536)</w:t>
            </w:r>
          </w:p>
        </w:tc>
      </w:tr>
      <w:tr>
        <w:trPr>
          <w:trHeight w:val="20"/>
        </w:trPr>
        <w:tc>
          <w:tcPr>
            <w:tcW w:w="4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4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11,527</w:t>
            </w:r>
          </w:p>
        </w:tc>
        <w:tc>
          <w:tcPr>
            <w:tcW w:w="60" w:type="dxa"/>
            <w:vAlign w:val="bottom"/>
            <w:shd w:val="clear" w:color="auto" w:fill="CFF0FC"/>
          </w:tcPr>
          <w:p>
            <w:pPr>
              <w:spacing w:after="0"/>
              <w:rPr>
                <w:sz w:val="19"/>
                <w:szCs w:val="19"/>
                <w:color w:val="auto"/>
              </w:rPr>
            </w:pP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431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431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enters into contractual agreements with various suppliers in the normal course of its business, including vendors that provide machinery and equipment. All contracts are terminable, with varying provisions regarding termination. In general, if a contract with a specific vendor were to be terminated, the Company would only be obligated for the products or services that the Company had received up to the time of termination.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become involved in litigation and other legal actions. The Company estimates the range of liability related to any pending litigation where the amount and range of loss can be estimated. The Company records its best estimate of a loss when the loss is considered probable. Where a liability is probable and there is a range of estimated loss with no best estimate in the range, the Company records a charge equal to at least the minimum estimated liability for a loss contingency when both of the following conditions are met: (i) information available prior to issuance of the financial statements indicates that it is probable that a liability had been incurred at the date of the financial statements and (ii) the range of loss can be reasonably estimated. The Company was not involved in any material litigation as of September 30, 2025 and December 31, 2024.</w:t>
      </w:r>
    </w:p>
    <w:p>
      <w:pPr>
        <w:spacing w:after="0" w:line="79"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that may include indemnification provisions. Pursuant to such agreements, the Company may indemnify, hold harmless and defend an indemnified party for losses suffered or incurred by the indemnified party. In some cases, the indemnification will continue after the termination of the agreement. The maximum potential amounts of future payments the Company could be required to make under these provisions is not determinable. In addition, the Company has entered into indemnification agreements with its directors and certain officers that may require the Company, among other things, to indemnify them against certain liabilities that may arise by reason of their status or service as directors or officers. As of September 30, 2025 and December 31, 2024, the Company did not have any material indemnification claims that were probable or reasonably possible and, consequently, has not recorded any related liabilities.</w:t>
      </w:r>
    </w:p>
    <w:p>
      <w:pPr>
        <w:spacing w:after="0" w:line="181"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2024 Inducement Equity Incentive Plan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September 2024, the Board of Directors (the Board) adopted the Company's 2024 Inducement Equity Incentive Plan (the Inducement Plan), and subject to the adjustment provisions of the Inducement Plan, reserved 1,200,000 shares of the Company’s common stock for issuance pursuant to equity awards granted under the Inducement Plan. The Inducement Plan allows the Company to make equity awards to prospective employees of the Company as an inducement to such individual’s commencement of employment with the Company.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shares reserved and available for grant under the Inducement Plan as of September 30, 2025, are 525,000.</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Under the Company’s 2021 Equity Incentive Plan (the 2021 Plan), 4,000,000 shares of the Company’s common stock were initially reserved for issuance of equity awards to employees, directors, and consultants, under</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4" w:name="page15"/>
    <w:bookmarkEnd w:id="14"/>
    <w:p>
      <w:pPr>
        <w:spacing w:after="0" w:line="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terms and provisions established by the Board. The number of shares of common stock available for issuance under the 2021 Plan automatically increases on the first day of January for a period of ten years, commencing on January 1, 2022, in an amount equal to the lesser of: 4,000,000 shares; 4% of the outstanding shares of the Company’s common stock as of the last day of the immediately preceding year; or such other amount as the board of directors may determine.</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total number of shares reserved and available for grant under the 2021 Plan as of September 30, 2025 is 1,785,929.</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Repricing</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January 22, 2025, the Compensation Committee of the Company's Board approved a repricing of certain outstanding vested and unvested stock option awards under the Amended and Restated 2016 Equity Incentive Plan (the 2016 Plan) and 2021 Plan for eligible employees and certain other service providers (the Repricing Participants). The per share exercise price of eligible stock option awards was reduced to $1.21, the closing price of the Company's common stock on January 24, 2025 (the Repricing Effective Date). To receive the benefit of the repricing, Repricing Participants were required to remain a Service Provider (as such term is defined in the 2016 Plan or 2021 Plan) through the period (the Retention Period) that began on the Repricing Effective Date and ended on July 24, 2025 (the Retention Date) and not exercise any of their repriced stock options prior to the Retention Date. Option holders who exercised their repriced stock options prior to the Retention Date were required to pay the original exercise price per share of such repriced options. No other changes were made to the terms and conditions of the eligible stock option awards. The stock option repricing impacted 4.1 million stock option awards and affected 89 employees and service providers.</w:t>
      </w:r>
    </w:p>
    <w:p>
      <w:pPr>
        <w:spacing w:after="0" w:line="80"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On February 6, 2025, the Company's Board approved an option repricing applicable to Faraz Ali, the Company's Chief Executive Officer, with terms mirroring the aforementioned repricing approved on January 22, 2025, except that for Mr. Ali, the options eligible for repricing were limited to options with exercise prices higher than $5.25 per share. The total number of shares underlying Mr. Ali’s repriced options was 915,875 shares.</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repricing resulted in a total incremental stock-based compensation expense of $1.3 million, which was calculated using the Black-Scholes option pricing model, of which $1.0 million is associated with vested repriced options as of the Retention Date and were recognized on a straight-line basis over the Retention Period. The remaining $0.3 million of the incremental stock-based compensation expense is associated with unvested repriced options beyond the Retention Period and will be recognized on a straight-line basis over the remaining original vesting periods. For the nine months ended September 30, 2025, the Company recognized $1.0 million of incremental stock-based compensation expense.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w:t>
      </w:r>
    </w:p>
    <w:p>
      <w:pPr>
        <w:spacing w:after="0" w:line="9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82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644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center"/>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(in dollars)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9,253,976</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3,829,175</w:t>
            </w:r>
          </w:p>
        </w:tc>
        <w:tc>
          <w:tcPr>
            <w:tcW w:w="1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(20,095)</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Cancelled</w:t>
            </w: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(814,142)</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September 30, 2025</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12,248,914</w:t>
            </w:r>
          </w:p>
        </w:tc>
        <w:tc>
          <w:tcPr>
            <w:tcW w:w="1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-24765</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weighted average exercise price of options outstanding as of September 30, 2025 includes the effect of repricing.</w:t>
      </w:r>
    </w:p>
    <w:p>
      <w:pPr>
        <w:spacing w:after="0" w:line="20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Stock option awards granted to employees generally vest over a four-year period. The contractual term of stock option awards is generally 10 years from the grant date.</w:t>
      </w: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 w:name="page16"/>
    <w:bookmarkEnd w:id="15"/>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the Company’s stock option awards is estimated on the date of grant using the Black-Scholes option pricing model using the following assumptions:</w:t>
      </w:r>
    </w:p>
    <w:p>
      <w:pPr>
        <w:spacing w:after="0" w:line="3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2440" w:type="dxa"/>
            <w:vAlign w:val="bottom"/>
            <w:gridSpan w:val="3"/>
          </w:tcPr>
          <w:p>
            <w:pPr>
              <w:jc w:val="center"/>
              <w:ind w:left="95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780" w:type="dxa"/>
            <w:vAlign w:val="bottom"/>
            <w:gridSpan w:val="3"/>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13"/>
                <w:szCs w:val="13"/>
                <w:color w:val="auto"/>
              </w:rPr>
            </w:pPr>
          </w:p>
        </w:tc>
      </w:tr>
      <w:tr>
        <w:trPr>
          <w:trHeight w:val="173"/>
        </w:trPr>
        <w:tc>
          <w:tcPr>
            <w:tcW w:w="3040" w:type="dxa"/>
            <w:vAlign w:val="bottom"/>
          </w:tcPr>
          <w:p>
            <w:pPr>
              <w:spacing w:after="0"/>
              <w:rPr>
                <w:sz w:val="15"/>
                <w:szCs w:val="15"/>
                <w:color w:val="auto"/>
              </w:rPr>
            </w:pPr>
          </w:p>
        </w:tc>
        <w:tc>
          <w:tcPr>
            <w:tcW w:w="2440" w:type="dxa"/>
            <w:vAlign w:val="bottom"/>
            <w:tcBorders>
              <w:bottom w:val="single" w:sz="8" w:color="auto"/>
            </w:tcBorders>
            <w:gridSpan w:val="3"/>
          </w:tcPr>
          <w:p>
            <w:pPr>
              <w:jc w:val="center"/>
              <w:ind w:left="9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r>
      <w:tr>
        <w:trPr>
          <w:trHeight w:val="142"/>
        </w:trPr>
        <w:tc>
          <w:tcPr>
            <w:tcW w:w="3040" w:type="dxa"/>
            <w:vAlign w:val="bottom"/>
          </w:tcPr>
          <w:p>
            <w:pPr>
              <w:spacing w:after="0"/>
              <w:rPr>
                <w:sz w:val="12"/>
                <w:szCs w:val="12"/>
                <w:color w:val="auto"/>
              </w:rPr>
            </w:pPr>
          </w:p>
        </w:tc>
        <w:tc>
          <w:tcPr>
            <w:tcW w:w="17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80" w:type="dxa"/>
            <w:vAlign w:val="bottom"/>
            <w:tcBorders>
              <w:bottom w:val="single" w:sz="8" w:color="auto"/>
            </w:tcBorders>
            <w:gridSpan w:val="2"/>
          </w:tcPr>
          <w:p>
            <w:pPr>
              <w:jc w:val="right"/>
              <w:ind w:right="6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680" w:type="dxa"/>
            <w:vAlign w:val="bottom"/>
            <w:tcBorders>
              <w:bottom w:val="single" w:sz="8" w:color="auto"/>
            </w:tcBorders>
            <w:gridSpan w:val="2"/>
          </w:tcPr>
          <w:p>
            <w:pPr>
              <w:jc w:val="right"/>
              <w:ind w:right="6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6.1</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6.1</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6.1</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93%</w:t>
            </w:r>
          </w:p>
        </w:tc>
      </w:tr>
      <w:tr>
        <w:trPr>
          <w:trHeight w:val="216"/>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4.5%</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4.5%</w:t>
            </w: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44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color w:val="auto"/>
                <w:w w:val="96"/>
              </w:rPr>
              <w:t>—%</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0"/>
                <w:szCs w:val="20"/>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N/A - not applicable as no stock option awards were granted in the period presented.</w:t>
      </w:r>
    </w:p>
    <w:p>
      <w:pPr>
        <w:spacing w:after="0" w:line="2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Restricted stock units (RSUs) are awards that entitle the holder to receive freely tradable shares of the Company’s common stock upon the completion of a specific period of continued service. RSUs generally vest over a two to four year period and are subject to forfeiture if employment terminates prior to the release of vesting restrictions. RSUs are valued at the market price of the underlying common stock on the date of grant. The Company recognizes noncash compensation expense for the fair value of RSUs on a straight-line basis over the requisite service period of the awards. The following table summarizes activity of RSUs granted to employees with service-based vesting under the 2021 Plan.</w:t>
      </w:r>
    </w:p>
    <w:p>
      <w:pPr>
        <w:spacing w:after="0" w:line="57"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5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6540" w:type="dxa"/>
            <w:vAlign w:val="bottom"/>
          </w:tcPr>
          <w:p>
            <w:pPr>
              <w:spacing w:after="0"/>
              <w:rPr>
                <w:sz w:val="12"/>
                <w:szCs w:val="12"/>
                <w:color w:val="auto"/>
              </w:rPr>
            </w:pPr>
          </w:p>
        </w:tc>
        <w:tc>
          <w:tcPr>
            <w:tcW w:w="182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654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(in dollars)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1,354,178</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1,497,678</w:t>
            </w:r>
          </w:p>
        </w:tc>
        <w:tc>
          <w:tcPr>
            <w:tcW w:w="16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(732,036)</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(382,553)</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September 30, 2025</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1,737,267</w:t>
            </w:r>
          </w:p>
        </w:tc>
        <w:tc>
          <w:tcPr>
            <w:tcW w:w="1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-8255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Under the Company's 2021 Employee Stock Purchase Plan (the ESPP), the Company initially reserved 800,000 shares for future issuance. The number of shares of common stock available for issuance under the ESPP automatically increases on the first day of each fiscal year for a period of ten years beginning with 2022 in an amount equal to the lesser of: 800,000 shares; 1% of the outstanding shares of the Company’s common stock as of the last day of the immediately preceding year; or such other amount as the Board may determine. As of September 30, 2025, 2,345,079 shares were reserved for future issuance under the ESPP. Under the Company’s ESPP, employees are generally eligible to participate and can purchase shares on each purchase date established semi-annually through payroll deductions at the lower of 85% of the fair market value of the Company’s stock at the commencement of the offering period or each purchase date of the offering period. Each offering period spans 6 months. The ESPP permits eligible employees to purchase common stock through payroll deductions for up to 15%</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qualified compensation, up to an annual limit of $25,000 per the Internal Revenue Service. For the nine months ended September 30, 2025 and 2024, the stock-based compensation expense for ESPP was not material.</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recognized in the Company’s condensed statements of operations and comprehensive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w:t>
      </w:r>
    </w:p>
    <w:p>
      <w:pPr>
        <w:spacing w:after="0" w:line="8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8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3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80" w:type="dxa"/>
            <w:vAlign w:val="bottom"/>
            <w:gridSpan w:val="2"/>
            <w:shd w:val="clear" w:color="auto" w:fill="CFF0FC"/>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1,485</w:t>
            </w:r>
          </w:p>
        </w:tc>
        <w:tc>
          <w:tcPr>
            <w:tcW w:w="96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2,048</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5,405</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12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1,449</w:t>
            </w:r>
          </w:p>
        </w:tc>
        <w:tc>
          <w:tcPr>
            <w:tcW w:w="2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1,859</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20" w:type="dxa"/>
            <w:vAlign w:val="bottom"/>
          </w:tcPr>
          <w:p>
            <w:pPr>
              <w:spacing w:after="0"/>
              <w:rPr>
                <w:sz w:val="18"/>
                <w:szCs w:val="18"/>
                <w:color w:val="auto"/>
              </w:rPr>
            </w:pPr>
          </w:p>
        </w:tc>
      </w:tr>
      <w:tr>
        <w:trPr>
          <w:trHeight w:val="229"/>
        </w:trPr>
        <w:tc>
          <w:tcPr>
            <w:tcW w:w="3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1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2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2,934</w:t>
            </w:r>
          </w:p>
        </w:tc>
        <w:tc>
          <w:tcPr>
            <w:tcW w:w="96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3,907</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10,301</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12,742</w:t>
            </w:r>
          </w:p>
        </w:tc>
        <w:tc>
          <w:tcPr>
            <w:tcW w:w="120" w:type="dxa"/>
            <w:vAlign w:val="bottom"/>
            <w:shd w:val="clear" w:color="auto" w:fill="CFF0FC"/>
          </w:tcPr>
          <w:p>
            <w:pPr>
              <w:spacing w:after="0"/>
              <w:rPr>
                <w:sz w:val="19"/>
                <w:szCs w:val="19"/>
                <w:color w:val="auto"/>
              </w:rPr>
            </w:pPr>
          </w:p>
        </w:tc>
      </w:tr>
      <w:tr>
        <w:trPr>
          <w:trHeight w:val="20"/>
        </w:trPr>
        <w:tc>
          <w:tcPr>
            <w:tcW w:w="35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-25400</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-7620</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-25400</wp:posOffset>
            </wp:positionV>
            <wp:extent cx="596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596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-25400</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-25400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Loan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Loan Agreement</w:t>
      </w:r>
    </w:p>
    <w:p>
      <w:pPr>
        <w:spacing w:after="0" w:line="121"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212529"/>
        </w:rPr>
        <w:t xml:space="preserve">On August 6, 2024, the Company entered into the Loan Agreement with SVB. </w:t>
      </w:r>
      <w:r>
        <w:rPr>
          <w:rFonts w:ascii="Times New Roman" w:cs="Times New Roman" w:eastAsia="Times New Roman" w:hAnsi="Times New Roman"/>
          <w:sz w:val="18"/>
          <w:szCs w:val="18"/>
          <w:color w:val="000000"/>
        </w:rPr>
        <w:t>Pursuant to the terms of the Loan Agreement, term loans in an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aggregate principal amount of up to $45.0 million may be made under multiple tranches. The tranches can be drawn as follows: the first tranche of up to $15.0 million became available on the closing date but expired on June 30, 2025; the second, third, and fourth tranches, in amounts of $5.0 million, $2.5 million, and $2.5 million, respectively, became available in October 2024, December 2024, and September 2025, respectively, upon the achievement of certain clinical milestones and are available for draw down through December 31, 2025; and the final tranche of $20.0 million may be available for draw down through July 31, 2026, on such terms as may be agreed by the parties and subject to approval by SVB's credit committee and subject to SVB's discretion. With the exception of the final tranche, and subject to achievement of the applicable milestones and other requirements with respect to each tranche, draw downs are at the Company's election. As of September 30, 2025, the Company has not drawn any funds under the Loan Agreement.</w:t>
      </w:r>
    </w:p>
    <w:p>
      <w:pPr>
        <w:spacing w:after="0" w:line="84"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Interest will accrue on the term loan advances at a rate per annum that is equal to the greater of 8.50% and the prime rate and will be payable monthly in arrears. Principal payments on any term loan advances that are borrowed would commence on January 1, 2026, subject to extension to July 1, 2026, upon the satisfaction of certain milestones.</w:t>
      </w:r>
    </w:p>
    <w:p>
      <w:pPr>
        <w:spacing w:after="0" w:line="68"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As security for its obligations under the Loan Agreement, the Company granted SVB a security interest in substantially all of the assets of the Company, other than its intellectual property.</w:t>
      </w:r>
    </w:p>
    <w:p>
      <w:pPr>
        <w:spacing w:after="0" w:line="158"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Lender Warrant</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Loan Agreement, the Company issued to SVB a warrant to purchase up to 171,848 shares of our common stock (the Lender Warrant). </w:t>
      </w:r>
      <w:r>
        <w:rPr>
          <w:rFonts w:ascii="Times New Roman" w:cs="Times New Roman" w:eastAsia="Times New Roman" w:hAnsi="Times New Roman"/>
          <w:sz w:val="18"/>
          <w:szCs w:val="18"/>
          <w:color w:val="212529"/>
        </w:rPr>
        <w:t>The Lender Warrant became exercisable for 73,649 shares upon closing (the Initial Lender Warrant), which represented 0.075</w:t>
      </w:r>
      <w:r>
        <w:rPr>
          <w:rFonts w:ascii="Times New Roman" w:cs="Times New Roman" w:eastAsia="Times New Roman" w:hAnsi="Times New Roman"/>
          <w:sz w:val="18"/>
          <w:szCs w:val="18"/>
          <w:color w:val="auto"/>
        </w:rPr>
        <w:t xml:space="preserve">% of the Company's common stock and common stock equivalents outstanding as of the day before the closing, on a fully-diluted basis, at an exercise price of $2.55 per share. The Initial Lender Warrant was classified as equity and its fair value was recorded in the stockholders’ equity section of the balance sheet. On June 30, 2025, following the expiration of the first tranche of $15.0 million, 49,099 shares subject to the Lender Warrant became unexercisable. </w:t>
      </w:r>
      <w:r>
        <w:rPr>
          <w:rFonts w:ascii="Times New Roman" w:cs="Times New Roman" w:eastAsia="Times New Roman" w:hAnsi="Times New Roman"/>
          <w:sz w:val="18"/>
          <w:szCs w:val="18"/>
          <w:color w:val="212529"/>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Lender Warrant will become exercisable for up to an additional 49,100 shares pro-rated based on amounts actually advanced for the various tranches under the Loan Agreement (the Remaining Lender Warrant). </w:t>
      </w:r>
      <w:r>
        <w:rPr>
          <w:rFonts w:ascii="Times New Roman" w:cs="Times New Roman" w:eastAsia="Times New Roman" w:hAnsi="Times New Roman"/>
          <w:sz w:val="18"/>
          <w:szCs w:val="18"/>
          <w:color w:val="000000"/>
        </w:rPr>
        <w:t>The Remaining Lender Warrant under the Loan Agreement is considered an outstanding instrument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upon closing of the Loan Agreement for accounting purposes. In accordance with ASC 815-40, </w:t>
      </w:r>
      <w:r>
        <w:rPr>
          <w:rFonts w:ascii="Times New Roman" w:cs="Times New Roman" w:eastAsia="Times New Roman" w:hAnsi="Times New Roman"/>
          <w:sz w:val="18"/>
          <w:szCs w:val="18"/>
          <w:i w:val="1"/>
          <w:iCs w:val="1"/>
          <w:color w:val="000000"/>
        </w:rPr>
        <w:t>Derivatives and Hedging - Contracts in Entity's Own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Equity</w:t>
      </w:r>
      <w:r>
        <w:rPr>
          <w:rFonts w:ascii="Times New Roman" w:cs="Times New Roman" w:eastAsia="Times New Roman" w:hAnsi="Times New Roman"/>
          <w:sz w:val="18"/>
          <w:szCs w:val="18"/>
          <w:color w:val="000000"/>
        </w:rPr>
        <w:t>, the Remaining Lender Warrant is recognized at its fair value as a warrant liability given the variable settlement amount of the warrant shares and</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included in other non-current liabilities within the condensed balance sheets. The Lender Warrant expires on August 6, 2034.</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Offering</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August 10, 2022, the Company entered into a sales agreement (the Sales Agreement) with Leerink Partners LLC to establish an “at-the-market” (ATM) offering defined in Rule 415 under the Securities Act. Pursuant to the Sales Agreement, the Company is permitted to offer and sell, from time to time, shares of its common stock having a maximum aggregate offering price of up to $75.0 million. In January 2025, the Company sold 822,566 shares of our common stock under the ATM offering for net proceeds of $0.9 million, after deducting commissions and offering costs of $0.3 million. As of September 30, 2025, the Company may issue and sell up to approximately $69.8 million of common stock under the ATM offering.</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Follow-On Offering</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March 5, 2025, the Company completed an underwritten public offering of 75,000,000 units, priced at a public offering price of $0.70 per unit, with each unit consisting of one share of its common stock, a warrant to purchase one share of its common stock at an exercise price of $0.80 per share, which will be immediately exercisable and will expire five years from the date of issuance (a Series A Warrant) and a warrant to purchase one-half of a share of its common stock at an exercise price of $0.70 per share, which will be immediately exercisable and expire on June 30, 2026 (a Series B Warrant), under its registration statement on Form S-3 (File No. 333-266741). The Company received net proceeds of approximately $48.8 million, after deducting underwriting discounts and commissions of approximately $3.2 million and other offering expenses of approximately $0.5 million.</w:t>
      </w:r>
    </w:p>
    <w:p>
      <w:pPr>
        <w:spacing w:after="0" w:line="77"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The Company analyzed the Series A and Series B Warrants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ASC 815-40,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Hedging - Contracts in Entity's Own Equity</w:t>
      </w:r>
      <w:r>
        <w:rPr>
          <w:rFonts w:ascii="Times New Roman" w:cs="Times New Roman" w:eastAsia="Times New Roman" w:hAnsi="Times New Roman"/>
          <w:sz w:val="18"/>
          <w:szCs w:val="18"/>
          <w:color w:val="auto"/>
        </w:rPr>
        <w:t>, and concluded that the Series A and Series B Warrants are not liabilities, are indexed to its own stock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 all other conditions for equity classification. Accordingly, the Company has classified the Series A and Series B Warrants as permanent equity.</w:t>
      </w:r>
    </w:p>
    <w:p>
      <w:pPr>
        <w:spacing w:after="0" w:line="6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February 12, 2024, the Company completed an underwritten offering of 8,888,890 shares of its common stock at a price of $4.50 per share and, to an investor in lieu of common stock, pre-funded warrants to purchase 2,222,271 shares of its common stock at a price of $4.499 per pre-funded warrant. The Company received net proceeds of approximately $46.8 million, after deducting underwriting discounts and commissions of approximately $3.0 million and offering expenses of $0.2 million. As of December 31, 2024, all pre-funded warrants have been exercised for an exercise price of $0.001 per share.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2025, total shares of common stock reserved for issuance, on an as-if converted basis, are as follows:</w:t>
      </w:r>
    </w:p>
    <w:p>
      <w:pPr>
        <w:spacing w:after="0" w:line="11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-3175</wp:posOffset>
            </wp:positionV>
            <wp:extent cx="6412230" cy="146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Outstanding stock options and awards</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Outstanding Lender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18"/>
          <w:szCs w:val="18"/>
          <w:color w:val="auto"/>
        </w:rPr>
        <w:t>Outstanding Series A and Series B Warrants</w:t>
      </w:r>
    </w:p>
    <w:p>
      <w:pPr>
        <w:spacing w:after="0" w:line="9" w:lineRule="exact"/>
        <w:rPr>
          <w:sz w:val="20"/>
          <w:szCs w:val="20"/>
          <w:color w:val="auto"/>
        </w:rPr>
      </w:pPr>
    </w:p>
    <w:p>
      <w:pPr>
        <w:ind w:left="580" w:right="2140"/>
        <w:spacing w:after="0" w:line="250" w:lineRule="auto"/>
        <w:rPr>
          <w:sz w:val="20"/>
          <w:szCs w:val="20"/>
          <w:color w:val="auto"/>
        </w:rPr>
      </w:pPr>
      <w:r>
        <w:rPr>
          <w:rFonts w:ascii="Times New Roman" w:cs="Times New Roman" w:eastAsia="Times New Roman" w:hAnsi="Times New Roman"/>
          <w:sz w:val="18"/>
          <w:szCs w:val="18"/>
          <w:color w:val="auto"/>
        </w:rPr>
        <w:t>Shares available for further issuance under the 2024 Inducement Equity Incentive Plan Shares available for further issuance under the 2021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-135890</wp:posOffset>
            </wp:positionV>
            <wp:extent cx="641223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640" w:right="2360" w:hanging="73"/>
        <w:spacing w:after="0" w:line="276" w:lineRule="auto"/>
        <w:rPr>
          <w:sz w:val="20"/>
          <w:szCs w:val="20"/>
          <w:color w:val="auto"/>
        </w:rPr>
      </w:pPr>
      <w:r>
        <w:rPr>
          <w:rFonts w:ascii="Times New Roman" w:cs="Times New Roman" w:eastAsia="Times New Roman" w:hAnsi="Times New Roman"/>
          <w:sz w:val="18"/>
          <w:szCs w:val="18"/>
          <w:color w:val="auto"/>
        </w:rPr>
        <w:t>Shares available for further issuance under the 2021 Employee Stock Purchase Plan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-156210</wp:posOffset>
            </wp:positionV>
            <wp:extent cx="6412230" cy="1625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600"/>
        <w:spacing w:after="0"/>
        <w:rPr>
          <w:sz w:val="20"/>
          <w:szCs w:val="20"/>
          <w:color w:val="auto"/>
        </w:rPr>
      </w:pPr>
      <w:r>
        <w:rPr>
          <w:rFonts w:ascii="Times New Roman" w:cs="Times New Roman" w:eastAsia="Times New Roman" w:hAnsi="Times New Roman"/>
          <w:sz w:val="18"/>
          <w:szCs w:val="18"/>
          <w:color w:val="auto"/>
        </w:rPr>
        <w:t>13,986,181</w:t>
      </w:r>
    </w:p>
    <w:p>
      <w:pPr>
        <w:spacing w:after="0" w:line="7" w:lineRule="exact"/>
        <w:rPr>
          <w:sz w:val="20"/>
          <w:szCs w:val="20"/>
          <w:color w:val="auto"/>
        </w:rPr>
      </w:pPr>
    </w:p>
    <w:p>
      <w:pPr>
        <w:jc w:val="right"/>
        <w:ind w:right="600"/>
        <w:spacing w:after="0"/>
        <w:rPr>
          <w:sz w:val="20"/>
          <w:szCs w:val="20"/>
          <w:color w:val="auto"/>
        </w:rPr>
      </w:pPr>
      <w:r>
        <w:rPr>
          <w:rFonts w:ascii="Times New Roman" w:cs="Times New Roman" w:eastAsia="Times New Roman" w:hAnsi="Times New Roman"/>
          <w:sz w:val="18"/>
          <w:szCs w:val="18"/>
          <w:color w:val="auto"/>
        </w:rPr>
        <w:t>122,749</w:t>
      </w:r>
    </w:p>
    <w:p>
      <w:pPr>
        <w:spacing w:after="0" w:line="9" w:lineRule="exact"/>
        <w:rPr>
          <w:sz w:val="20"/>
          <w:szCs w:val="20"/>
          <w:color w:val="auto"/>
        </w:rPr>
      </w:pPr>
    </w:p>
    <w:p>
      <w:pPr>
        <w:jc w:val="right"/>
        <w:ind w:right="600"/>
        <w:spacing w:after="0"/>
        <w:rPr>
          <w:sz w:val="20"/>
          <w:szCs w:val="20"/>
          <w:color w:val="auto"/>
        </w:rPr>
      </w:pPr>
      <w:r>
        <w:rPr>
          <w:rFonts w:ascii="Times New Roman" w:cs="Times New Roman" w:eastAsia="Times New Roman" w:hAnsi="Times New Roman"/>
          <w:sz w:val="18"/>
          <w:szCs w:val="18"/>
          <w:color w:val="auto"/>
        </w:rPr>
        <w:t>111,992,500</w:t>
      </w:r>
    </w:p>
    <w:p>
      <w:pPr>
        <w:spacing w:after="0" w:line="9" w:lineRule="exact"/>
        <w:rPr>
          <w:sz w:val="20"/>
          <w:szCs w:val="20"/>
          <w:color w:val="auto"/>
        </w:rPr>
      </w:pPr>
    </w:p>
    <w:p>
      <w:pPr>
        <w:jc w:val="right"/>
        <w:ind w:right="600"/>
        <w:spacing w:after="0"/>
        <w:rPr>
          <w:sz w:val="20"/>
          <w:szCs w:val="20"/>
          <w:color w:val="auto"/>
        </w:rPr>
      </w:pPr>
      <w:r>
        <w:rPr>
          <w:rFonts w:ascii="Times New Roman" w:cs="Times New Roman" w:eastAsia="Times New Roman" w:hAnsi="Times New Roman"/>
          <w:sz w:val="18"/>
          <w:szCs w:val="18"/>
          <w:color w:val="auto"/>
        </w:rPr>
        <w:t>525,000</w:t>
      </w:r>
    </w:p>
    <w:p>
      <w:pPr>
        <w:spacing w:after="0" w:line="9" w:lineRule="exact"/>
        <w:rPr>
          <w:sz w:val="20"/>
          <w:szCs w:val="20"/>
          <w:color w:val="auto"/>
        </w:rPr>
      </w:pPr>
    </w:p>
    <w:p>
      <w:pPr>
        <w:jc w:val="right"/>
        <w:ind w:right="600"/>
        <w:spacing w:after="0"/>
        <w:rPr>
          <w:sz w:val="20"/>
          <w:szCs w:val="20"/>
          <w:color w:val="auto"/>
        </w:rPr>
      </w:pPr>
      <w:r>
        <w:rPr>
          <w:rFonts w:ascii="Times New Roman" w:cs="Times New Roman" w:eastAsia="Times New Roman" w:hAnsi="Times New Roman"/>
          <w:sz w:val="18"/>
          <w:szCs w:val="18"/>
          <w:color w:val="auto"/>
        </w:rPr>
        <w:t>1,785,929</w:t>
      </w:r>
    </w:p>
    <w:p>
      <w:pPr>
        <w:spacing w:after="0" w:line="9" w:lineRule="exact"/>
        <w:rPr>
          <w:sz w:val="20"/>
          <w:szCs w:val="20"/>
          <w:color w:val="auto"/>
        </w:rPr>
      </w:pPr>
    </w:p>
    <w:p>
      <w:pPr>
        <w:jc w:val="right"/>
        <w:ind w:right="600"/>
        <w:spacing w:after="0"/>
        <w:rPr>
          <w:sz w:val="20"/>
          <w:szCs w:val="20"/>
          <w:color w:val="auto"/>
        </w:rPr>
      </w:pPr>
      <w:r>
        <w:rPr>
          <w:rFonts w:ascii="Times New Roman" w:cs="Times New Roman" w:eastAsia="Times New Roman" w:hAnsi="Times New Roman"/>
          <w:sz w:val="18"/>
          <w:szCs w:val="18"/>
          <w:color w:val="auto"/>
        </w:rPr>
        <w:t>2,345,079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5715</wp:posOffset>
            </wp:positionV>
            <wp:extent cx="11055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0553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130,757,438</w:t>
      </w:r>
    </w:p>
    <w:p>
      <w:pPr>
        <w:spacing w:after="0" w:line="253" w:lineRule="exact"/>
        <w:rPr>
          <w:sz w:val="20"/>
          <w:szCs w:val="20"/>
          <w:color w:val="auto"/>
        </w:rPr>
      </w:pPr>
    </w:p>
    <w:p>
      <w:pPr>
        <w:sectPr>
          <w:pgSz w:w="11900" w:h="16838" w:orient="portrait"/>
          <w:cols w:equalWidth="0" w:num="2">
            <w:col w:w="8960" w:space="720"/>
            <w:col w:w="1500"/>
          </w:cols>
          <w:pgMar w:left="320" w:top="1440" w:right="399" w:bottom="1440" w:gutter="0" w:footer="0" w:header="0"/>
          <w:type w:val="continuous"/>
        </w:sectPr>
      </w:pPr>
    </w:p>
    <w:p>
      <w:pPr>
        <w:spacing w:after="0" w:line="247"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18" w:name="page19"/>
    <w:bookmarkEnd w:id="18"/>
    <w:p>
      <w:pPr>
        <w:spacing w:after="0" w:line="86"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Inputs reflect management’s best estimate of what market participants would use in pricing the asset or liability at the measurement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is given to the risk inherent in the valuation technique and the risk inherent in the inputs to the model.</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Company’s financial assets measured at fair value on a recurring basis by level within the fair value hierarchy: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1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5"/>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0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38"/>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0" w:type="dxa"/>
            <w:vAlign w:val="bottom"/>
          </w:tcPr>
          <w:p>
            <w:pPr>
              <w:spacing w:after="0"/>
              <w:rPr>
                <w:sz w:val="10"/>
                <w:szCs w:val="10"/>
                <w:color w:val="auto"/>
              </w:rPr>
            </w:pPr>
          </w:p>
        </w:tc>
        <w:tc>
          <w:tcPr>
            <w:tcW w:w="104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16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1</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53,465</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53,465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53,465</w:t>
            </w: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400" w:type="dxa"/>
            <w:vAlign w:val="bottom"/>
          </w:tcPr>
          <w:p>
            <w:pPr>
              <w:spacing w:after="0"/>
              <w:rPr>
                <w:sz w:val="24"/>
                <w:szCs w:val="24"/>
                <w:color w:val="auto"/>
              </w:rPr>
            </w:pPr>
          </w:p>
        </w:tc>
        <w:tc>
          <w:tcPr>
            <w:tcW w:w="1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40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38"/>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0" w:type="dxa"/>
            <w:vAlign w:val="bottom"/>
          </w:tcPr>
          <w:p>
            <w:pPr>
              <w:spacing w:after="0"/>
              <w:rPr>
                <w:sz w:val="10"/>
                <w:szCs w:val="10"/>
                <w:color w:val="auto"/>
              </w:rPr>
            </w:pPr>
          </w:p>
        </w:tc>
        <w:tc>
          <w:tcPr>
            <w:tcW w:w="104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16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1</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U.S. treasuries</w:t>
            </w:r>
          </w:p>
        </w:tc>
        <w:tc>
          <w:tcPr>
            <w:tcW w:w="16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1</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49,135</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Government agencies bonds</w:t>
            </w:r>
          </w:p>
        </w:tc>
        <w:tc>
          <w:tcPr>
            <w:tcW w:w="1620" w:type="dxa"/>
            <w:vAlign w:val="bottom"/>
            <w:tcBorders>
              <w:bottom w:val="single" w:sz="8" w:color="CFF0FC"/>
            </w:tcBorders>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2</w:t>
            </w: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58,385</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-170815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-170815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-170815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Money market funds and U.S. treasury securities are classified as Level 1 because they are valued using quoted market prices in active markets for identical assets. Financial instruments classified within Level 2 of the fair value hierarchy are valued based on observable inputs or can be derived from non-binding quotes from the Company’s investment managers, which are based on proprietary valuation models of independent pricing services. These models generally use inputs such as observable market data, quoted market prices for similar instruments, or historical pricing trends of a security relative to its peers.</w:t>
      </w:r>
    </w:p>
    <w:p>
      <w:pPr>
        <w:spacing w:after="0" w:line="7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believes it is more likely than not that its marketable securities in an unrealized loss position will be held until maturity or the recovery of the cost basis of the investment. To date, the Company has not recorded any allowance for credit losses on its investment securities. Based upon its quarterly impairment review, the Company determined that the unrealized losses were not attributed to credit risk but were primarily driven by the broader change in interest rates.</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Company's financial liability measured at fair value on a recurring basis consists of the Remaining Lender Warrant issued in connection with the Loan Agreement (see Note 7,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The fair value of the warrant liability was determined based on significant inputs not observable in the market, which represents a Level 3 measurement within the fair value hierarchy. The Company utilized the Black-Scholes option valuation model to fair value the warrant liability. The fair value is estimated using the Black-Scholes option-pricing model and adjusted for the likelihood of draw downs. The expected term is based on the remaining contractual term of the warrant. The Company estimates its expected stock volatility based on the historical volatility of a set of peer companies, which are publicly traded, and expects to continue to do so until it has adequate historical data regarding the volatility of its own publicly-traded stock price. The risk-free interest rate is determined by reference to the U.S. Treasury yield curve in effect at the time of measurement for time periods approximately equal to the expected term of the Lender Warrant. The Company uses an expected dividend yield of zero based on the fact that the Company has never paid cash dividends and does not expect to pay cash dividends in the foreseeable future. The warrant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8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liability is subject to re-measurement at each balance sheet date, and any change in fair value is recognized as a gain or loss in our statement of operations and comprehensive loss. During the three and nine months ended September 30, 2025, the fair value of the warrant liability and its change were not material.</w:t>
      </w:r>
    </w:p>
    <w:p>
      <w:pPr>
        <w:spacing w:after="0" w:line="6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remaining financial assets and liabilities, which include cash, receivables and payables, approximate their fair values due to their short-term nature.</w:t>
      </w:r>
    </w:p>
    <w:p>
      <w:pPr>
        <w:spacing w:after="0" w:line="158"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and 2024, the Company did not record any income tax expense or benefit. The Company has recorded a full valuation allowance against its U.S. federal and state deferred tax assets as the Company believes it is more likely than not that the benefit will not be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12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Basic and diluted loss per share are computed by dividing net loss by the weighted-average number of common shares outstanding during the reporting period. The following potentially dilutive securities were not included in the calculation of diluted net loss per share as of the periods presented because the effect would have been anti-dilutive:</w:t>
      </w:r>
    </w:p>
    <w:tbl>
      <w:tblPr>
        <w:tblLayout w:type="fixed"/>
        <w:tblInd w:w="74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2220" w:type="dxa"/>
            <w:vAlign w:val="bottom"/>
            <w:tcBorders>
              <w:bottom w:val="single" w:sz="8" w:color="auto"/>
            </w:tcBorders>
            <w:gridSpan w:val="3"/>
          </w:tcPr>
          <w:p>
            <w:pPr>
              <w:ind w:left="1200"/>
              <w:spacing w:after="0" w:line="15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540" w:type="dxa"/>
            <w:vAlign w:val="bottom"/>
            <w:tcBorders>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stock options and restricted stock units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13,986,181</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11,146,572</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Lender Warrant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122,749</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Series A and B Warrants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111,992,500</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Pr>
          <w:p>
            <w:pPr>
              <w:spacing w:after="0"/>
              <w:rPr>
                <w:sz w:val="18"/>
                <w:szCs w:val="18"/>
                <w:color w:val="auto"/>
              </w:rPr>
            </w:pPr>
          </w:p>
        </w:tc>
        <w:tc>
          <w:tcPr>
            <w:tcW w:w="636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126,101,430</w:t>
            </w:r>
          </w:p>
        </w:tc>
        <w:tc>
          <w:tcPr>
            <w:tcW w:w="200" w:type="dxa"/>
            <w:vAlign w:val="bottom"/>
            <w:tcBorders>
              <w:top w:val="single" w:sz="8" w:color="CFF0FC"/>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11,318,420</w:t>
            </w:r>
          </w:p>
        </w:tc>
        <w:tc>
          <w:tcPr>
            <w:tcW w:w="10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-170815</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-170815</wp:posOffset>
            </wp:positionV>
            <wp:extent cx="596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Workforce Reduction</w:t>
      </w:r>
    </w:p>
    <w:p>
      <w:pPr>
        <w:spacing w:after="0" w:line="121" w:lineRule="exact"/>
        <w:rPr>
          <w:sz w:val="20"/>
          <w:szCs w:val="20"/>
          <w:color w:val="auto"/>
        </w:rPr>
      </w:pPr>
    </w:p>
    <w:p>
      <w:pPr>
        <w:ind w:right="140" w:firstLine="509"/>
        <w:spacing w:after="0" w:line="243" w:lineRule="auto"/>
        <w:rPr>
          <w:sz w:val="20"/>
          <w:szCs w:val="20"/>
          <w:color w:val="auto"/>
        </w:rPr>
      </w:pPr>
      <w:r>
        <w:rPr>
          <w:rFonts w:ascii="Times New Roman" w:cs="Times New Roman" w:eastAsia="Times New Roman" w:hAnsi="Times New Roman"/>
          <w:sz w:val="18"/>
          <w:szCs w:val="18"/>
          <w:color w:val="212529"/>
        </w:rPr>
        <w:t>In March 2025, the Company announced cost containment measures, including a committed plan to reduce its workforce (the 2025 Workforce Reduction), in alignment with the Company's focus on generating data from the MyPEAK</w:t>
      </w:r>
      <w:r>
        <w:rPr>
          <w:rFonts w:ascii="Times New Roman" w:cs="Times New Roman" w:eastAsia="Times New Roman" w:hAnsi="Times New Roman"/>
          <w:sz w:val="24"/>
          <w:szCs w:val="24"/>
          <w:color w:val="212529"/>
          <w:vertAlign w:val="superscript"/>
        </w:rPr>
        <w:t>TM</w:t>
      </w:r>
      <w:r>
        <w:rPr>
          <w:rFonts w:ascii="Times New Roman" w:cs="Times New Roman" w:eastAsia="Times New Roman" w:hAnsi="Times New Roman"/>
          <w:sz w:val="18"/>
          <w:szCs w:val="18"/>
          <w:color w:val="212529"/>
        </w:rPr>
        <w:t>-1 and RIDGE</w:t>
      </w:r>
      <w:r>
        <w:rPr>
          <w:rFonts w:ascii="Times New Roman" w:cs="Times New Roman" w:eastAsia="Times New Roman" w:hAnsi="Times New Roman"/>
          <w:sz w:val="24"/>
          <w:szCs w:val="24"/>
          <w:color w:val="212529"/>
          <w:vertAlign w:val="superscript"/>
        </w:rPr>
        <w:t>TM</w:t>
      </w:r>
      <w:r>
        <w:rPr>
          <w:rFonts w:ascii="Times New Roman" w:cs="Times New Roman" w:eastAsia="Times New Roman" w:hAnsi="Times New Roman"/>
          <w:sz w:val="18"/>
          <w:szCs w:val="18"/>
          <w:color w:val="212529"/>
        </w:rPr>
        <w:t>-1 clinical trials of TN-201 and TN-401, respectively. In connection with the 2025 Workforce Reduction, the Company estimated that it would incur approximately $1.6 million to $2.7 million of aggregate charges, primarily related to employee cash severance and continuing health benefits. During the nine months ended September 30, 2025, the Company recognized $1.2 million of the total estimated charges. The Company expects to recognize substantially all of the remaining charges by the end of the first quarter of 2026.</w:t>
      </w:r>
    </w:p>
    <w:p>
      <w:pPr>
        <w:spacing w:after="0" w:line="9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212529"/>
        </w:rPr>
        <w:t>On May 14, 2024, the Company announced cost containment measures, including a committed plan to reduce its workforce (the 2024 Workforce Reduction) by approximately 22%. The cost containment measures align with the Company's focus on generating data from its clinical-stage gene therapy programs. The 2024 Workforce Reduction was completed as of September 30, 2024. During the year ended December 31, 2024, the Company recognized $1.4 million of aggregate charges, primarily related to employee cash severance and continuing health insurance benefits.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Company is a clinical-stage biotechnology company focused on discovering, developing and delivering curative therapies that address the underlying drivers of heart disease and has one operating and reportable segment. The Company’s chief operating decision maker (CODM) is the chief executive officer.</w:t>
      </w:r>
    </w:p>
    <w:p>
      <w:pPr>
        <w:spacing w:after="0" w:line="10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statement of operations includes research and development expenses, general and administrative costs, interest income, and income taxes; the Company has not generated any revenue. In addition to reviewing the expenses in the Company’s statement of operations, the CODM is regularly provided with operating expenses by function. The CODM does not review assets at a different asset level or category than the amounts disclosed in the Company’s balance sheet. The Company’s long-lived assets are located in the United States.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0" w:name="page21"/>
    <w:bookmarkEnd w:id="20"/>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operating expenses by function and includes a reconciliation to net loss.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0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3"/>
                <w:szCs w:val="13"/>
                <w:color w:val="auto"/>
              </w:rPr>
            </w:pPr>
          </w:p>
        </w:tc>
        <w:tc>
          <w:tcPr>
            <w:tcW w:w="248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7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Clinical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20,629</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16,306</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Manufacturing (pre-commercial)</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18,323</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11,087</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12,796</w:t>
            </w:r>
          </w:p>
        </w:tc>
        <w:tc>
          <w:tcPr>
            <w:tcW w:w="100" w:type="dxa"/>
            <w:vAlign w:val="bottom"/>
          </w:tcPr>
          <w:p>
            <w:pPr>
              <w:spacing w:after="0"/>
              <w:rPr>
                <w:sz w:val="18"/>
                <w:szCs w:val="18"/>
                <w:color w:val="auto"/>
              </w:rPr>
            </w:pPr>
          </w:p>
        </w:tc>
      </w:tr>
      <w:tr>
        <w:trPr>
          <w:trHeight w:val="210"/>
        </w:trPr>
        <w:tc>
          <w:tcPr>
            <w:tcW w:w="5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15,363</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53,809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68,054</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6,361</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18,747</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23,242</w:t>
            </w:r>
          </w:p>
        </w:tc>
        <w:tc>
          <w:tcPr>
            <w:tcW w:w="100" w:type="dxa"/>
            <w:vAlign w:val="bottom"/>
          </w:tcPr>
          <w:p>
            <w:pPr>
              <w:spacing w:after="0"/>
              <w:rPr>
                <w:sz w:val="18"/>
                <w:szCs w:val="18"/>
                <w:color w:val="auto"/>
              </w:rPr>
            </w:pPr>
          </w:p>
        </w:tc>
      </w:tr>
      <w:tr>
        <w:trPr>
          <w:trHeight w:val="209"/>
        </w:trPr>
        <w:tc>
          <w:tcPr>
            <w:tcW w:w="5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20,936</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26,711</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72,556</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(20,936)</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(26,711)</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(72,556)</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(91,296)</w:t>
            </w: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income (loss), net</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FF0FC"/>
          </w:tcPr>
          <w:p>
            <w:pPr>
              <w:spacing w:after="0"/>
              <w:rPr>
                <w:sz w:val="18"/>
                <w:szCs w:val="18"/>
                <w:color w:val="auto"/>
              </w:rPr>
            </w:pPr>
          </w:p>
        </w:tc>
      </w:tr>
      <w:tr>
        <w:trPr>
          <w:trHeight w:val="210"/>
        </w:trPr>
        <w:tc>
          <w:tcPr>
            <w:tcW w:w="57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other income, net</w:t>
            </w: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4,003</w:t>
            </w:r>
          </w:p>
        </w:tc>
        <w:tc>
          <w:tcPr>
            <w:tcW w:w="100" w:type="dxa"/>
            <w:vAlign w:val="bottom"/>
            <w:tcBorders>
              <w:top w:val="single" w:sz="8" w:color="CFF0FC"/>
            </w:tcBorders>
          </w:tcPr>
          <w:p>
            <w:pPr>
              <w:spacing w:after="0"/>
              <w:rPr>
                <w:sz w:val="18"/>
                <w:szCs w:val="18"/>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before income tax expense</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(20,275)</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(25,634)</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(70,422)</w:t>
            </w: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(87,293)</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(20,275)</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(25,634)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(70,422)</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(87,293)</w:t>
            </w: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-1156970</wp:posOffset>
            </wp:positionV>
            <wp:extent cx="774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-1156970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-1156970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-599440</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-599440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-599440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condensed financial statements and related notes included elsewhere in this Quarterly Report on Form 10-Q and our audited financial statements and related notes thereto for the year ended December 31, 2024, included in our Annual Report on Form 10-K filed with the Securities and Exchange Commission on March 10, 2025.</w:t>
      </w:r>
    </w:p>
    <w:p>
      <w:pPr>
        <w:spacing w:after="0" w:line="180"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In addition to historical financial information, this discussion and analysis and other parts of this report contain forward-looking statements within the meaning of Section 27A of the Securities Act of 1933, as amended (the Securities Act), and Section 21E of the Securities Exchange Act of 1934, as amended, based upon current expectations that involve risks, uncertainties and assumptions. Our actual results could differ materially from those anticipated in these forward-looking statements as a result of various factors, including those set forth in the section titled “Risk Factors” under Part II, Item 1A. below. You should carefully read the “Risk Factors” to gain an understanding of the factors that could cause actual results to differ materially from our forward-looking statements. Please also see the section titled “Special Note Regarding Forward-Looking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We are a clinical-stage biotechnology company focused on discovering, developing and delivering potentially curative therapies that address the underlying drivers of heart disease. Our vision is to change the treatment paradigm for heart disease, and in doing so improve and extend the lives of millions of patients.</w:t>
      </w:r>
    </w:p>
    <w:p>
      <w:pPr>
        <w:spacing w:after="0" w:line="6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are advancing a deep and diverse modality agnostic pipeline of targeted therapies for heart conditions discovered internally using our extensive target identification and validation and genetic medicine design and manufacturing capabilities. All of our programs are currently in the clinical or preclinical stage; we do not have any products approved for sale and have not generated any revenue to date.</w:t>
      </w:r>
    </w:p>
    <w:p>
      <w:pPr>
        <w:spacing w:after="0" w:line="66"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are primarily focused on development of our lead investigational product candidates, TN-201, a gene therapy for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hypertrophic cardiomyopathy (HCM), and TN-401, a gene therapy for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arrhythmogenic right ventricular cardiomyopathy (ARVC). Each candidate is currently in the clinical testing stage to establish the safety profile of two different doses in adults with disease due to pathogenic/likely pathogenic mutations. We anticipate that data generated in the next year will inform late-stage development by characterizing each candidates’ safety and tolerability profile, ability to transduce target heart cells, and produce the lacking protein underlying disease to slow – or even halt – disease progression. Where our discovery efforts lead to product candidates intended for relatively prevalent indications, such as TN-301, our small molecule histone deacetylase-6 (HDAC6) inhibitor for heart failure with preserved ejection fraction (HFpEF), our strategy is to out-license or partner with third parties.</w:t>
      </w:r>
    </w:p>
    <w:p>
      <w:pPr>
        <w:spacing w:after="0" w:line="75"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color w:val="auto"/>
        </w:rPr>
        <w:t xml:space="preserve">TN-201 is our investigational gene therapy for individuals with HCM due to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gene mutations. These mutations result in a deficiency of myosin binding protein (MyBP-C), which in turn can cause the heart walls of affected individuals to become significantly thickened, leading to fibrosis, abnormal heart rhythms, cardiac dysfunction, heart failure and death. HCM is a chronic, progressive condition and those diagnosed with the disease often experience significant impairment in overall quality of life and may be at higher risk for serious complications and co-morbidities. TN-201 utilizes a recombinant adeno-associated virus serotype 9 (AAV9) capsid and is designed to deliver a working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to specific cells of the heart in order to produce MyBP-C and thereby potentially slow or even reverse the course of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 following a single infusion.</w:t>
      </w:r>
    </w:p>
    <w:p>
      <w:pPr>
        <w:spacing w:after="0" w:line="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7"/>
          <w:szCs w:val="17"/>
          <w:color w:val="auto"/>
        </w:rPr>
        <w:t>MyPEAK</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7"/>
          <w:szCs w:val="17"/>
          <w:color w:val="auto"/>
        </w:rPr>
        <w:t>-1 is our Phase 1b/2a multi-center, open-label clinical trial, designed to assess the safety, tolerability and efficacy of a one-time intravenous infusion of TN-201. Enrollment and dosing in both the 3E13 vg/kg dose (Cohort 1) and 6E13 vg/kg dose (Cohort 2) cohorts are complete. In summer 2025, the independent data safety monitoring board (DSMB) for the MyPEAK-1 trial reviewed all available safety data from the first six patients dosed with TN-201. The DSMB determined that TN-201 had an acceptable safety profile and endorsed proceeding into expansion cohorts at either dose level, per protocol. We have since dosed one additional patient at the 6E13 vg/kg dose level with no new meaningful safety events associated with TN-201.</w:t>
      </w:r>
    </w:p>
    <w:p>
      <w:pPr>
        <w:spacing w:after="0" w:line="7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November 2025, we presented interim data from MyPEAK-1 during the Late-Breaking Science: Main Event session at the American Heart Association’s (AHA) Scientific Sessions 2025. Interim data presented at AHA included safety, biopsy and efficacy results for the three patients enrolled in Cohort 1 with follow-up ranging from Week 52-78, and safety and available assessments for the patients in Cohort 2 who have post-dose assessments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22" w:name="page23"/>
    <w:bookmarkEnd w:id="22"/>
    <w:p>
      <w:pPr>
        <w:spacing w:after="0" w:line="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ranging from Week 12-26 as of the July 2025 data cut off. Patient 5 was lost to further follow-up after week 12. TN-201 was generally well tolerated across both dose cohorts and no dose-limiting toxicities were observed. Reversible, asymptomatic liver enzyme elevations (Grade 1-3) were the most common treatment-related adverse events (AEs) reported. There were two treatment-related AEs classified as serious either due to inpatient administration of steroids or extended monitoring; a Grade 2 transaminase elevation that responded to steroids and a Grade 1 elevation of complement factors that resolved without additional intervention. Adjustments to monitoring and immunosuppression during Cohort 1 resulted in faster tapers and lower cumulative corticosteroid doses in Cohort 2, despite the higher TN-201 dose.</w:t>
      </w:r>
    </w:p>
    <w:p>
      <w:pPr>
        <w:spacing w:after="0" w:line="7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Biopsy data demonstrated that TN-201 transduction and mRNA expression were robust. DNA and RNA analyses of all three patients in Cohort 1 show evidence of sustained presence of TN-201 DNA in the heart and increasing mRNA expression over time. MyBP-C protein levels also increased over time across all patients in both cohorts for whom serial biopsies were available. In Cohort 1 patient protein levels increased by an average of 4% from the first biopsy taken to Week 52. The first evaluable patient in Cohort 2 (Patient 6) demonstrated a clear dose response, and early MyBP-C expression increased by 14% after only 12 weeks post-dose. Of note, Patient 6 had a greater than 2-fold increase in cardiac transduction and expression at Week 12 relative to the averages for these measures observed across Cohort 1.</w:t>
      </w:r>
    </w:p>
    <w:p>
      <w:pPr>
        <w:spacing w:after="0" w:line="79"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7"/>
          <w:szCs w:val="17"/>
          <w:color w:val="auto"/>
        </w:rPr>
        <w:t>All patients with greater than 26 weeks of follow-up demonstrated improvement in at least one parameter of disease, across biomarkers, hypertrophy and heart failure symptoms. Cardiac Troponin I, a predictive risk factor of cardiac AEs such as ventricular arrhythmias, sudden cardiac death, and progression to end-stage heart failure, declined by as much as 74% from baseline, to normal or near-normal levels in all Cohort 1 patients. NT-proBNP, a biomarker of cardiac muscle strain, improved or remained stable in two of three Cohort 1 patients. Cardiac Troponin I remained within the normal range and NT-proBNP remained stable for Patient 4 from Cohort 2 at their Week 26 assessment. All three patients in Cohort 1 now have evidence of significant improvement in one or more measures of hypertrophy at Week 52, with notable reductions in left ventricular posterior wall thickness (LVPWT) of between 21% and 39%. LVPWT for Patient 4 in Cohort 2 was stable at Week 26. Greater LVPWT is an independent risk factor for reduced long-term survival after septal myectomy. Two out of three Cohort 1 patients saw reductions from baseline in left ventricular mass index (LVMI) of between 12% and 22% at Week 52. LVMI for Patient 4 in Cohort 2 was stable at Week 26. NYHA classification, a measure of the impact of heart failure symptoms on activities of daily living, improved in all patients by at least one class by Week 26, and all Cohort 1 patients are now NYHA Class I (asymptomatic). Longer-term follow-up for all patients is required to further inform our understanding of TN-201’s potential as a treatment for MYBPC3-associated HCM.</w:t>
      </w:r>
    </w:p>
    <w:p>
      <w:pPr>
        <w:spacing w:after="0" w:line="7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 xml:space="preserve">Following proactive correspondence with the </w:t>
      </w:r>
      <w:r>
        <w:rPr>
          <w:rFonts w:ascii="Times New Roman" w:cs="Times New Roman" w:eastAsia="Times New Roman" w:hAnsi="Times New Roman"/>
          <w:sz w:val="18"/>
          <w:szCs w:val="18"/>
          <w:color w:val="000000"/>
        </w:rPr>
        <w:t>U.S. Food and Drug Administration (</w:t>
      </w:r>
      <w:r>
        <w:rPr>
          <w:rFonts w:ascii="Times New Roman" w:cs="Times New Roman" w:eastAsia="Times New Roman" w:hAnsi="Times New Roman"/>
          <w:sz w:val="18"/>
          <w:szCs w:val="18"/>
          <w:color w:val="231F20"/>
        </w:rPr>
        <w:t>FDA) relating to future development plans for TN-201, on November 7, 2025, we announced that the FDA placed MyPEAK-1 on clinical hold requesting an amendment to the protocol primarily to standardize activities related to patient monitoring and management of the immunosuppression regimen across trial sites. We are working swiftly and collaboratively with the FDA to resolve the clinical hold and intend to resume dosing once the protocol changes have been implemented at trial sites. We do not expect this action to impact data milestones or development timelines for TN-201</w:t>
      </w:r>
      <w:r>
        <w:rPr>
          <w:rFonts w:ascii="Times New Roman" w:cs="Times New Roman" w:eastAsia="Times New Roman" w:hAnsi="Times New Roman"/>
          <w:sz w:val="18"/>
          <w:szCs w:val="18"/>
          <w:color w:val="000000"/>
        </w:rPr>
        <w:t>.</w:t>
      </w:r>
    </w:p>
    <w:p>
      <w:pPr>
        <w:spacing w:after="0" w:line="7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To support our development efforts for TN-201 we are conducting two noninterventional studies: a study evaluating seroprevalence to AAV9 antibodies among adults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HCM, and MyClimb, a prospective and retrospective global natural history study focused on pediatric patients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mutation-associated cardiomyopathy. The seroprevalence study has completed enrollment. Initial data from the seroprevalence study indicated that antibodies to AAV9 in the majority of participants were below the eligibility threshold that would allow for participation in MyPEAK-</w:t>
      </w:r>
    </w:p>
    <w:p>
      <w:pPr>
        <w:spacing w:after="0" w:line="3" w:lineRule="exact"/>
        <w:rPr>
          <w:sz w:val="20"/>
          <w:szCs w:val="20"/>
          <w:color w:val="auto"/>
        </w:rPr>
      </w:pPr>
    </w:p>
    <w:p>
      <w:pPr>
        <w:ind w:right="100" w:firstLine="8"/>
        <w:spacing w:after="0" w:line="252"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MyClimb natural history study is following patient medical history to characterize the outcomes, burden of illness, risk factors, quality of life, and biomarkers associated with disease progression in pediatric patients. MyClimb complements existing disease registries focused primarily on adult patient HCM populations and may support and expedite the development of TN-201 in the pediatric patient population. Initial data from MyClimb indicated that 93% of participants had the nonobstructive HCM phenotype, for which there are currently no approved treatment options and that genotypic status was a significant predictor of risk. The data also revealed that left ventricular mass index may serve as a surrogate marker for poor long-term outcomes and as an appropriate marker to evaluate the early effectiveness of TN-201’s potential in a future pivotal trial.</w:t>
      </w:r>
    </w:p>
    <w:p>
      <w:pPr>
        <w:spacing w:after="0" w:line="8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FDA has granted TN-201 Fast Track, Orphan Drug and Rare Pediatric Drug Designations. TN-201 has also received orphan medicinal product designation from the European Commission (EC).</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TN-401 is our AAV9-based gene therapy for the treatment of ARVC due to disease-causing variants in the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ARVC, also known as arrhythmogenic cardiomyopathy, or ACM, is a chronic, progressive disease characterized by frequent, severe, and potentially life-threatening ventricular arrhythmias. The disease is associated with adverse heart remodeling, fibrosis, cardiac dysfunction, significant impairment to patients’ overall quality of life, as well as an elevated risk of sudden cardiac death.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mutations are the most common genetic cause of ARVC and result in insufficient expression of a protein needed for proper functioning of the desmosomal complex that maintains physical connections and electrical signaling between heart muscle cells. TN-401 utilizes a recombinant AAV9 capsid and is designed to deliver a working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to specific cells of the heart in order to produce plakophilin protein and thereby potentially slow or even reverse the course of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ARVC following a single infusion.</w:t>
      </w:r>
    </w:p>
    <w:p>
      <w:pPr>
        <w:spacing w:after="0" w:line="83"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7"/>
          <w:szCs w:val="17"/>
          <w:color w:val="auto"/>
        </w:rPr>
        <w:t>RIDGE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7"/>
          <w:szCs w:val="17"/>
          <w:color w:val="auto"/>
        </w:rPr>
        <w:t>-1 is our Phase 1b multi-center, open-label clinical trial, designed to assess the safety, tolerability and efficacy of a one-time intravenous infusion of TN-401. In July 2025, safety data from the first three RIDGE-1 patients dosed at the 3E13 vg/kg dose (Cohort 1) were reviewed by an independent DSMB which endorsed both dose escalation to the 6E13 vg/kg dose cohort (Cohort 2) and expanding enrollment in Cohort 1. Enrollment in Cohort 2 is now complete and we may enroll additional patients at the 3E13 vg/kg dose (Cohort 1). Additional enrollment at the 6E13vg/kg dose (Cohort 2) will be considered following a review of all available safety data by the DSMB. Initial clinical data from Cohort 1 is expected before year end.</w:t>
      </w:r>
    </w:p>
    <w:p>
      <w:pPr>
        <w:spacing w:after="0" w:line="7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February 2025, we were awarded a Clinical Grant (Clin2) of $8.0 million from the California Institute for Regenerative Medicine (CIRM), a state of California Agency that funds regenerative medicine, stem cell, and gene therapy research. Proceeds from the grant will help fund clinical trial costs for our ongoing Phase 1b RIDGE-1 clinical trial of TN-401 gene therapy. RIDGE-1 is being conducted at multiple clinical trial sites with ARVC expertise at leading cardiology centers in the U.S. and United Kingdom.</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support of our development efforts for TN-401, we initiated RIDGE, a global noninterventional study to collect natural history and seroprevalence to AAV9 antibodies data among ARVC patients who carry pathogenic or likely pathogenic PKP2 gene mutations. Interim data from RIDGE, believed to be the largest natural history study of adults with PKP2-associated ARVC was presented at Heart Rhythm Society’s annual meeting in April 2025. Adults with PKP2-associated ARVC experience a high burden of arrhythmias despite treatments with anti-arrhythmic medications, beta blockers and the anti-arrhythmic flecainide, as well as surgical interventions such as ablation and ICD placement. Further, current treatments appeared to do little to halt or prevent progressive structural changes to the heart that occur as a result of PKP2 mutations. A large majority of adults with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ARVC would be eligible to participate in our ongoing Phase 1b RIDGE-1 clinical trial of TN-401 gene therapy based on low levels of antibodies to AAV9.</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TN-401 has received Orphan Drug and Fast Track designation from the FDA and orphan medicinal product designation from the EC.</w:t>
      </w:r>
    </w:p>
    <w:p>
      <w:pPr>
        <w:spacing w:after="0" w:line="117"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TN-301 is our small molecule HDAC6 inhibitor initially discovered and validated as having cardioprotective qualities in preclinical studies of a rapidly worsening mouse model of </w:t>
      </w:r>
      <w:r>
        <w:rPr>
          <w:rFonts w:ascii="Times New Roman" w:cs="Times New Roman" w:eastAsia="Times New Roman" w:hAnsi="Times New Roman"/>
          <w:sz w:val="18"/>
          <w:szCs w:val="18"/>
          <w:i w:val="1"/>
          <w:iCs w:val="1"/>
          <w:color w:val="auto"/>
        </w:rPr>
        <w:t>BAG3</w:t>
      </w:r>
      <w:r>
        <w:rPr>
          <w:rFonts w:ascii="Times New Roman" w:cs="Times New Roman" w:eastAsia="Times New Roman" w:hAnsi="Times New Roman"/>
          <w:sz w:val="18"/>
          <w:szCs w:val="18"/>
          <w:color w:val="auto"/>
        </w:rPr>
        <w:t xml:space="preserve"> mutant dilated cardiomyopathy (DCM). HDAC6 is a cytoplasmic enzyme known to regulate diverse cellular processes. Based on TN-301’s multi-modal mechanism of action, TN-301 may have future potential in a number of cardiometabolic conditions.</w:t>
      </w:r>
    </w:p>
    <w:p>
      <w:pPr>
        <w:spacing w:after="0" w:line="6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Extensive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have shown that TN-301 addresses diverse pathological processes with direct and systemic benefits in models of HFpEF. In comparative studies, selective HDAC6 inhibition as a single agent has been shown to have similar efficacy to empagliflozin, a sodium-glucose cotransporter-2 (SGLT2) inhibitor which is approved for the treatment of HFpEF and co-administration of our HDAC6 inhibition with a SGLT2 inhibitor in a HFpEF mouse model demonstrated additive benefit.</w:t>
      </w:r>
    </w:p>
    <w:p>
      <w:pPr>
        <w:spacing w:after="0" w:line="7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shared positive data from our Phase 1 clinical trial of TN-301 in healthy participants at the 2023 Heart Failure Society of America Annual Scientific Meeting. TN-301 was generally well tolerated across the broad range of doses studied. Pharmacokinetic results showed overall dose proportionality with a half-life supportive of once-daily dosing. Increasing doses and exposures with TN-301 correlated with increased pharmacodynamic effects. There were no changes in histone acetylation with TN-301 underscoring the selectivity of TN-301 for HDAC6 and potentially reducing the risk of off target effects. Taken together, these data support continued development of TN-301 as a potential treatment for patients with HFpEF and other severe diseases - including those outside of cardiology- in which inflammation, fibrosis and metabolic dysregulation may be implicated. We believe late-stage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4" w:name="page25"/>
    <w:bookmarkEnd w:id="24"/>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development of TN-301 for more prevalent indications is best suited for development by or with a well-resourced partner</w:t>
      </w:r>
      <w:r>
        <w:rPr>
          <w:rFonts w:ascii="Times New Roman" w:cs="Times New Roman" w:eastAsia="Times New Roman" w:hAnsi="Times New Roman"/>
          <w:sz w:val="18"/>
          <w:szCs w:val="18"/>
          <w:color w:val="333333"/>
        </w:rPr>
        <w:t>.</w:t>
      </w:r>
    </w:p>
    <w:p>
      <w:pPr>
        <w:spacing w:after="0" w:line="11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 addition to our clinical-stage candidates, we have multiple early-stage programs using various therapeutic approaches, including gene addition, gene editing, gene silencing, and cellular regeneration to address other forms of rare and/or prevalent heart disease.</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Early on in our company history, we invested in differentiated capabilities to enable modality-agnostic target identification and validation, anchored in human genetics and the use of human disease models. That proprietary expertise has directly informed the design, optimization and production of our pipeline. To support our initial focus on gene therapy candidates, we internalized expertise in capsid engineering, novel promoter constructs and manufacturing anchored on the use of AAVs as the method of delivery to the heart with the aim of increasing the safety and efficacy of our product candidates and accelerating early-stage discovery and preclinical optimization across modalities.</w:t>
      </w:r>
    </w:p>
    <w:p>
      <w:pPr>
        <w:spacing w:after="0" w:line="75"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For the production of our lead gene therapy candidates, we maintained complete ownership of process development, analytical development, and quality control and have already produced all necessary clinical trial material needed for our current clinical trials at our Good Manufacturing Practice (cGMP)-certified Genetic Medicines Manufacturing Center in Union City, California.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9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73"/>
        </w:trPr>
        <w:tc>
          <w:tcPr>
            <w:tcW w:w="4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142"/>
        </w:trPr>
        <w:tc>
          <w:tcPr>
            <w:tcW w:w="43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00" w:type="dxa"/>
            <w:vAlign w:val="bottom"/>
          </w:tcPr>
          <w:p>
            <w:pPr>
              <w:spacing w:after="0"/>
              <w:rPr>
                <w:sz w:val="12"/>
                <w:szCs w:val="12"/>
                <w:color w:val="auto"/>
              </w:rPr>
            </w:pPr>
          </w:p>
        </w:tc>
        <w:tc>
          <w:tcPr>
            <w:tcW w:w="96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3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15,363</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20,350</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(4,987)</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5,573</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6,361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(788)</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r>
      <w:tr>
        <w:trPr>
          <w:trHeight w:val="20"/>
        </w:trPr>
        <w:tc>
          <w:tcPr>
            <w:tcW w:w="4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r>
      <w:tr>
        <w:trPr>
          <w:trHeight w:val="21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20,936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26,711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(5,775)</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r>
      <w:tr>
        <w:trPr>
          <w:trHeight w:val="20"/>
        </w:trPr>
        <w:tc>
          <w:tcPr>
            <w:tcW w:w="4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0"/>
        </w:trPr>
        <w:tc>
          <w:tcPr>
            <w:tcW w:w="4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(20,936)</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(26,711)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5,775</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(422)</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(39%)</w:t>
            </w:r>
          </w:p>
        </w:tc>
      </w:tr>
      <w:tr>
        <w:trPr>
          <w:trHeight w:val="216"/>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4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0"/>
        </w:trPr>
        <w:tc>
          <w:tcPr>
            <w:tcW w:w="4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other income, net</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661</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(416)</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(39%)</w:t>
            </w:r>
          </w:p>
        </w:tc>
      </w:tr>
      <w:tr>
        <w:trPr>
          <w:trHeight w:val="20"/>
        </w:trPr>
        <w:tc>
          <w:tcPr>
            <w:tcW w:w="4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r>
      <w:tr>
        <w:trPr>
          <w:trHeight w:val="21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(20,275)</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(25,634)</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5,359</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r>
      <w:tr>
        <w:trPr>
          <w:trHeight w:val="20"/>
        </w:trPr>
        <w:tc>
          <w:tcPr>
            <w:tcW w:w="4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-1019810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-1019810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-1019810</wp:posOffset>
            </wp:positionV>
            <wp:extent cx="596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-170815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-170815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-170815</wp:posOffset>
            </wp:positionV>
            <wp:extent cx="596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account for a significant portion of our operating expenses. Research and development expenses relate primarily to discovery and development of our research programs, product candidates and proprietary platform technology, and are recognized as incurred. Internal research and development costs include, among others, employee-related costs (including salaries, benefits and stock-based compensation for employees engaged in research and development functions), laboratory supplies, other non-capital equipment utilized for in-house research, and allocated overhead costs. External research and development expenses include, among others, fees paid to contract research organizations to execute preclinical studies and clinical trials on our behalf, and consulting fees. We do not allocate our costs by research program, product candidate or proprietary platform technology, as a significant amount of research and development expenses represent internal costs, which are deployed across our programs, product candidates, proprietary platform technology, and other activities.</w:t>
      </w:r>
    </w:p>
    <w:p>
      <w:pPr>
        <w:spacing w:after="0" w:line="84"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expense all research and development costs in the periods in which they are incurred. Costs of certain research and development activities are recognized based on estimates from a number of factors, including an evaluation of the progress of the activities, as well as input from external service providers.</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process of conducting the necessary research to advance through the clinical stages and ultimately obtain regulatory approval is costly and time-consuming, and the successful development of our product candidates is highly uncertain. As a result, we cannot reasonably estimate or know the nature, timing or estimated costs of the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8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efforts that will be necessary to complete the development of, and obtain regulatory approval for, or when and to what extent we will generate revenue from the commercialization and sale of any of our product candidates. The level of our research and development expenses over the next twelve months will be subject to operational decisions made following data generated from our MyPEAK-1 and RIDGE-1 clinical trials.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presented:</w:t>
      </w:r>
    </w:p>
    <w:p>
      <w:pPr>
        <w:spacing w:after="0" w:line="9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73"/>
        </w:trPr>
        <w:tc>
          <w:tcPr>
            <w:tcW w:w="44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42"/>
        </w:trPr>
        <w:tc>
          <w:tcPr>
            <w:tcW w:w="44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2"/>
                <w:szCs w:val="12"/>
                <w:color w:val="auto"/>
              </w:rPr>
            </w:pPr>
          </w:p>
        </w:tc>
        <w:tc>
          <w:tcPr>
            <w:tcW w:w="1360" w:type="dxa"/>
            <w:vAlign w:val="bottom"/>
            <w:tcBorders>
              <w:bottom w:val="single" w:sz="8" w:color="auto"/>
            </w:tcBorders>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4,065</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6,307</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(2,242)</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Research</w:t>
            </w:r>
          </w:p>
        </w:tc>
        <w:tc>
          <w:tcPr>
            <w:tcW w:w="2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3,579</w:t>
            </w:r>
          </w:p>
        </w:tc>
        <w:tc>
          <w:tcPr>
            <w:tcW w:w="4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(1,579)</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(pre-commercial)</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4,107</w:t>
            </w:r>
          </w:p>
        </w:tc>
        <w:tc>
          <w:tcPr>
            <w:tcW w:w="4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5,139</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(1,032)</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(20%)</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3,612</w:t>
            </w:r>
          </w:p>
        </w:tc>
        <w:tc>
          <w:tcPr>
            <w:tcW w:w="4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w:t>
            </w:r>
          </w:p>
        </w:tc>
      </w:tr>
      <w:tr>
        <w:trPr>
          <w:trHeight w:val="20"/>
        </w:trPr>
        <w:tc>
          <w:tcPr>
            <w:tcW w:w="4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29"/>
        </w:trPr>
        <w:tc>
          <w:tcPr>
            <w:tcW w:w="4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15,363</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20,350</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(4,987)</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r>
      <w:tr>
        <w:trPr>
          <w:trHeight w:val="20"/>
        </w:trPr>
        <w:tc>
          <w:tcPr>
            <w:tcW w:w="44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-25400</wp:posOffset>
            </wp:positionV>
            <wp:extent cx="596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596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-25400</wp:posOffset>
            </wp:positionV>
            <wp:extent cx="603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-25400</wp:posOffset>
            </wp:positionV>
            <wp:extent cx="596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596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were $15.4 million and $20.4 million for the three months ended September 30, 2025 and 2024,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year-over-year decrease of $5.0 million, or 25%, was primarily due to:</w:t>
      </w:r>
    </w:p>
    <w:p>
      <w:pPr>
        <w:spacing w:after="0" w:line="99" w:lineRule="exact"/>
        <w:rPr>
          <w:sz w:val="20"/>
          <w:szCs w:val="20"/>
          <w:color w:val="auto"/>
        </w:rPr>
      </w:pPr>
    </w:p>
    <w:p>
      <w:pPr>
        <w:ind w:left="900" w:right="14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$2.2 million in clinical trial related costs primarily driven by a decrease in clinical support costs, including clinical supply chain services and regulatory consulting fees;</w:t>
      </w:r>
    </w:p>
    <w:p>
      <w:pPr>
        <w:spacing w:after="0" w:line="53"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$1.6 million decrease in research expenses, reflecting lower employee-related costs driven by our workforce reductions initiated in March 2025 and May 2024 (together, the Workforce Reductions) and reduced lab supply and service costs; and</w:t>
      </w:r>
    </w:p>
    <w:p>
      <w:pPr>
        <w:spacing w:after="0" w:line="53" w:lineRule="exact"/>
        <w:rPr>
          <w:rFonts w:ascii="Times New Roman" w:cs="Times New Roman" w:eastAsia="Times New Roman" w:hAnsi="Times New Roman"/>
          <w:sz w:val="18"/>
          <w:szCs w:val="18"/>
          <w:color w:val="auto"/>
        </w:rPr>
      </w:pPr>
    </w:p>
    <w:p>
      <w:pPr>
        <w:ind w:left="900" w:right="46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$1.0 million in manufacturing costs reflecting lower employee-related costs driven by the Workforce Reductions and lower facility maintenance fees;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(including salaries, benefits and stock-based compensation for our employees in finance, human resources and other administrative functions), legal fees, professional fees incurred for accounting, audit and tax services, information technology and facility costs not otherwise included in research and development expenses. Legal fees primarily include those related to corporate and intellectual property-related matters.</w:t>
      </w:r>
    </w:p>
    <w:p>
      <w:pPr>
        <w:spacing w:after="0" w:line="72"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will continue to incur legal, accounting, insurance and other expenses in operating our business as a public company, including costs associated with regulatory and compliance activities. As with our research and development, the level of our general and administrative expenses over the next twelve months will be subject to operational decisions made following data generated from our MyPEAK-1 and RIDGE-1 clinical trials.</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$5.6 million and $6.4 million for the three months ended September 30, 2025 and 2024, respectively. The year-over-year decrease of $0.8 million, or 12%, was primarily due to decreases in employee-related costs driven by the Workforce Reductions and lower professional fees.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Interest income primarily consists of interest earned on our cash, cash equivalents and investment balances. Interest income was $0.7 million and $1.1 million for the three months ended September 30, 2025 and 2024, respectively. The year-over-year decrease of $0.4 million was primarily due to lower cash, cash equivalents and investment balances.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Net loss for the three months ended September 30, 2025, was $20.3 million, compared to a net loss of $25.6 million for the three months ended September 30, 2024.</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73"/>
        </w:trPr>
        <w:tc>
          <w:tcPr>
            <w:tcW w:w="48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142"/>
        </w:trPr>
        <w:tc>
          <w:tcPr>
            <w:tcW w:w="48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20" w:type="dxa"/>
            <w:vAlign w:val="bottom"/>
          </w:tcPr>
          <w:p>
            <w:pPr>
              <w:spacing w:after="0"/>
              <w:rPr>
                <w:sz w:val="12"/>
                <w:szCs w:val="12"/>
                <w:color w:val="auto"/>
              </w:rPr>
            </w:pPr>
          </w:p>
        </w:tc>
        <w:tc>
          <w:tcPr>
            <w:tcW w:w="1040" w:type="dxa"/>
            <w:vAlign w:val="bottom"/>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53,809</w:t>
            </w:r>
          </w:p>
        </w:tc>
        <w:tc>
          <w:tcPr>
            <w:tcW w:w="30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68,054</w:t>
            </w:r>
          </w:p>
        </w:tc>
        <w:tc>
          <w:tcPr>
            <w:tcW w:w="18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(14,245)</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18,747</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23,242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(4,495)</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(19%)</w:t>
            </w:r>
          </w:p>
        </w:tc>
      </w:tr>
      <w:tr>
        <w:trPr>
          <w:trHeight w:val="20"/>
        </w:trPr>
        <w:tc>
          <w:tcPr>
            <w:tcW w:w="48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r>
        <w:trPr>
          <w:trHeight w:val="210"/>
        </w:trPr>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72,556</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(18,740)</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r>
      <w:tr>
        <w:trPr>
          <w:trHeight w:val="20"/>
        </w:trPr>
        <w:tc>
          <w:tcPr>
            <w:tcW w:w="48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r>
        <w:trPr>
          <w:trHeight w:val="20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(72,556)</w:t>
            </w:r>
          </w:p>
        </w:tc>
        <w:tc>
          <w:tcPr>
            <w:tcW w:w="5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(91,296)</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18,740</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4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(1,818)</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r>
      <w:tr>
        <w:trPr>
          <w:trHeight w:val="216"/>
        </w:trPr>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(65%)</w:t>
            </w:r>
          </w:p>
        </w:tc>
      </w:tr>
      <w:tr>
        <w:trPr>
          <w:trHeight w:val="20"/>
        </w:trPr>
        <w:tc>
          <w:tcPr>
            <w:tcW w:w="48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r>
        <w:trPr>
          <w:trHeight w:val="210"/>
        </w:trPr>
        <w:tc>
          <w:tcPr>
            <w:tcW w:w="4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other income, net</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(1,869)</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r>
      <w:tr>
        <w:trPr>
          <w:trHeight w:val="20"/>
        </w:trPr>
        <w:tc>
          <w:tcPr>
            <w:tcW w:w="48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r>
        <w:trPr>
          <w:trHeight w:val="20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(70,422)</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(87,293)</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16,871</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(19%)</w:t>
            </w:r>
          </w:p>
        </w:tc>
      </w:tr>
      <w:tr>
        <w:trPr>
          <w:trHeight w:val="20"/>
        </w:trPr>
        <w:tc>
          <w:tcPr>
            <w:tcW w:w="48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-1019810</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-1019810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-1019810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-170815</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-170815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-170815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presented: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73"/>
        </w:trPr>
        <w:tc>
          <w:tcPr>
            <w:tcW w:w="3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142"/>
        </w:trPr>
        <w:tc>
          <w:tcPr>
            <w:tcW w:w="39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9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2"/>
                <w:szCs w:val="12"/>
                <w:color w:val="auto"/>
              </w:rPr>
            </w:pPr>
          </w:p>
        </w:tc>
        <w:tc>
          <w:tcPr>
            <w:tcW w:w="1460" w:type="dxa"/>
            <w:vAlign w:val="bottom"/>
            <w:tcBorders>
              <w:bottom w:val="single" w:sz="8" w:color="auto"/>
            </w:tcBorders>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w:t>
            </w:r>
          </w:p>
        </w:tc>
        <w:tc>
          <w:tcPr>
            <w:tcW w:w="12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15,410</w:t>
            </w:r>
          </w:p>
        </w:tc>
        <w:tc>
          <w:tcPr>
            <w:tcW w:w="80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20,629</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(5,219)</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Research</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13,681</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(2,625)</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(16%)</w:t>
            </w: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(pre-commercial)</w:t>
            </w: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13,631</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18,323</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(4,692)</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(26%)</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11,087</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(1,709)</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r>
      <w:tr>
        <w:trPr>
          <w:trHeight w:val="20"/>
        </w:trPr>
        <w:tc>
          <w:tcPr>
            <w:tcW w:w="3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r>
        <w:trPr>
          <w:trHeight w:val="229"/>
        </w:trPr>
        <w:tc>
          <w:tcPr>
            <w:tcW w:w="3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53,809</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68,054</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(14,245)</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r>
      <w:tr>
        <w:trPr>
          <w:trHeight w:val="20"/>
        </w:trPr>
        <w:tc>
          <w:tcPr>
            <w:tcW w:w="39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-24765</wp:posOffset>
            </wp:positionV>
            <wp:extent cx="768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were $53.8 million and $68.1 million for the nine months ended September 30, 2025 and 2024,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year-over-year decrease of $14.2 million, or 21%, was primarily due to:</w:t>
      </w:r>
    </w:p>
    <w:p>
      <w:pPr>
        <w:spacing w:after="0" w:line="315" w:lineRule="exact"/>
        <w:rPr>
          <w:sz w:val="20"/>
          <w:szCs w:val="20"/>
          <w:color w:val="auto"/>
        </w:rPr>
      </w:pPr>
    </w:p>
    <w:p>
      <w:pPr>
        <w:ind w:left="900" w:right="12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$5.2 million in clinical trial related costs primarily driven by a decrease in clinical support costs, including regulatory consulting fees and lower employee-related costs driven by the Workforce Reductions;</w:t>
      </w:r>
    </w:p>
    <w:p>
      <w:pPr>
        <w:spacing w:after="0" w:line="53" w:lineRule="exact"/>
        <w:rPr>
          <w:rFonts w:ascii="Times New Roman" w:cs="Times New Roman" w:eastAsia="Times New Roman" w:hAnsi="Times New Roman"/>
          <w:sz w:val="18"/>
          <w:szCs w:val="18"/>
          <w:color w:val="auto"/>
        </w:rPr>
      </w:pPr>
    </w:p>
    <w:p>
      <w:pPr>
        <w:ind w:left="900" w:right="46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$4.7 million in manufacturing costs reflecting lower employee-related costs driven by the Workforce Reductions, as well as reduced spending on supplies, materials, and facility maintenance; and</w:t>
      </w:r>
    </w:p>
    <w:p>
      <w:pPr>
        <w:spacing w:after="0" w:line="53" w:lineRule="exact"/>
        <w:rPr>
          <w:rFonts w:ascii="Times New Roman" w:cs="Times New Roman" w:eastAsia="Times New Roman" w:hAnsi="Times New Roman"/>
          <w:sz w:val="18"/>
          <w:szCs w:val="18"/>
          <w:color w:val="auto"/>
        </w:rPr>
      </w:pPr>
    </w:p>
    <w:p>
      <w:pPr>
        <w:ind w:left="900" w:right="44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of $2.6 million research costs and $1.7 million in other research and development costs reflecting lower employee-related costs driven by the Workforce Reductions.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$18.7 million and $23.2 million for the nine months ended September 30, 2025 and 2024, respectively. The year-over-year decrease of $4.5 million, or 19%, was primarily due to decreases in employee-related costs driven by the Workforce Reductions and lower professional fees.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Interest income was $2.1 million and $3.9 million for the nine months ended September 30, 2025 and 2024, respectively. The year-over-year decrease of $1.8 million was primarily due to lower cash, cash equivalents and investment balances.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Net loss for the nine months ended September 30, 2025, was $70.4 million, compared to a net loss of $87.3 million for the nine months ended September 30, 2024.</w:t>
      </w:r>
    </w:p>
    <w:p>
      <w:pPr>
        <w:spacing w:after="0" w:line="158" w:lineRule="exact"/>
        <w:rPr>
          <w:sz w:val="20"/>
          <w:szCs w:val="20"/>
          <w:color w:val="auto"/>
        </w:rPr>
      </w:pPr>
    </w:p>
    <w:p>
      <w:pPr>
        <w:jc w:val="center"/>
        <w:ind w:right="87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jc w:val="center"/>
        <w:ind w:right="87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Since our inception, we have not generated any revenue and we have incurred significant net losses and negative cash flows from operations. From our inception through September 30, 2025, we have funded our operations primarily from the sale and issuance of our equity securities. As of September 30, 2025, we had cash, cash equivalents and investments in marketable securities of $56.3 million and an accumulated deficit of $584.8 million. We believe that savings from the Workforce Reductions and future cost containment initiatives to be taken as necessary, combined with existing cash, cash equivalents and short-term investments as of September 30, 2025, along with the $10.0 million of funds available under our Loan Agreement with Silicon Valley Bank (SVB), and the $1.9 million of proceeds from warrant exercises in October 2025, will be sufficient to fund our operations for at least the next twelve months following the filing of this Quarterly Report on Form 10-Q.</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CIRM Grant</w:t>
      </w:r>
    </w:p>
    <w:p>
      <w:pPr>
        <w:spacing w:after="0" w:line="121"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In February 2025, we announced we were awarded an $8 million grant from the CIRM to support RIDGE-1. The award is payable to us upon achievement of certain clinical milestones. Additionally, if CIRM determines, in its sole discretion, that we have not complied with the terms and conditions of the grant, CIRM may suspend or permanently cease disbursements. Funds received under this grant may only be used for allowable project costs specifically identified with the CIRM-funded project. Such costs can include, but are not limited to, salary for personnel, itemized supplies, consultants, and itemized clinical study costs. Under the terms of the grant, we will co-fund the research project with CIRM and the amount of our co-funding requirement is predetermined as a part of the award. For the nine months ended September 30, 2025, the Company recognized $1.5 million in connection with the grant.</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Loan Agreement</w:t>
      </w:r>
    </w:p>
    <w:p>
      <w:pPr>
        <w:spacing w:after="0" w:line="121" w:lineRule="exact"/>
        <w:rPr>
          <w:sz w:val="20"/>
          <w:szCs w:val="20"/>
          <w:color w:val="auto"/>
        </w:rPr>
      </w:pPr>
    </w:p>
    <w:p>
      <w:pPr>
        <w:ind w:right="100" w:firstLine="509"/>
        <w:spacing w:after="0" w:line="312" w:lineRule="auto"/>
        <w:rPr>
          <w:sz w:val="20"/>
          <w:szCs w:val="20"/>
          <w:color w:val="auto"/>
        </w:rPr>
      </w:pPr>
      <w:r>
        <w:rPr>
          <w:rFonts w:ascii="Times New Roman" w:cs="Times New Roman" w:eastAsia="Times New Roman" w:hAnsi="Times New Roman"/>
          <w:sz w:val="17"/>
          <w:szCs w:val="17"/>
          <w:color w:val="212529"/>
        </w:rPr>
        <w:t xml:space="preserve">On August 6, 2024, we entered into a </w:t>
      </w:r>
      <w:r>
        <w:rPr>
          <w:rFonts w:ascii="Times New Roman" w:cs="Times New Roman" w:eastAsia="Times New Roman" w:hAnsi="Times New Roman"/>
          <w:sz w:val="17"/>
          <w:szCs w:val="17"/>
          <w:color w:val="000000"/>
        </w:rPr>
        <w:t>Loan Agreement with SVB</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As of September 30, 2025, u</w:t>
      </w:r>
      <w:r>
        <w:rPr>
          <w:rFonts w:ascii="Times New Roman" w:cs="Times New Roman" w:eastAsia="Times New Roman" w:hAnsi="Times New Roman"/>
          <w:sz w:val="17"/>
          <w:szCs w:val="17"/>
          <w:color w:val="212529"/>
        </w:rPr>
        <w:t>nder the Loan Agreement, we have the right to draw down $10.0 million at our discretion</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212529"/>
        </w:rPr>
        <w:t xml:space="preserve"> and up to an additional $20.0 million that may be available at SVB’s discretion, subject to specified conditions.</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Follow-on Offering</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On March 5, 2025, we completed an underwritten offering of 75,000,000 units, priced at a public offering price of $0.70 per unit, with each unit consisting of one share of our common stock, a warrant to purchase one share of our common stock at an exercise price of $0.80 per share, which will be immediately exercisable and will expire five years from the date of issuance (a Series A Warrant) and a warrant to purchase one-half of a share of our common stock at an exercise price of $0.70 per share, which will be immediately exercisable and expire on June 30, 2026 (a Series B Warrant), under our registration statement on Form S-3 (File No. 333-266741). We received net proceeds of approximately $48.8 million, after deducting underwriting discounts and commissions of approximately $3.2 million and other offering expenses of approximately $0.5 million.</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February 12, 2024, we completed an underwritten offering of 8,888,890 shares of our common stock at a price of $4.50 per share and, to an investor in lieu of common stock, pre-funded warrants to purchase 2,222,271 shares of our common stock at a price of $4.499 per pre-funded warrant under our registration statement on Form S-3 (File No. 333-266741). We received net proceeds of approximately $46.8 million, after deducting underwriting discounts and commissions of approximately $3.0 million and other offering expenses of approximately $0.2 million. As of December 31, 2024, all pre-funded warrants have been exercised for an exercise price of $0.001 per share.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Offering</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 August 10, 2022, we entered into a sales agreement (the Sales Agreement) with Leerink Partners LLC to establish an “at-the-market” (ATM) offering defined in Rule 415 under the Securities Act. Pursuant to the Sales Agreement, the Company is permitted to offer and sell, from time to time, shares of its common stock having a maximum aggregate offering price of up to $75.0 million. In January 2025, we sold 822,566 shares of our common stock under the ATM offering for net proceeds of $0.9 million, after deducting commissions and offering costs of $0.3 million. As of September 30, 2025, the Company may issue and sell up to approximately $69.8 million of common stock under the ATM offering.</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that we will continue to incur operating losses over the foreseeable future. Our operating expenses may increase in the future, if and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w:t>
      </w:r>
    </w:p>
    <w:p>
      <w:pPr>
        <w:spacing w:after="0" w:line="99"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our lead gene therapy product candidates, TN-201 and TN-401;</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scope of our existing clinical trials and transition into late-stage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of any of our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commercial-scale manufacturing capabilities;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information systems and personnel to support our future product development and commercialization efforts;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research programs and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for any additional product candidates we identify;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future product candidates into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develop, expand, enforce, defend and protect our intellectual property portfolio;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order to complete the development of our product candidates and commercialize our product candidates, if approved, we will require substantial additional funding. Until such time as we can generate significant revenue from sales of our product candidates, if ever, we expect to finance our operations through public or private equity offerings, debt financings or other capital sources, which may include strategic collaborations or other arrangements with third parties, or other sources of financing. We may not be able to raise additional capital on terms acceptable to us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strategic collaborations, partnerships and other similar arrangements with third parties, we may be required to grant rights to develop and market product candidates that we would otherwise prefer to develop and market ourselves. If we are unable to raise additional capital on acceptable terms when needed, our business, results of operations, and financial condition would be adversely affected.</w:t>
      </w:r>
    </w:p>
    <w:p>
      <w:pPr>
        <w:spacing w:after="0" w:line="8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Our ability to raise additional funds may be adversely impacted by global economic conditions or disruptions to, and volatility in, the credit and financial markets in the United States and worldwide. If we fail to obtain necessary capital when needed on acceptable terms, or at all, it could force us to delay, limit, reduce or terminate our product development programs, future commercialization efforts or other operations. Because of the numerous risks and uncertainties associated with research, product development and commercialization of product candidates, we are unable to predict the timing or amount of our working capital requirements or when or if we will be able to achieve or maintain profitability.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presented:</w:t>
      </w:r>
    </w:p>
    <w:p>
      <w:pPr>
        <w:spacing w:after="0" w:line="111"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616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520" w:type="dxa"/>
        <w:tblCellMar>
          <w:top w:w="0" w:type="dxa"/>
          <w:left w:w="0" w:type="dxa"/>
          <w:bottom w:w="0" w:type="dxa"/>
          <w:right w:w="0" w:type="dxa"/>
        </w:tblCellMar>
      </w:tblPr>
      <w:tr>
        <w:trPr>
          <w:trHeight w:val="142"/>
        </w:trPr>
        <w:tc>
          <w:tcPr>
            <w:tcW w:w="5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6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5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20" w:type="dxa"/>
            <w:vAlign w:val="bottom"/>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0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activities</w:t>
            </w:r>
          </w:p>
        </w:tc>
        <w:tc>
          <w:tcPr>
            <w:tcW w:w="2200" w:type="dxa"/>
            <w:vAlign w:val="bottom"/>
            <w:gridSpan w:val="2"/>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(54,324)</w:t>
            </w:r>
          </w:p>
        </w:tc>
        <w:tc>
          <w:tcPr>
            <w:tcW w:w="6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(72,113)</w:t>
            </w:r>
          </w:p>
        </w:tc>
      </w:tr>
      <w:tr>
        <w:trPr>
          <w:trHeight w:val="216"/>
        </w:trPr>
        <w:tc>
          <w:tcPr>
            <w:tcW w:w="5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Investing activities</w:t>
            </w:r>
          </w:p>
        </w:tc>
        <w:tc>
          <w:tcPr>
            <w:tcW w:w="10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56,150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(12,972)</w:t>
            </w:r>
          </w:p>
        </w:tc>
      </w:tr>
      <w:tr>
        <w:trPr>
          <w:trHeight w:val="216"/>
        </w:trPr>
        <w:tc>
          <w:tcPr>
            <w:tcW w:w="5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Financing activities</w:t>
            </w:r>
          </w:p>
        </w:tc>
        <w:tc>
          <w:tcPr>
            <w:tcW w:w="10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47,372</w:t>
            </w:r>
          </w:p>
        </w:tc>
        <w:tc>
          <w:tcPr>
            <w:tcW w:w="100" w:type="dxa"/>
            <w:vAlign w:val="bottom"/>
          </w:tcPr>
          <w:p>
            <w:pPr>
              <w:spacing w:after="0"/>
              <w:rPr>
                <w:sz w:val="18"/>
                <w:szCs w:val="18"/>
                <w:color w:val="auto"/>
              </w:rPr>
            </w:pPr>
          </w:p>
        </w:tc>
      </w:tr>
      <w:tr>
        <w:trPr>
          <w:trHeight w:val="229"/>
        </w:trPr>
        <w:tc>
          <w:tcPr>
            <w:tcW w:w="5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20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51,989</w:t>
            </w:r>
          </w:p>
        </w:tc>
        <w:tc>
          <w:tcPr>
            <w:tcW w:w="1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(37,713)</w:t>
            </w: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-25400</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603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-25400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-8255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2025 was $54.3 million, which consisted primarily of a net loss of $70.4 million and a net change in operating assets and liabilities of $3.3 million, partially offset by $18.6 million in non-cash charges. The change in net operating assets and liabilities was primarily due to a decrease in accounts payable and accrued expenses and other current liabilities of $2.6 million. Cash flows from operations are generally impacted by the timing of payments to vendors and vendor payment terms. The non-cash charges primarily consisted of stock-based compensation of $10.3 million and depreciation and amortization of $6.6 million.</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2024 was $72.1 million, which consisted primarily of a net loss of $87.3 million and a net change in operating assets and liabilities of $6.9 million, partially offset by $21.0 million in non-cash charges. The change in net operating assets and liabilities was primarily due to a decrease in accounts payable and accrued expenses and other current liabilities of $5.3 million and a decrease in operating lease liabilities of $3.2 million, partially offset by a decrease of prepaid expenses and other current assets of $1.0 million. Cash flows from operations are generally impacted by the timing of payments to vendors and vendor payment terms. The non-cash charges primarily consisted of stock-based compensation of $12.7 million and depreciation and amortization of $6.4 million.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September 30, 2025 was $56.2 million, which consisted primarily of proceeds from maturities of marketable securities of $45.7 million and sales of marketable securities of $11.0 million.</w:t>
      </w:r>
    </w:p>
    <w:p>
      <w:pPr>
        <w:spacing w:after="0" w:line="5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2024 was $13.0 million, which consisted primarily of purchases of marketable securities of $85.1 million, partially offset by proceeds from maturities of marketable securities of $72.9 million.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2025 was $50.2 million, which primarily consisted of net proceeds from our March 2025 follow-on offering of $48.8 million.</w:t>
      </w:r>
    </w:p>
    <w:p>
      <w:pPr>
        <w:spacing w:after="0" w:line="54"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2024 was $47.4 million, which primarily consisted of net proceeds from our February 2024 follow-on offering of $46.8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contractual obligations and commitments previously disclosed in our Annual Report on Form 10-K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Since inception, we have not engaged in any off-balance sheet arrangements as defined in the rules and regulations of the SEC.</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0" w:name="page31"/>
    <w:bookmarkEnd w:id="3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A summary of our critical accounting policies and estimates is presented in Part II, Item 7 of our Annual Report on Form 10-K for the year ended December 31, 2024. There were no material changes to our critical accounting policies and estimates during the three and nine months ended September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jc w:val="both"/>
        <w:ind w:right="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unaudited interim condensed financial statements for more information about recent accounting pronouncements, the timing of their adoption, and our assessment, to the extent we have made one yet, of their potential impact on our financial condition of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We will remain an emerging growth company until the earliest to occur of: (i) the last day of the fiscal year in which we have more than $1.235 billion in annual revenue; (ii) the date we qualify as a “large accelerated filer,” with at least $700 million of equity securities held by non-affiliates; (iii) the date on which we have issued more than $1.0 billion in non-convertible debt securities during the prior three-year period; and (iv) December 31, 2026.</w:t>
      </w:r>
    </w:p>
    <w:p>
      <w:pPr>
        <w:spacing w:after="0" w:line="72"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(i) are no longer an emerging growth company and (ii) affirmatively and irrevocably opt out of the extended transition period provided by the JOBS Act. As a result, our financial statements may not be comparable to companies that comply with new or revised accounting pronouncements as of public company effective dates.</w:t>
      </w:r>
    </w:p>
    <w:p>
      <w:pPr>
        <w:spacing w:after="0" w:line="7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company’s smaller reporting companies have reduced disclosure obligations regarding executive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231F20"/>
        </w:rPr>
        <w:t>We are a smaller reporting company, as defined by Rule 12b-2 under the Securities and Exchange Act of 1934 and in Item 10(f)(1) of Regulation S-K, and are not required to provide the information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who is also serving as our interim Principal Financial Officer, has evaluated our disclosure controls and procedures (as defined in Rules 13a-15(e) and 15d-15(e) under the Securities Exchange Act of 1934, as amended (the Exchange Act) as of the end of the period covered by this Quarterly Report on Form 10-Q. Based on that evaluation, our Chief Executive Officer and interim Principal Financial Officer has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interim Principal Financial Officer, to allow timely decisions regarding required disclosure.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the quarter ended September 30, 2025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Inherent Limitations on Effectiveness of Controls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various legal proceedings that arise in the ordinary course of our business. We are not currently a party to any litigation or legal proceedings that are likely to have a material adverse effect on our business. Regardless of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500" w:firstLine="509"/>
        <w:spacing w:after="0" w:line="258" w:lineRule="auto"/>
        <w:rPr>
          <w:sz w:val="20"/>
          <w:szCs w:val="20"/>
          <w:color w:val="auto"/>
        </w:rPr>
      </w:pPr>
      <w:r>
        <w:rPr>
          <w:rFonts w:ascii="Times New Roman" w:cs="Times New Roman" w:eastAsia="Times New Roman" w:hAnsi="Times New Roman"/>
          <w:sz w:val="18"/>
          <w:szCs w:val="18"/>
          <w:i w:val="1"/>
          <w:iCs w:val="1"/>
          <w:color w:val="231F20"/>
        </w:rPr>
        <w:t>Investing in our common stock involves a high degree of risk. You should carefully consider the risks described below, as well as the other information in this quarterly report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 Factors Summary</w:t>
      </w:r>
    </w:p>
    <w:p>
      <w:pPr>
        <w:spacing w:after="0" w:line="119" w:lineRule="exact"/>
        <w:rPr>
          <w:sz w:val="20"/>
          <w:szCs w:val="20"/>
          <w:color w:val="auto"/>
        </w:rPr>
      </w:pPr>
    </w:p>
    <w:p>
      <w:pPr>
        <w:ind w:right="260" w:firstLine="494"/>
        <w:spacing w:after="0" w:line="284" w:lineRule="auto"/>
        <w:rPr>
          <w:sz w:val="20"/>
          <w:szCs w:val="20"/>
          <w:color w:val="auto"/>
        </w:rPr>
      </w:pPr>
      <w:r>
        <w:rPr>
          <w:rFonts w:ascii="Times New Roman" w:cs="Times New Roman" w:eastAsia="Times New Roman" w:hAnsi="Times New Roman"/>
          <w:sz w:val="18"/>
          <w:szCs w:val="18"/>
          <w:i w:val="1"/>
          <w:iCs w:val="1"/>
          <w:color w:val="auto"/>
        </w:rPr>
        <w:t>Our ability to execute on our business strategy is subject to a number of risks and uncertainties, including those outside of our control, that could cause our actual results to be harmed, including risks regarding the following:</w:t>
      </w:r>
    </w:p>
    <w:p>
      <w:pPr>
        <w:spacing w:after="0" w:line="52" w:lineRule="exact"/>
        <w:rPr>
          <w:sz w:val="20"/>
          <w:szCs w:val="20"/>
          <w:color w:val="auto"/>
        </w:rPr>
      </w:pPr>
    </w:p>
    <w:p>
      <w:pPr>
        <w:ind w:left="1020" w:right="280" w:hanging="503"/>
        <w:spacing w:after="0" w:line="282" w:lineRule="auto"/>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are early in our development efforts, with a limited operating history, and have no products approved for commercial sale, which may make it difficult for you to evaluate our current business and likelihood of success and future viability.</w:t>
      </w:r>
    </w:p>
    <w:p>
      <w:pPr>
        <w:spacing w:after="0" w:line="53" w:lineRule="exact"/>
        <w:rPr>
          <w:rFonts w:ascii="Times New Roman" w:cs="Times New Roman" w:eastAsia="Times New Roman" w:hAnsi="Times New Roman"/>
          <w:sz w:val="18"/>
          <w:szCs w:val="18"/>
          <w:color w:val="231F20"/>
        </w:rPr>
      </w:pPr>
    </w:p>
    <w:p>
      <w:pPr>
        <w:ind w:left="1020" w:right="180" w:hanging="503"/>
        <w:spacing w:after="0" w:line="282" w:lineRule="auto"/>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have not generated any product revenue to date, have incurred significant net losses since our inception, and expect to continue to incur significant net losses for the foreseeable future.</w:t>
      </w:r>
    </w:p>
    <w:p>
      <w:pPr>
        <w:spacing w:after="0" w:line="53" w:lineRule="exact"/>
        <w:rPr>
          <w:rFonts w:ascii="Times New Roman" w:cs="Times New Roman" w:eastAsia="Times New Roman" w:hAnsi="Times New Roman"/>
          <w:sz w:val="18"/>
          <w:szCs w:val="18"/>
          <w:color w:val="231F20"/>
        </w:rPr>
      </w:pPr>
    </w:p>
    <w:p>
      <w:pPr>
        <w:ind w:left="1020" w:right="420" w:hanging="503"/>
        <w:spacing w:after="0" w:line="282" w:lineRule="auto"/>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generate revenue and achieve profitability depends significantly on our ability to achieve several objectives relating to the discovery, development and commercialization of our product candidates, if approved.</w:t>
      </w:r>
    </w:p>
    <w:p>
      <w:pPr>
        <w:spacing w:after="0" w:line="53" w:lineRule="exact"/>
        <w:rPr>
          <w:rFonts w:ascii="Times New Roman" w:cs="Times New Roman" w:eastAsia="Times New Roman" w:hAnsi="Times New Roman"/>
          <w:sz w:val="18"/>
          <w:szCs w:val="18"/>
          <w:color w:val="231F20"/>
        </w:rPr>
      </w:pPr>
    </w:p>
    <w:p>
      <w:pPr>
        <w:ind w:left="1020" w:right="140" w:hanging="503"/>
        <w:spacing w:after="0" w:line="261" w:lineRule="auto"/>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require substantial additional capital to finance our operations, which if available, may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p>
    <w:p>
      <w:pPr>
        <w:spacing w:after="0" w:line="71" w:lineRule="exact"/>
        <w:rPr>
          <w:rFonts w:ascii="Times New Roman" w:cs="Times New Roman" w:eastAsia="Times New Roman" w:hAnsi="Times New Roman"/>
          <w:sz w:val="18"/>
          <w:szCs w:val="18"/>
          <w:color w:val="231F20"/>
        </w:rPr>
      </w:pPr>
    </w:p>
    <w:p>
      <w:pPr>
        <w:ind w:left="1020" w:right="100" w:hanging="503"/>
        <w:spacing w:after="0" w:line="282" w:lineRule="auto"/>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Our loan agreement with Silicon Valley Bank (SVB), </w:t>
      </w:r>
      <w:r>
        <w:rPr>
          <w:rFonts w:ascii="Times New Roman" w:cs="Times New Roman" w:eastAsia="Times New Roman" w:hAnsi="Times New Roman"/>
          <w:sz w:val="18"/>
          <w:szCs w:val="18"/>
          <w:color w:val="000000"/>
        </w:rPr>
        <w:t>a division of First-Citizens Bank &amp; Trust Company (the Loan Agreement),</w:t>
      </w:r>
      <w:r>
        <w:rPr>
          <w:rFonts w:ascii="Times New Roman" w:cs="Times New Roman" w:eastAsia="Times New Roman" w:hAnsi="Times New Roman"/>
          <w:sz w:val="18"/>
          <w:szCs w:val="18"/>
          <w:color w:val="231F20"/>
        </w:rPr>
        <w:t xml:space="preserve"> requires us to comply with specified operating covenants and places restrictions on our operating and financial flexibility.</w:t>
      </w:r>
    </w:p>
    <w:p>
      <w:pPr>
        <w:spacing w:after="0" w:line="53" w:lineRule="exact"/>
        <w:rPr>
          <w:rFonts w:ascii="Times New Roman" w:cs="Times New Roman" w:eastAsia="Times New Roman" w:hAnsi="Times New Roman"/>
          <w:sz w:val="18"/>
          <w:szCs w:val="18"/>
          <w:color w:val="231F20"/>
        </w:rPr>
      </w:pPr>
    </w:p>
    <w:p>
      <w:pPr>
        <w:jc w:val="both"/>
        <w:ind w:left="1020" w:right="240" w:hanging="503"/>
        <w:spacing w:after="0" w:line="266" w:lineRule="auto"/>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67" w:lineRule="exact"/>
        <w:rPr>
          <w:rFonts w:ascii="Times New Roman" w:cs="Times New Roman" w:eastAsia="Times New Roman" w:hAnsi="Times New Roman"/>
          <w:sz w:val="18"/>
          <w:szCs w:val="18"/>
          <w:color w:val="231F20"/>
        </w:rPr>
      </w:pPr>
    </w:p>
    <w:p>
      <w:pPr>
        <w:ind w:left="1020" w:hanging="503"/>
        <w:spacing w:after="0" w:line="266" w:lineRule="auto"/>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67" w:lineRule="exact"/>
        <w:rPr>
          <w:rFonts w:ascii="Times New Roman" w:cs="Times New Roman" w:eastAsia="Times New Roman" w:hAnsi="Times New Roman"/>
          <w:sz w:val="18"/>
          <w:szCs w:val="18"/>
          <w:color w:val="231F20"/>
        </w:rPr>
      </w:pPr>
    </w:p>
    <w:p>
      <w:pPr>
        <w:ind w:left="1020" w:right="460" w:hanging="503"/>
        <w:spacing w:after="0" w:line="282" w:lineRule="auto"/>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mechanisms of action of our product candidates are unproven, and we do not know whether we will be able to develop any drug of commercial value.</w:t>
      </w:r>
    </w:p>
    <w:p>
      <w:pPr>
        <w:spacing w:after="0" w:line="53" w:lineRule="exact"/>
        <w:rPr>
          <w:rFonts w:ascii="Times New Roman" w:cs="Times New Roman" w:eastAsia="Times New Roman" w:hAnsi="Times New Roman"/>
          <w:sz w:val="18"/>
          <w:szCs w:val="18"/>
          <w:color w:val="231F20"/>
        </w:rPr>
      </w:pPr>
    </w:p>
    <w:p>
      <w:pPr>
        <w:ind w:left="1020" w:right="440" w:hanging="503"/>
        <w:spacing w:after="0" w:line="282" w:lineRule="auto"/>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Drug development involves a lengthy and expensive process with an uncertain outcome. The preclinical studies, clinical trials and post-marketing studies of our product candidates may not demonstrate safety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spacing w:after="0" w:line="86" w:lineRule="exact"/>
        <w:rPr>
          <w:sz w:val="20"/>
          <w:szCs w:val="20"/>
          <w:color w:val="auto"/>
        </w:rPr>
      </w:pPr>
    </w:p>
    <w:p>
      <w:pPr>
        <w:ind w:left="1020" w:right="120"/>
        <w:spacing w:after="0" w:line="261" w:lineRule="auto"/>
        <w:rPr>
          <w:sz w:val="20"/>
          <w:szCs w:val="20"/>
          <w:color w:val="auto"/>
        </w:rPr>
      </w:pPr>
      <w:r>
        <w:rPr>
          <w:rFonts w:ascii="Times New Roman" w:cs="Times New Roman" w:eastAsia="Times New Roman" w:hAnsi="Times New Roman"/>
          <w:sz w:val="18"/>
          <w:szCs w:val="18"/>
          <w:color w:val="231F20"/>
        </w:rPr>
        <w:t>and efficacy to the satisfaction of the FDA, European Medicines Agency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72" w:lineRule="exact"/>
        <w:rPr>
          <w:sz w:val="20"/>
          <w:szCs w:val="20"/>
          <w:color w:val="auto"/>
        </w:rPr>
      </w:pPr>
    </w:p>
    <w:p>
      <w:pPr>
        <w:ind w:left="1020" w:right="20" w:hanging="503"/>
        <w:spacing w:after="0" w:line="261"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spacing w:after="0" w:line="71" w:lineRule="exact"/>
        <w:rPr>
          <w:rFonts w:ascii="Times New Roman" w:cs="Times New Roman" w:eastAsia="Times New Roman" w:hAnsi="Times New Roman"/>
          <w:sz w:val="18"/>
          <w:szCs w:val="18"/>
          <w:color w:val="231F20"/>
        </w:rPr>
      </w:pPr>
    </w:p>
    <w:p>
      <w:pPr>
        <w:jc w:val="both"/>
        <w:ind w:left="1020" w:right="60" w:hanging="503"/>
        <w:spacing w:after="0" w:line="261"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71" w:lineRule="exact"/>
        <w:rPr>
          <w:rFonts w:ascii="Times New Roman" w:cs="Times New Roman" w:eastAsia="Times New Roman" w:hAnsi="Times New Roman"/>
          <w:sz w:val="18"/>
          <w:szCs w:val="18"/>
          <w:color w:val="231F20"/>
        </w:rPr>
      </w:pPr>
    </w:p>
    <w:p>
      <w:pPr>
        <w:ind w:left="1020" w:right="120" w:hanging="503"/>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Due to our limited manufacturing experience, there can be no assurance that we will be able to successfully manufacture product candidates to support our clinical development and commercialization plans.</w:t>
      </w:r>
    </w:p>
    <w:p>
      <w:pPr>
        <w:spacing w:after="0" w:line="53" w:lineRule="exact"/>
        <w:rPr>
          <w:rFonts w:ascii="Times New Roman" w:cs="Times New Roman" w:eastAsia="Times New Roman" w:hAnsi="Times New Roman"/>
          <w:sz w:val="18"/>
          <w:szCs w:val="18"/>
          <w:color w:val="231F20"/>
        </w:rPr>
      </w:pPr>
    </w:p>
    <w:p>
      <w:pPr>
        <w:jc w:val="both"/>
        <w:ind w:left="1020" w:right="200" w:hanging="503"/>
        <w:spacing w:after="0" w:line="266"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67" w:lineRule="exact"/>
        <w:rPr>
          <w:rFonts w:ascii="Times New Roman" w:cs="Times New Roman" w:eastAsia="Times New Roman" w:hAnsi="Times New Roman"/>
          <w:sz w:val="18"/>
          <w:szCs w:val="18"/>
          <w:color w:val="231F20"/>
        </w:rPr>
      </w:pPr>
    </w:p>
    <w:p>
      <w:pPr>
        <w:ind w:left="1020" w:right="20" w:hanging="503"/>
        <w:spacing w:after="0" w:line="266"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67" w:lineRule="exact"/>
        <w:rPr>
          <w:rFonts w:ascii="Times New Roman" w:cs="Times New Roman" w:eastAsia="Times New Roman" w:hAnsi="Times New Roman"/>
          <w:sz w:val="18"/>
          <w:szCs w:val="18"/>
          <w:color w:val="231F20"/>
        </w:rPr>
      </w:pPr>
    </w:p>
    <w:p>
      <w:pPr>
        <w:ind w:left="1020" w:right="520" w:hanging="503"/>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commercial success depends significantly on our ability to operate without infringing, misappropriating or otherwise violating the patents and other intellectual property and proprietary rights of third parties.</w:t>
      </w:r>
    </w:p>
    <w:p>
      <w:pPr>
        <w:spacing w:after="0" w:line="53" w:lineRule="exact"/>
        <w:rPr>
          <w:rFonts w:ascii="Times New Roman" w:cs="Times New Roman" w:eastAsia="Times New Roman" w:hAnsi="Times New Roman"/>
          <w:sz w:val="18"/>
          <w:szCs w:val="18"/>
          <w:color w:val="231F20"/>
        </w:rPr>
      </w:pPr>
    </w:p>
    <w:p>
      <w:pPr>
        <w:jc w:val="both"/>
        <w:ind w:left="1020" w:right="100" w:hanging="503"/>
        <w:spacing w:after="0" w:line="266"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spacing w:after="0" w:line="67" w:lineRule="exact"/>
        <w:rPr>
          <w:rFonts w:ascii="Times New Roman" w:cs="Times New Roman" w:eastAsia="Times New Roman" w:hAnsi="Times New Roman"/>
          <w:sz w:val="18"/>
          <w:szCs w:val="18"/>
          <w:color w:val="231F20"/>
        </w:rPr>
      </w:pPr>
    </w:p>
    <w:p>
      <w:pPr>
        <w:jc w:val="both"/>
        <w:ind w:left="1020" w:right="200" w:hanging="503"/>
        <w:spacing w:after="0" w:line="266"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If we do not regain compliance with or continue to satisfy the Nasdaq continued listing requirements, our common stock could be delisted from Nasdaq. Our ability to publicly or privately sell equity securities and the liquidity of our common stock could be adversely affected if our common stock is delisted.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Financial Position, Need for Additional Capital and Limited Operating History</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early in our development efforts, with a limited operating history and have no products approved for commercial sale, which may make it difficult for you to evaluate our current business and likelihood of success and future viability.</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We have limited experience conducting clinical trials, have no products approved for commercial sale and have not generated any revenue. We are developing therapies that address the underlying drivers of heart disease, which is an unproven and highly uncertain undertaking and involves a substantial degree of risk. Since our inception, we have devoted substantially all of our focus and financial resources to identifying and developing product candidates, conducting preclinical studies and clinical trials, developing our internal capabilities, acquiring technology, organizing and recruiting management and technical staff, business planning, establishing our intellectual property portfolio, raising capital, and providing general and administrative support for these operations.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We have not yet demonstrated our ability to successfully complete any late-stage clinical trials, obtain marketing approvals, manufacture a late stage clinical- or commercial-scale product or arrange for a third party to do so on our behalf, or conduct sales and marketing activities necessary for successful product commercialization. As a result, it may be more difficult for investors to accurately predict our likelihood of success and viability than it would be if we had a longer operating history.</w:t>
      </w:r>
    </w:p>
    <w:p>
      <w:pPr>
        <w:spacing w:after="0" w:line="7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In addition, we may encounter unforeseen expenses, difficulties, complications, delays and other known and unknown factors and risks frequently experienced by early-stage biotechnology companies in rapidly evolving fields. We also may need to transition from a company with a research and development focus to a company capable of supporting commercial activities. If we do not adequately address these risks and difficulties or successfully make such a transition, our business will suffer.</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not generated any product revenue to date, have incurred significant net losses since our inception, and expect to continue to incur significant net losses for the foreseeable future.</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231F20"/>
        </w:rPr>
        <w:t>We have incurred significant net losses since our inception, have not generated any product revenue to date and have financed our operations principally through issuances of our stock. As of September 30, 2025, we had an accumulated deficit of $584.8 million. Substantially all of our losses have resulted from expenses incurred in connection with our research and development programs, manufacturing activities and from general and administrative costs associated with our operations. Our product candidates will require substantial additional development time and resources before we will be able to apply for regulatory approvals and, if approved, begin generating revenue from product sales. As a result, we expect that it will be several years, if ever, before we receive approval to commercialize a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84" w:lineRule="exact"/>
        <w:rPr>
          <w:sz w:val="20"/>
          <w:szCs w:val="20"/>
          <w:color w:val="auto"/>
        </w:rPr>
      </w:pPr>
    </w:p>
    <w:p>
      <w:pPr>
        <w:ind w:right="40" w:firstLine="509"/>
        <w:spacing w:after="0" w:line="274" w:lineRule="auto"/>
        <w:rPr>
          <w:sz w:val="20"/>
          <w:szCs w:val="20"/>
          <w:color w:val="auto"/>
        </w:rPr>
      </w:pPr>
      <w:r>
        <w:rPr>
          <w:rFonts w:ascii="Times New Roman" w:cs="Times New Roman" w:eastAsia="Times New Roman" w:hAnsi="Times New Roman"/>
          <w:sz w:val="17"/>
          <w:szCs w:val="17"/>
          <w:color w:val="231F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particularly since we expect our expenses to increase if and when our product candidates progress through late-stage clinical development, where costs may increase significantly.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16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ability to generate revenue and achieve profitability depends significantly on our ability to achieve several objectives relating to the discovery, development and commercialization of our product candidates, if approved.</w:t>
      </w:r>
    </w:p>
    <w:p>
      <w:pPr>
        <w:spacing w:after="0" w:line="5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231F20"/>
        </w:rPr>
        <w:t>Our business depends on the successful research, development, manufacturing, regulatory approval and commercialization of product candidates that we discover. Our ability to generate revenue and achieve profitability depends significantly on our ability, or any future collaborator’s ability, to achieve several objectives, including:</w:t>
      </w:r>
    </w:p>
    <w:p>
      <w:pPr>
        <w:spacing w:after="0" w:line="68" w:lineRule="exact"/>
        <w:rPr>
          <w:sz w:val="20"/>
          <w:szCs w:val="20"/>
          <w:color w:val="auto"/>
        </w:rPr>
      </w:pPr>
    </w:p>
    <w:p>
      <w:pPr>
        <w:ind w:left="1020" w:right="160" w:hanging="503"/>
        <w:spacing w:after="0" w:line="282"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 and timely completion of preclinical and clinical development of product candidates and programs, including, but not limited to, generating sufficient data to support the initiation or continuation of clinical trials;</w:t>
      </w:r>
    </w:p>
    <w:p>
      <w:pPr>
        <w:spacing w:after="0" w:line="53" w:lineRule="exact"/>
        <w:rPr>
          <w:rFonts w:ascii="Times New Roman" w:cs="Times New Roman" w:eastAsia="Times New Roman" w:hAnsi="Times New Roman"/>
          <w:sz w:val="18"/>
          <w:szCs w:val="18"/>
          <w:color w:val="231F20"/>
        </w:rPr>
      </w:pPr>
    </w:p>
    <w:p>
      <w:pPr>
        <w:ind w:left="1020" w:right="100" w:hanging="503"/>
        <w:spacing w:after="0" w:line="282"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submission of INDs or other regulatory applications for our planned clinical trials, obtaining regulatory approval to commence clinical trials of our product candidates, and achieving favorable results from clinical trials;</w:t>
      </w:r>
    </w:p>
    <w:p>
      <w:pPr>
        <w:spacing w:after="0" w:line="53" w:lineRule="exact"/>
        <w:rPr>
          <w:rFonts w:ascii="Times New Roman" w:cs="Times New Roman" w:eastAsia="Times New Roman" w:hAnsi="Times New Roman"/>
          <w:sz w:val="18"/>
          <w:szCs w:val="18"/>
          <w:color w:val="231F20"/>
        </w:rPr>
      </w:pPr>
    </w:p>
    <w:p>
      <w:pPr>
        <w:ind w:left="1020" w:right="120" w:hanging="503"/>
        <w:spacing w:after="0" w:line="282"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and maintaining relationships with contract research organizations (CROs) and clinical sites for the clinical development of our product candidates;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initiation and successful patient enrollment and completion of clinical trials on a timely basis;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acceptable frequency and severity of adverse events in the clinical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efficacy and safety profiles that are satisfactory to the FDA or any comparable foreign regulatory authority for marketing approval;</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86" w:lineRule="exact"/>
        <w:rPr>
          <w:sz w:val="20"/>
          <w:szCs w:val="20"/>
          <w:color w:val="auto"/>
        </w:rPr>
      </w:pPr>
    </w:p>
    <w:p>
      <w:pPr>
        <w:ind w:left="1020" w:right="16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timely receipt of marketing approvals from applicable regulatory authorities for any product candidates for which we successfully complete clinical development;</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complying with any required post-marketing approval commitments to applicable regulatory authorities;</w:t>
      </w:r>
    </w:p>
    <w:p>
      <w:pPr>
        <w:spacing w:after="0" w:line="117" w:lineRule="exact"/>
        <w:rPr>
          <w:rFonts w:ascii="Times New Roman" w:cs="Times New Roman" w:eastAsia="Times New Roman" w:hAnsi="Times New Roman"/>
          <w:sz w:val="18"/>
          <w:szCs w:val="18"/>
          <w:color w:val="231F20"/>
        </w:rPr>
      </w:pPr>
    </w:p>
    <w:p>
      <w:pPr>
        <w:ind w:left="1020" w:right="8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operating a manufacturing facility and developing an efficient and scalable manufacturing process for our product candidates, and the timely manufacture of sufficient quantities of a product candidate for use in clinical trials and, if approved, commercialization;</w:t>
      </w:r>
    </w:p>
    <w:p>
      <w:pPr>
        <w:spacing w:after="0" w:line="53" w:lineRule="exact"/>
        <w:rPr>
          <w:rFonts w:ascii="Times New Roman" w:cs="Times New Roman" w:eastAsia="Times New Roman" w:hAnsi="Times New Roman"/>
          <w:sz w:val="18"/>
          <w:szCs w:val="18"/>
          <w:color w:val="231F20"/>
        </w:rPr>
      </w:pPr>
    </w:p>
    <w:p>
      <w:pPr>
        <w:ind w:left="1020" w:right="240" w:hanging="503"/>
        <w:spacing w:after="0" w:line="266"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67" w:lineRule="exact"/>
        <w:rPr>
          <w:rFonts w:ascii="Times New Roman" w:cs="Times New Roman" w:eastAsia="Times New Roman" w:hAnsi="Times New Roman"/>
          <w:sz w:val="18"/>
          <w:szCs w:val="18"/>
          <w:color w:val="231F20"/>
        </w:rPr>
      </w:pPr>
    </w:p>
    <w:p>
      <w:pPr>
        <w:ind w:left="1020" w:right="40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 commercial launch following any marketing approval, including the development of a commercial infrastructure, whether in-house or with one or more collaborators;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 outputs from our capsid engineering and promoter and regulatory elements efforts;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continued acceptable safety profile following any marketing approval of our product candidates;</w:t>
      </w:r>
    </w:p>
    <w:p>
      <w:pPr>
        <w:spacing w:after="0" w:line="117" w:lineRule="exact"/>
        <w:rPr>
          <w:rFonts w:ascii="Times New Roman" w:cs="Times New Roman" w:eastAsia="Times New Roman" w:hAnsi="Times New Roman"/>
          <w:sz w:val="18"/>
          <w:szCs w:val="18"/>
          <w:color w:val="231F20"/>
        </w:rPr>
      </w:pPr>
    </w:p>
    <w:p>
      <w:pPr>
        <w:ind w:left="1020" w:right="24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market-size, ability to identify patients and the demographics of patients eligible for our product candidates, which may be different than expected;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commercial acceptance of our product candidates by patients, the medical community and third-party payors;</w:t>
      </w:r>
    </w:p>
    <w:p>
      <w:pPr>
        <w:spacing w:after="0" w:line="117" w:lineRule="exact"/>
        <w:rPr>
          <w:rFonts w:ascii="Times New Roman" w:cs="Times New Roman" w:eastAsia="Times New Roman" w:hAnsi="Times New Roman"/>
          <w:sz w:val="18"/>
          <w:szCs w:val="18"/>
          <w:color w:val="231F20"/>
        </w:rPr>
      </w:pPr>
    </w:p>
    <w:p>
      <w:pPr>
        <w:ind w:left="1020" w:right="34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distribute our products to certain segments of the patient population only accessible through restricted or closed distribution channels;</w:t>
      </w:r>
    </w:p>
    <w:p>
      <w:pPr>
        <w:spacing w:after="0" w:line="53" w:lineRule="exact"/>
        <w:rPr>
          <w:rFonts w:ascii="Times New Roman" w:cs="Times New Roman" w:eastAsia="Times New Roman" w:hAnsi="Times New Roman"/>
          <w:sz w:val="18"/>
          <w:szCs w:val="18"/>
          <w:color w:val="231F20"/>
        </w:rPr>
      </w:pPr>
    </w:p>
    <w:p>
      <w:pPr>
        <w:ind w:left="1020" w:right="4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satisfying any required post-marketing approval commitments to applicable regulatory authorities, and maintaining consistent quality, purity, and potency across clinical supplies and commercial supplies for any approved products;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identifying, assessing and developing new product candidates, and our ability to expand into multiple indications;</w:t>
      </w:r>
    </w:p>
    <w:p>
      <w:pPr>
        <w:spacing w:after="0" w:line="117" w:lineRule="exact"/>
        <w:rPr>
          <w:rFonts w:ascii="Times New Roman" w:cs="Times New Roman" w:eastAsia="Times New Roman" w:hAnsi="Times New Roman"/>
          <w:sz w:val="18"/>
          <w:szCs w:val="18"/>
          <w:color w:val="231F20"/>
        </w:rPr>
      </w:pPr>
    </w:p>
    <w:p>
      <w:pPr>
        <w:ind w:left="1020" w:right="30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maintaining, and expanding patent and other intellectual property protection, trade secret protection and regulatory exclusivity, both in the U.S. and internationally;</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protecting and enforcing our rights in our intellectual property portfolio;</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defending against third-party infringement, misappropriation, or other claims, if any;</w:t>
      </w:r>
    </w:p>
    <w:p>
      <w:pPr>
        <w:spacing w:after="0" w:line="117" w:lineRule="exact"/>
        <w:rPr>
          <w:rFonts w:ascii="Times New Roman" w:cs="Times New Roman" w:eastAsia="Times New Roman" w:hAnsi="Times New Roman"/>
          <w:sz w:val="18"/>
          <w:szCs w:val="18"/>
          <w:color w:val="231F20"/>
        </w:rPr>
      </w:pPr>
    </w:p>
    <w:p>
      <w:pPr>
        <w:ind w:left="1020" w:right="80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entering into, on favorable terms, any collaboration, licensing or other arrangements that may be necessary or desirable to develop, manufacture or commercialize our product candidates and to meet our obligations set forth under such arrangements;</w:t>
      </w:r>
    </w:p>
    <w:p>
      <w:pPr>
        <w:spacing w:after="0" w:line="53"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coverage and adequate reimbursement by third-party payors for our products and patients’ willingness to pay in the absence of such coverage and adequate reimbursement;</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additional funding to develop, manufacture and commercialize our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addressing any competing therapies and technological and market developments;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managing costs, including any unforeseen costs, that we may incur as a result of nonclinical study or clinical trial delays;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attracting, hiring and retaining qualified and key personnel including clinical, scientific, management and administrative personnel.</w:t>
      </w:r>
    </w:p>
    <w:p>
      <w:pPr>
        <w:spacing w:after="0" w:line="117"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231F20"/>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would decrease our value and could impair our ability to maintain or further our research and development efforts, raise additional necessary capital, grow our business and continue our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8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cost containment initiative, including our committed plan to reduce our workforce, may not result in the anticipated savings and could result in total costs and expenses that are greater than expected and could disrupt our business.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March 27, 2025, in alignment with our focus on generating data from our MyPEAK-1 and RIDGE-1 clinical trials of TN-201 and TN-401, respectively, we announced cost containment measures, including the 2025 Workforce Reduction. We expect to incur approximately $1.6 to $2.7 million of aggregate charges, primarily related to employee cash severance and continuing health benefits. During the nine months ended September 30, 2025, we recognized $1.2 million of the total estimated charges. We expect to recognize substantially all of the remaining charges by the end of the first quarter of 2026.</w:t>
      </w:r>
    </w:p>
    <w:p>
      <w:pPr>
        <w:spacing w:after="0" w:line="7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cost containment initiative, including the 2025 Workforce Reduction, may be disruptive to our operations. For example, the 2025 Workforce Reduction could yield unanticipated consequences, such as attrition beyond planned staff reductions, the loss of institutional knowledge and expertise, increased difficulties in our day-to-day operations, reduced employee morale and diversion of our management and employee attention from other business priorities. The 2025 Workforce Reduction could also harm our ability to attract and retain qualified personnel who are critical to our business, make it difficult for us to pursue new opportunities and initiatives and require us to hire qualified replacement personnel. We also may be required to take additional cost-saving measures in the future, including those involving personnel, and we may incur severance and other related costs.</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If we experience excessive unanticipated inefficiencies or incremental costs in connection with the 2025 Workforce Reduction, we may be unable to meaningfully realize cost savings and we may incur expenses in excess of what we anticipate. If we are unable to realize the anticipated benefits from the 2025 Workforce Reduction and our other cost-saving measures, or if we experience significant adverse consequences from these measures, it could prevent us from meeting our strategic objectives and could adversely impact our results of operations and financial condition.</w:t>
      </w:r>
    </w:p>
    <w:p>
      <w:pPr>
        <w:spacing w:after="0" w:line="176"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7"/>
          <w:szCs w:val="17"/>
          <w:b w:val="1"/>
          <w:bCs w:val="1"/>
          <w:i w:val="1"/>
          <w:iCs w:val="1"/>
          <w:color w:val="231F20"/>
        </w:rPr>
        <w:t>We require substantial additional capital to finance our operations, which, if available, may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p>
    <w:p>
      <w:pPr>
        <w:spacing w:after="0" w:line="4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the near- and long-term in connection with our ongoing activities, particularly as we initiate and conduct clinical trials of, and seek marketing approval for, our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EMA or other regulatory agencies to perform clinical trials or preclinical studies in addition to those that we currently anticipate. Other unanticipated costs may also arise. Because the design and outcome of our planned preclinical studies and clinical trials are highly uncertain, we cannot reasonably estimate the actual amount of resources and funding that will be necessary to successfully complete the development and commercialization of any product candidate we develop. We also expect to incur costs associated with operating as a public company. Accordingly, we will need to obtain substantial additional funding in order to continue our operations.</w:t>
      </w:r>
    </w:p>
    <w:p>
      <w:pPr>
        <w:spacing w:after="0" w:line="8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As of September 30, 2025, we had $56.3 million in cash, cash equivalents and investments in marketable securities.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preclinical development programs, platforms, manufacturing activities, ongoing or planned clinical trials or future commercialization efforts.</w:t>
      </w:r>
    </w:p>
    <w:p>
      <w:pPr>
        <w:spacing w:after="0" w:line="7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231F20"/>
        </w:rPr>
        <w:t>To the extent that we raise additional capital through the sale of equity or convertible debt securities, your ownership interest will be diluted, and the terms may include liquidation or other preferences that adversely affect your rights as a stockholder. Debt financing and preferred equity financing, if available, may involve agreements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231F20"/>
        </w:rPr>
        <w:t>that include covenants limiting or restricting our ability to take specific actions, such as incurring additional debt, maintaining certain leverage ratios, making acquisitions, engaging in acquisition, merger or collaboration transactions, selling or licensing our assets, making capital expenditures, redeeming our stock, making certain investments, declaring dividends or encumbering our assets to secure future indebtedness. Such restrictions, including those in our Loan Agreement, could adversely impact our ability to conduct our operations and execute our business plan.</w:t>
      </w:r>
    </w:p>
    <w:p>
      <w:pPr>
        <w:spacing w:after="0" w:line="7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231F20"/>
        </w:rPr>
        <w:t>If we raise additional funds through upfront payments or milestone payments pursuant to strategic collaborations, strategic alliances or marketing, distribution or licensing arrangements with third parties, we may have to relinquish valuable rights to our technologies or intellectual property, future revenue streams, research programs or product candidates or grant licenses on terms that may not be favorable to us. If we are unable to raise additional funds through equity or debt financings, we may be required to delay, limit, reduce or terminate our product development or future commercialization efforts or grant rights to develop and market product candidates that we would otherwise prefer to develop and market ourselves</w:t>
      </w:r>
      <w:r>
        <w:rPr>
          <w:rFonts w:ascii="Times New Roman" w:cs="Times New Roman" w:eastAsia="Times New Roman" w:hAnsi="Times New Roman"/>
          <w:sz w:val="18"/>
          <w:szCs w:val="18"/>
          <w:color w:val="000000"/>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 Agreement requires us to comply with specified operating covenants and places restrictions on our operating and financial flexibility.</w:t>
      </w:r>
    </w:p>
    <w:p>
      <w:pPr>
        <w:spacing w:after="0" w:line="121" w:lineRule="exact"/>
        <w:rPr>
          <w:sz w:val="20"/>
          <w:szCs w:val="20"/>
          <w:color w:val="auto"/>
        </w:rPr>
      </w:pPr>
    </w:p>
    <w:p>
      <w:pPr>
        <w:ind w:right="20" w:firstLine="509"/>
        <w:spacing w:after="0" w:line="274" w:lineRule="auto"/>
        <w:rPr>
          <w:sz w:val="20"/>
          <w:szCs w:val="20"/>
          <w:color w:val="auto"/>
        </w:rPr>
      </w:pPr>
      <w:r>
        <w:rPr>
          <w:rFonts w:ascii="Times New Roman" w:cs="Times New Roman" w:eastAsia="Times New Roman" w:hAnsi="Times New Roman"/>
          <w:sz w:val="17"/>
          <w:szCs w:val="17"/>
          <w:color w:val="auto"/>
        </w:rPr>
        <w:t>As of the filing date of this periodic report, under our Loan Agreement, we have the right to draw down $10.0 million at our discretion, and up to an additional $20.0 million may be made available to us at the lender’s sole discretion. Our ability to draw down an additional tranche of $20.0 million is subject to agreement on the terms and conditions thereof and SVB’s sole discretion. As security for our obligations under the Loan Agreement, we granted SVB a first priority security interest on substantially all of our assets (other than intellectual property), subject to certain exceptions. We intend to satisfy our future debt service obligations with our existing cash and cash equivalents. However, we may not have sufficient funds or may be unable to arrange for additional financing to pay the amounts due under our outstanding debt. Funds from external sources may not be available on acceptable terms, if at all.</w:t>
      </w:r>
    </w:p>
    <w:p>
      <w:pPr>
        <w:spacing w:after="0" w:line="65"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Loan Agreement contains customary representations and warranties, events of default and affirmative and negative covenants, including covenants that limit or restrict our ability to, among other things, dispose of assets, make changes to our business, merge or consolidate, incur additional indebtedness, incur additional liens, pay dividends or other distributions or repurchase equity, make investments, and enter into certain transactions with affiliates, in each case subject to certain exceptions. These restrictive covenants could limit our flexibility in operating our business and our ability to pursue business opportunities that we or our stockholders may consider beneficial. In addition, a failure to comply with the conditions of our Loan Agreement, including a breach of any covenant, could limit our ability to draw upon available tranches or result in an event of default and an acceleration of any outstanding loans thereunder.</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event of an acceleration of amounts due under our Loan Agreement as a result of an event of default, including upon the occurrence of an event or circumstance that could be expected to have a material adverse effect on our business, operations, properties, assets or financial condition or a failure to pay any principal or interest due, we may not have sufficient funds or may be unable to arrange for additional financing to repay our indebtedness or to make any accelerated payments, and SVB could seek to enforce security interests in the collateral securing such indebtedness. Even if we are able to repay such accelerated debt amount under the Loan Agreement, the repayment of these sums may significantly reduce our working capital and impair our ability to operate as planned. As such, any declaration by SVB of an event of default could significantly harm our business and prospects and could cause the price of our common stock to decline. Further, if we are liquidated, SVB’s rights to repayment under the Loan Agreement would be senior to the rights of the holders of our common stock to receive any proceeds from the liquidation.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ability to utilize our net operating loss carryforwards and certain other tax attributes to offset future taxable income may be limited.</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Our net operating loss (NOL) carryforwards may be unavailable to offset future taxable income because of restrictions on their use under U.S. tax law. In addition, under Sections 382 and 383 of the Internal Revenue Code of 1986, as amended,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8" w:name="page39"/>
    <w:bookmarkEnd w:id="38"/>
    <w:p>
      <w:pPr>
        <w:spacing w:after="0" w:line="8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231F20"/>
        </w:rPr>
        <w:t>post-change taxable income may be limited. Similar rules may apply under state tax laws. We have experienced such ownership changes in the past, and we may experience ownership changes in the future as a result of subsequent shifts in our stock ownership, some of which are outside our control. In addition, the use of our NOLs and other tax attributes may be subject to other limitations under applicable law. For example, California has recently enacted a temporary suspension on the use of state NOLs in taxable years beginning in 2024, 2025 and 2026, which would adversely affect our company if we earn taxable income in the impacted tax years. Consequently, our ability to use our NOLs and certain other tax attributes may be limited.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the Discovery, Development, Manufacturing and Commercialization of Our Product Candidates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6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231F20"/>
        </w:rPr>
        <w:t>Before we are able to generate any revenue from product sales, each of our programs and product candidates will require additional preclinical and/or clinical development, expansion of manufacturing capabilities and expertise, regulatory approval, building a commercial organization or successfully outsourcing commercialization, substantial investment and significant marketing efforts. Consequently, because of the substantial operational and financial investment required to further develop and commercialize our product candidates, there is a high risk of failure and we may never succeed in developing marketable products.</w:t>
      </w:r>
    </w:p>
    <w:p>
      <w:pPr>
        <w:spacing w:after="0" w:line="7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231F20"/>
        </w:rPr>
        <w:t>If we are unable to optimize our manufacturing processes to produce product candidates that meet applicable regulatory standards, do not successfully initiate and complete our clinical trials in a timely manner or fail to achieve favorable results from our trials, we may experience significant delays or be unable to advance our programs. We cannot be certain that our clinical trials will be initiated and completed on time, if at all, or whether our planned clinical strategy will be acceptable to the FDA or comparable foreign regulatory authorities. Furthermore, any changes to our development programs may cause our product candidates to perform differently and affect the results of planned clinical trials, which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There is a high failure rate for biopharmaceutical products proceeding through clinical trials. It is not uncommon for product candidates to exhibit unforeseen safety issues or inadequate efficacy when tested in humans despite promising results in preclinical animal models or earlier clinical studies. In addition, a number of companies in the pharmaceutical and biotechnology industries have suffered significant setbacks in later stage clinical trials even after achieving promising results in earlier stage clinical trials and we may experience the same. We may also encounter regulatory delays or rejections as a result of many factors, including varying interpretations of data or changes in regulatory policy during the period of product development.</w:t>
      </w:r>
    </w:p>
    <w:p>
      <w:pPr>
        <w:spacing w:after="0" w:line="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231F20"/>
        </w:rPr>
        <w:t>Because of the early stage of development of our programs, our ability to eventually generate significant revenues from our product candidates, which we do not expect will occur for several years, if ever, will depend on a number of factors, including those described in the Risk Factor entitled “</w:t>
      </w:r>
      <w:r>
        <w:rPr>
          <w:rFonts w:ascii="Times New Roman" w:cs="Times New Roman" w:eastAsia="Times New Roman" w:hAnsi="Times New Roman"/>
          <w:sz w:val="18"/>
          <w:szCs w:val="18"/>
          <w:i w:val="1"/>
          <w:iCs w:val="1"/>
          <w:color w:val="231F20"/>
        </w:rPr>
        <w:t>Our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ability to generate revenue and achieve profitability depends significantly on our ability to achieve several objectives relating to the discovery, development and commercialization of our product candidates, if approved</w:t>
      </w:r>
      <w:r>
        <w:rPr>
          <w:rFonts w:ascii="Times New Roman" w:cs="Times New Roman" w:eastAsia="Times New Roman" w:hAnsi="Times New Roman"/>
          <w:sz w:val="18"/>
          <w:szCs w:val="18"/>
          <w:color w:val="231F20"/>
        </w:rPr>
        <w:t>.”</w:t>
      </w:r>
    </w:p>
    <w:p>
      <w:pPr>
        <w:spacing w:after="0" w:line="7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231F20"/>
        </w:rPr>
        <w:t>We do not have control over many of these factors, including certain aspects of the manufacturing process, preclinical and clinical development, the regulatory review process and potential threats to our intellectual property rights. If we are not successful with respect to one or more of these factors, we could experience significant delays or an inability to successfully commercialize our product candidates, which would materially harm our business.</w:t>
      </w:r>
    </w:p>
    <w:p>
      <w:pPr>
        <w:spacing w:after="0" w:line="68"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231F20"/>
        </w:rPr>
        <w:t>To become and remain profitable, we must develop, obtain approval for and eventually commercialize product candidates that generate significant revenue. We do not expect to receive approval of any product candidates for many years and may never succeed in these activities. Even if we obtain approval and begin commercializing one or more of our product candidates, we may never generate revenue that is significant enough to achieve profitability, as we will continue to incur substantial research and development, manufacturing and other expenditures to develop and market additional product candidates. Even if we successfully discover and advance product candidates into clinical development, their success will be subject to all of the clinical, regulatory and commercial risks described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8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231F20"/>
        </w:rPr>
        <w:t>elsewhere in this “Risk Factors” section. Accordingly, we cannot assure you that we will ever be able to discover, develop, obtain regulatory approval of, manufacture, commercialize or generate significant revenue from any product candidates.</w:t>
      </w:r>
    </w:p>
    <w:p>
      <w:pPr>
        <w:spacing w:after="0" w:line="158"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6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231F20"/>
        </w:rPr>
        <w:t>We intend to discover, develop, manufacture, and commercialize gene therapy product candidates for the heart. Our product candidates may use both known capsids, such as AAV9, as well as proprietary capsids developed in-house through our own capsid engineering efforts or licensed from third parties. Furthermore, our product candidates may also use novel heart-specific promoters and we may explore different routes-of-administration involving infusion- or injection-based catheters to support targeted delivery and efficient uptake of gene therapies for the heart. We are also establishing proprietary manufacturing processes for our product candidates. Our future success depends on the successful development of these novel therapeutic approaches.</w:t>
      </w:r>
    </w:p>
    <w:p>
      <w:pPr>
        <w:spacing w:after="0" w:line="7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231F20"/>
        </w:rPr>
        <w:t>Within the broader genetic medicine field, very few therapeutic products, including those that utilize AAV-mediated gene transfer, have received marketing authorization from the FDA, EMA or comparable foreign regulatory authorities. No AAV-based gene therapies have yet been approved for the heart, much less therapies for the heart using novel capsids or promoters or delivery methods. It is therefore difficult to determine how long it will take, how much it will cost, or how likely it will be to obtain regulatory approvals for our product candidates in the U.S., EU or other jurisdictions.</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The regulatory requirements that will govern any novel gene therapy product candidate we develop are not entirely clear, have changed over time and are subject to further change. Even with respect to more established products that fit into the categories of gene therapies or cell therapies, the regulatory landscape is still developing. Changes in the regulatory authorities’ data requirements and risk mitigation methods, including requirements resulting from safety concerns raised by regulatory authorities in clinical programs of unrelated companies in the gene therapy and cardiovascular fields in general, could have a material impact on our clinical development, increase our costs, and delay or preclude regulatory approval of our product candidates. Moreover, there is substantial overlap in those responsible for regulation of existing gene therapy products and cell therapy products. For example, in the U.S., the FDA has established the Office of Tissues and Advanced Therapies within its Center for Biologics Evaluation and Research (CBER) to consolidate the review of gene therapy and related products, and the Cellular, Tissue and Gene Therapies Advisory Committee to advise CBER on its review.</w:t>
      </w:r>
    </w:p>
    <w:p>
      <w:pPr>
        <w:spacing w:after="0" w:line="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Our product candidates will need to meet safety and efficacy standards applicable to any new biologic under the regulatory framework administered by the FDA. In addition to FDA oversight and oversight by investigational review boards (IRBs), under guidelines promulgated by the National Institutes of Health (NIH), gene therapy clinical trials are also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clinical study sites receive NIH funding and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8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231F20"/>
        </w:rPr>
        <w:t>The same applies in the EU. The EMA’s Committee for Advanced Therapies (CAT) is responsible for assessing the quality, safety, and efficacy of advanced-therapy medicinal products. Advanced-therapy medicinal products include gene therapy medicines, somatic-cell therapy medicines and tissue-engineered medicines. The role of the CAT is to prepare a draft opinion on an application for marketing authorization for a gene therapy medicinal candidate that is submitted to the EMA. In the EU, the development and evaluation of a gene therapy product must be considered in the context of the relevant EU guidelines. The EMA may issue new guidelines concerning the development and marketing authorization for gene therapy products and require that we comply with these new guidelines. As a result, the procedures and standards applied to gene therapy products and cell therapy products in</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0" w:name="page41"/>
    <w:bookmarkEnd w:id="40"/>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the EU may be applied to any gene therapy product candidate we may develop, but that remains uncertain at this point. Furthermore, approvals by the EMA may not be indicative of what the FDA may require for approval.</w:t>
      </w:r>
    </w:p>
    <w:p>
      <w:pPr>
        <w:spacing w:after="0" w:line="5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231F20"/>
        </w:rPr>
        <w:t>Delay or failure to obtain, or unexpected costs in obtaining, the regulatory approvals necessary to bring a potential gene therapy product to market could decrease our ability to generate sufficient product revenue and our business, financial condition, results of operations and prospects could be materially harmed.</w:t>
      </w:r>
    </w:p>
    <w:p>
      <w:pPr>
        <w:spacing w:after="0" w:line="68"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231F20"/>
        </w:rPr>
        <w:t>Adverse developments in preclinical studies or clinical trials conducted by others in the field of gene therapy and gene regulation products may cause the FDA, EMA, and other regulatory bodies to revise the requirements for the conduct of the clinical trials and approval of our product candidates or limit the use of products utilizing gene regulation technologies, either of which could harm our business. For example, the FDA has imposed clinical holds on various clinical trials of gene therapy product candidates being developed by other companies. In addition, the clinical trial requirements of the FDA,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 Further, approvals by one regulatory agency may not be indicative of what other regulatory agencies may require for approval.</w:t>
      </w:r>
    </w:p>
    <w:p>
      <w:pPr>
        <w:spacing w:after="0" w:line="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our product candidates, or lead to significant post-approval limitations or restrictions. As we advance our research programs and develop our product candidates, we will be required to consult with these regulatory and advisory groups and to comply with applicable guidelines. If we fail to do so, we may be required to delay or discontinue development of our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product candidates in a timely manner, if at all.</w:t>
      </w:r>
    </w:p>
    <w:p>
      <w:pPr>
        <w:spacing w:after="0" w:line="18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mechanisms of action of our product candidates are unproven, and we do not know whether we will be able to develop any drug of commercial value.</w:t>
      </w:r>
    </w:p>
    <w:p>
      <w:pPr>
        <w:spacing w:after="0" w:line="5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231F20"/>
        </w:rPr>
        <w:t>We have discovered and are developing product candidates that have what we believe are novel mechanisms of action. Because no currently-approved drugs appear to operate via the same biochemical mechanisms as our compounds, we cannot be certain that our product candidates will result in commercially viable drugs that safely and effectively treat the indications for which we intend to develop them. The results we see for our compounds in preclinical models may not be replicated in subsequent preclinical studies or translate into similar results in humans in clinical trials, and results of early clinical trials in humans may not be predictive of the results of larger clinical trials or post-marketing studies that may later be conducted with our product candidates. As an example, patients may develop antibodies against the product candidates, or the product candidates may otherwise have a more limited duration of therapeutic effect than anticipated, resulting in decreased efficacy over time, which could delay approval and, if approved, limit the ultimate commercial value. Even if we are successful in developing and receiving regulatory approval for a product candidate for the treatment of a particular disease, we cannot be certain that it will be accepted by prescribers or be reimbursed by insurers or that we will also be able to develop and receive regulatory approval for that or other product candidates for the treatment of other diseases. If we are unable to successfully develop and commercialize our product candidates, our business will be materially harmed.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8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231F20"/>
        </w:rPr>
        <w:t>Moreover, in the event any of our competitors were to develop their own product candidates that have a similar mechanism of action to any of our product candidates, any efficacy or safety concerns identified during the development of such similar product candidates may have an adverse impact on the development of our product candidates. For example, if our competitors’ product candidate having a similar mechanism of action as any of our product candidates is shown in clinical trials to give rise to serious safety concerns or have poor efficacy when administered to the target patient population, the FDA or other regulatory bodies may subject our product candidates to increased scrutiny, leading to additional delays in development and potentially decreasing the chance of ultimate approval of our product candidates.</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231F20"/>
        </w:rPr>
        <w:t>Drug development involves a lengthy and expensive process with an uncertain outcome. The preclinical studies, clinical trials and post-marketing studies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Preclinical and </w:t>
      </w:r>
      <w:r>
        <w:rPr>
          <w:rFonts w:ascii="Times New Roman" w:cs="Times New Roman" w:eastAsia="Times New Roman" w:hAnsi="Times New Roman"/>
          <w:sz w:val="18"/>
          <w:szCs w:val="18"/>
          <w:color w:val="231F20"/>
        </w:rPr>
        <w:t>clinical testing is expensive, difficult to design and implement, can take many years to complete and its ultimate outcome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uncertain. We cannot guarantee that any of our preclinical studies or clinical trials will be initiated, conducted or completed on schedule or as planned, or at all. </w:t>
      </w:r>
      <w:r>
        <w:rPr>
          <w:rFonts w:ascii="Times New Roman" w:cs="Times New Roman" w:eastAsia="Times New Roman" w:hAnsi="Times New Roman"/>
          <w:sz w:val="18"/>
          <w:szCs w:val="18"/>
          <w:color w:val="000000"/>
        </w:rPr>
        <w:t>Failure can occur at any stage of testing.</w:t>
      </w:r>
      <w:r>
        <w:rPr>
          <w:rFonts w:ascii="Times New Roman" w:cs="Times New Roman" w:eastAsia="Times New Roman" w:hAnsi="Times New Roman"/>
          <w:sz w:val="18"/>
          <w:szCs w:val="18"/>
          <w:color w:val="231F20"/>
        </w:rPr>
        <w:t xml:space="preserve"> Such failure may result from a multitude of factors, including, among other things, flaws in study design, dose selection issues, placebo effects, patient enrollment criteria, novel assay design and failure to demonstrate favorable safety or efficacy traits, which could delay or prevent the submission of an IND or CTA, initiation of a clinical trial, receipt of marketing approval or our ability to commercialize our product candidates, or require us to suspended or terminate further development of our product candidates. Moreover, the outcome of preclinical studies and early-stage clinical trials may not be predictive of the success of later clinical trials. For example, our product candidates may fail to show the desired safety and efficacy in clinical development despite positive results in preclinical studies or having successfully advanced through initial clinical trials. As a result, we cannot assure you that any preclinical studies, clinical trials or post-marketing studies that we conduct will demonstrate consistent or adequate efficacy and safety to support marketing approval.</w:t>
      </w:r>
    </w:p>
    <w:p>
      <w:pPr>
        <w:spacing w:after="0" w:line="86" w:lineRule="exact"/>
        <w:rPr>
          <w:sz w:val="20"/>
          <w:szCs w:val="20"/>
          <w:color w:val="auto"/>
        </w:rPr>
      </w:pPr>
    </w:p>
    <w:p>
      <w:pPr>
        <w:jc w:val="both"/>
        <w:ind w:right="160" w:firstLine="509"/>
        <w:spacing w:after="0" w:line="254" w:lineRule="auto"/>
        <w:rPr>
          <w:sz w:val="20"/>
          <w:szCs w:val="20"/>
          <w:color w:val="auto"/>
        </w:rPr>
      </w:pPr>
      <w:r>
        <w:rPr>
          <w:rFonts w:ascii="Times New Roman" w:cs="Times New Roman" w:eastAsia="Times New Roman" w:hAnsi="Times New Roman"/>
          <w:sz w:val="18"/>
          <w:szCs w:val="18"/>
          <w:color w:val="231F20"/>
        </w:rPr>
        <w:t>Further, FDA and other regulatory authorities may implement new policies and regulations on clinical trials. For example, the EU Clinical Trials Regulation (CTR), which repealed the EU Clinical Trials Directive, became applicable on January 31, 2022, and provided a three-year transition period. The CTR streamlined the processes for applying for authorization and supervision of clinical trials in the EU. From January 31, 2025, any trials approved under the Clinical Trials Directive that continue running will need to comply with the CTR, and their sponsors must enter information on the trials in the Clinical Trials Information System. Trials we initiate in the United Kingdom are also subject to regulatory requirements and policies of the MHRA.</w:t>
      </w:r>
    </w:p>
    <w:p>
      <w:pPr>
        <w:spacing w:after="0" w:line="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231F20"/>
        </w:rPr>
        <w:t>Compliance with the CTR and/or MHRA requirements by us, our collaborators and third-party service providers, such as contract research organizations, may increase our clinical trial costs and impact the timeline of our development plans. If we are slow or unable to adapt to changes in clinical trial requirements or the adoption of new requirements or policies governing clinical trials, our development plans may be negatively impacted.</w:t>
      </w:r>
    </w:p>
    <w:p>
      <w:pPr>
        <w:spacing w:after="0" w:line="7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This is particularly true for clinical trials in very rare diseases, such as with certain indications we are pursuing, where the very small patient population makes it difficult or impossible to conduct two traditional, adequate and well-controlled studies, and therefore the FDA or comparable foreign regulatory authorities are often permitted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Furthermore, the failure of any of our product candidates to demonstrate safety and efficacy in any clinical trial could negatively impact the perception of our other product candidates and/or cause the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FDA or comparable regulatory authorities to require additional testing before approving any of our product candidates.</w:t>
      </w:r>
    </w:p>
    <w:p>
      <w:pPr>
        <w:spacing w:after="0" w:line="11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We may experience numerous unforeseen events during, or as a result of, preclinical studies, clinical trials or post-marketing studies that could delay or prevent receipt of marketing approval or our ability to commercialize our product candidates, including:</w:t>
      </w:r>
    </w:p>
    <w:p>
      <w:pPr>
        <w:spacing w:after="0" w:line="52"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inability to generate sufficient preclinical, toxicology, or other </w:t>
      </w:r>
      <w:r>
        <w:rPr>
          <w:rFonts w:ascii="Times New Roman" w:cs="Times New Roman" w:eastAsia="Times New Roman" w:hAnsi="Times New Roman"/>
          <w:sz w:val="18"/>
          <w:szCs w:val="18"/>
          <w:i w:val="1"/>
          <w:iCs w:val="1"/>
          <w:color w:val="231F20"/>
        </w:rPr>
        <w:t>in vivo</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i w:val="1"/>
          <w:iCs w:val="1"/>
          <w:color w:val="231F20"/>
        </w:rPr>
        <w:t>in vitro</w:t>
      </w:r>
      <w:r>
        <w:rPr>
          <w:rFonts w:ascii="Times New Roman" w:cs="Times New Roman" w:eastAsia="Times New Roman" w:hAnsi="Times New Roman"/>
          <w:sz w:val="18"/>
          <w:szCs w:val="18"/>
          <w:color w:val="231F20"/>
        </w:rPr>
        <w:t xml:space="preserve"> data to support the initiation of clinical trials;</w:t>
      </w:r>
    </w:p>
    <w:p>
      <w:pPr>
        <w:spacing w:after="0" w:line="119"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sufficiently developing, characterizing or controlling a manufacturing process suitable for clinical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receipt of feedback from regulatory authorities that requires us to modify the design of our preclinical or clinical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preclinical study or clinical trial observations or results that require us to modify the design of our clinical trials;</w:t>
      </w:r>
    </w:p>
    <w:p>
      <w:pPr>
        <w:spacing w:after="0" w:line="117" w:lineRule="exact"/>
        <w:rPr>
          <w:rFonts w:ascii="Times New Roman" w:cs="Times New Roman" w:eastAsia="Times New Roman" w:hAnsi="Times New Roman"/>
          <w:sz w:val="18"/>
          <w:szCs w:val="18"/>
          <w:color w:val="231F20"/>
        </w:rPr>
      </w:pPr>
    </w:p>
    <w:p>
      <w:pPr>
        <w:ind w:left="1020" w:right="80" w:hanging="503"/>
        <w:spacing w:after="0" w:line="282" w:lineRule="auto"/>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negative or inconclusive preclinical study or clinical trial results that may require us to conduct additional preclinical studies or clinical trials or abandon certain research and/or drug development programs;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extended IRB, IBC and/or EC review process, or inability to obtain approval from one or more of these committees;</w:t>
      </w:r>
    </w:p>
    <w:p>
      <w:pPr>
        <w:spacing w:after="0" w:line="117" w:lineRule="exact"/>
        <w:rPr>
          <w:rFonts w:ascii="Times New Roman" w:cs="Times New Roman" w:eastAsia="Times New Roman" w:hAnsi="Times New Roman"/>
          <w:sz w:val="18"/>
          <w:szCs w:val="18"/>
          <w:color w:val="231F20"/>
        </w:rPr>
      </w:pPr>
    </w:p>
    <w:p>
      <w:pPr>
        <w:ind w:left="1020" w:right="540" w:hanging="503"/>
        <w:spacing w:after="0" w:line="266" w:lineRule="auto"/>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of patients required for clinical trials being larger than anticipated, enrollment in these clinical trials being slower than anticipated, participants dropping out of these clinical trials at a higher rate than anticipated, or more patients failing to meet eligibility criteria than anticipated;</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failure or delay in reaching an agreement with CROs and clinical trial sites;</w:t>
      </w:r>
    </w:p>
    <w:p>
      <w:pPr>
        <w:spacing w:after="0" w:line="117" w:lineRule="exact"/>
        <w:rPr>
          <w:rFonts w:ascii="Times New Roman" w:cs="Times New Roman" w:eastAsia="Times New Roman" w:hAnsi="Times New Roman"/>
          <w:sz w:val="18"/>
          <w:szCs w:val="18"/>
          <w:color w:val="231F20"/>
        </w:rPr>
      </w:pPr>
    </w:p>
    <w:p>
      <w:pPr>
        <w:ind w:left="1020" w:right="360" w:hanging="503"/>
        <w:spacing w:after="0" w:line="282" w:lineRule="auto"/>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the suspension or termination of our clinical trials, as a result of </w:t>
      </w:r>
      <w:r>
        <w:rPr>
          <w:rFonts w:ascii="Times New Roman" w:cs="Times New Roman" w:eastAsia="Times New Roman" w:hAnsi="Times New Roman"/>
          <w:sz w:val="18"/>
          <w:szCs w:val="18"/>
          <w:color w:val="000000"/>
        </w:rPr>
        <w:t>a clinical hold by regulatory authorities or a voluntary pause,</w:t>
      </w:r>
      <w:r>
        <w:rPr>
          <w:rFonts w:ascii="Times New Roman" w:cs="Times New Roman" w:eastAsia="Times New Roman" w:hAnsi="Times New Roman"/>
          <w:sz w:val="18"/>
          <w:szCs w:val="18"/>
          <w:color w:val="231F20"/>
        </w:rPr>
        <w:t xml:space="preserve"> for various reasons, such as we experienced with MyPEAK-1;</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to clinical trial protocol;</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clinical sites deviating from trial protocol or dropping out of a trial;</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and/or duration of preclinical studies or clinical trials being greater than anticipated;</w:t>
      </w:r>
    </w:p>
    <w:p>
      <w:pPr>
        <w:spacing w:after="0" w:line="117" w:lineRule="exact"/>
        <w:rPr>
          <w:rFonts w:ascii="Times New Roman" w:cs="Times New Roman" w:eastAsia="Times New Roman" w:hAnsi="Times New Roman"/>
          <w:sz w:val="18"/>
          <w:szCs w:val="18"/>
          <w:color w:val="231F20"/>
        </w:rPr>
      </w:pPr>
    </w:p>
    <w:p>
      <w:pPr>
        <w:ind w:left="1020" w:right="700" w:hanging="503"/>
        <w:spacing w:after="0" w:line="282" w:lineRule="auto"/>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supply or quality of our product candidates or other materials necessary to conduct clinical trials of our product candidates being insufficient or inadequate or slower than anticipated;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subjects experiencing serious, severe, unexpected or otherwise important drug-related or study-related adverse effects;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selection of clinical end points that require prolonged periods of clinical observation or analysis of the resulting data;</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inaccurate clinical data entry or reporting by clinical sites;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variability of efficacy assessments;</w:t>
      </w:r>
    </w:p>
    <w:p>
      <w:pPr>
        <w:spacing w:after="0" w:line="117" w:lineRule="exact"/>
        <w:rPr>
          <w:rFonts w:ascii="Times New Roman" w:cs="Times New Roman" w:eastAsia="Times New Roman" w:hAnsi="Times New Roman"/>
          <w:sz w:val="18"/>
          <w:szCs w:val="18"/>
          <w:color w:val="231F20"/>
        </w:rPr>
      </w:pPr>
    </w:p>
    <w:p>
      <w:pPr>
        <w:ind w:left="1020" w:right="180" w:hanging="503"/>
        <w:spacing w:after="0" w:line="266" w:lineRule="auto"/>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facility manufacturing our product candidates or any of their components being ordered by the FDA or comparable foreign regulatory authorities to temporarily or permanently shut down due to violations of cGMPs, regulations or other applicable requirements, or infections or cross-contaminations of product candidates in the manufacturing process;</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changes to our manufacturing process that may be necessary or desired;</w:t>
      </w:r>
    </w:p>
    <w:p>
      <w:pPr>
        <w:spacing w:after="0" w:line="117" w:lineRule="exact"/>
        <w:rPr>
          <w:rFonts w:ascii="Times New Roman" w:cs="Times New Roman" w:eastAsia="Times New Roman" w:hAnsi="Times New Roman"/>
          <w:sz w:val="18"/>
          <w:szCs w:val="18"/>
          <w:color w:val="231F20"/>
        </w:rPr>
      </w:pPr>
    </w:p>
    <w:p>
      <w:pPr>
        <w:ind w:left="1020" w:right="280" w:hanging="503"/>
        <w:spacing w:after="0" w:line="282" w:lineRule="auto"/>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third-party clinical investigators losing the licenses or permits necessary to perform our clinical trials, not performing our clinical trials on our anticipated schedule or consistent with the clinical trial protocol, GCP or other regulatory requirements;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86"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CROs and other third-party contractors not performing data collection or analysis in a timely or accurate manner;</w:t>
      </w:r>
    </w:p>
    <w:p>
      <w:pPr>
        <w:spacing w:after="0" w:line="117" w:lineRule="exact"/>
        <w:rPr>
          <w:rFonts w:ascii="Times New Roman" w:cs="Times New Roman" w:eastAsia="Times New Roman" w:hAnsi="Times New Roman"/>
          <w:sz w:val="18"/>
          <w:szCs w:val="18"/>
          <w:color w:val="231F20"/>
        </w:rPr>
      </w:pPr>
    </w:p>
    <w:p>
      <w:pPr>
        <w:jc w:val="both"/>
        <w:ind w:left="1020" w:hanging="503"/>
        <w:spacing w:after="0" w:line="266" w:lineRule="auto"/>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regulators revising the requirements for approving our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unsuccessful post-marketing study or failure to complete such a study;</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absence in some countries of established groups with sufficient regulatory expertise for review of AAV gene therapy protocols; and</w:t>
      </w:r>
    </w:p>
    <w:p>
      <w:pPr>
        <w:spacing w:after="0" w:line="117" w:lineRule="exact"/>
        <w:rPr>
          <w:rFonts w:ascii="Times New Roman" w:cs="Times New Roman" w:eastAsia="Times New Roman" w:hAnsi="Times New Roman"/>
          <w:sz w:val="18"/>
          <w:szCs w:val="18"/>
          <w:color w:val="231F20"/>
        </w:rPr>
      </w:pPr>
    </w:p>
    <w:p>
      <w:pPr>
        <w:ind w:left="1020" w:right="120" w:hanging="503"/>
        <w:spacing w:after="0" w:line="282" w:lineRule="auto"/>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potential burden of complying with a variety of foreign laws, medical standards and regulatory requirements, including the regulation of pharmaceutical and biotechnology products and treatment.</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To the extent we pursue any pediatric indications or expand any approved drug product labeling to include pediatric populations, we may face additional challenges associated with clinical testing in pediatric populations, which can increase our operational costs, delay regulatory approval and commercialization, or expose us to additional liability. For example, finding qualified clinical sites that have access to sufficient pediatric populations and that are interested in participating in our clinical trials may take more time than adult indications. There may be fewer eligible patients with the target genetic disorder or heart disease or condition applicable to our product candidate for our planned clinical trials. This may increase the time needed to enroll patients for our planned pediatric clinical trials, increase our clinical development timelines, delay approval for such pediatric indications, and increase our operational costs. We may also be required to modify the formulation or other aspects of the product candidate, as compared to the comparable product candidate intended for adult patient populations, make manufacturing changes, modify route of administration, and conduct additional clinical trials, such as bridging studies and additional safety studies before we can commence our clinical trials in pediatric populations. The FDA or other health authorities may require us to complete studies in adults prior to initiating testing in children. Any delays in our planned clinical development activities for pediatric patients could have an adverse effect on our business operations.</w:t>
      </w:r>
    </w:p>
    <w:p>
      <w:pPr>
        <w:spacing w:after="0" w:line="8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If we are required to conduct additional preclinical studies or clinical trials or other testing of our product candidates beyond those that we currently contemplate, if we are unable to successfully complete preclinical studies or clinical trials of our product candidates or other testing in a timely manner and if the results of these studies, trials or tests are not positive or are only modestly positive or if there are safety concerns, we may incur unplanned costs and be delayed in sub</w:t>
      </w:r>
      <w:r>
        <w:rPr>
          <w:rFonts w:ascii="Times New Roman" w:cs="Times New Roman" w:eastAsia="Times New Roman" w:hAnsi="Times New Roman"/>
          <w:sz w:val="18"/>
          <w:szCs w:val="18"/>
          <w:color w:val="000000"/>
        </w:rPr>
        <w:t>mitting an IND, initiating clinical trials or seek</w:t>
      </w:r>
      <w:r>
        <w:rPr>
          <w:rFonts w:ascii="Times New Roman" w:cs="Times New Roman" w:eastAsia="Times New Roman" w:hAnsi="Times New Roman"/>
          <w:sz w:val="18"/>
          <w:szCs w:val="18"/>
          <w:color w:val="231F20"/>
        </w:rPr>
        <w:t>ing and obtaining marketing approval. We may also decide to change the design or protocol of one or more of our planned clinical trials, which could result in increased costs and expenses and/or delays. Any delays in initiating or completing our preclinical studies or clinical trials will increase our costs, slow down our development and approval process and jeopardize our ability to commence product sales and generate revenues, including by shortening any period during which we may have the exclusive right to commercialize our product candidates and permitting our competitors to bring products to market before we do. If we receive approval, it is possible that we may receive limited or restrictive marketing approval, be subject to additional post-marketing testing requirements or have the drug removed from the market after obtaining marketing approval.</w:t>
      </w:r>
    </w:p>
    <w:p>
      <w:pPr>
        <w:spacing w:after="0" w:line="86"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231F20"/>
        </w:rPr>
        <w:t>Moreover, in the future,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which may harm our business, financial condition and prospects significantly.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9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spacing w:after="0" w:line="7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are developing novel therapies for the treatment of heart disease. As a result, there is uncertainty as to the safety profile of product candidates we may develop. Patients in our clinical trials have suffered and may continue to suffer adverse events, including serious adverse events or other side effects, including those not observed in our preclinical studies or previous clinical trials. Patients treated with our product candidates may also be undergoing other therapies or procedures which can cause side effects or adverse events that are unrelated to our product candidates but may still impact the success of our clinical trials. The inclusion of critically ill patients in our clinical trials may result in deaths or other adverse medical events, either during the course of or after participating in such trials. These events may be due to one or more factors, including, without limitation, the underlying heart disease, other therapies or medications that such patients may be using, the drug product formulation of our product candidates, complications arising from protocol regimens, the method of delivery of our product candidates or other diseases the patients have. In some cases, it may not be clear if an adverse event is due to the product candidate, another therapy, the underlying disease, or another cause, and causality may be incorrectly attributed to the product candidate</w:t>
      </w:r>
      <w:r>
        <w:rPr>
          <w:rFonts w:ascii="Times New Roman" w:cs="Times New Roman" w:eastAsia="Times New Roman" w:hAnsi="Times New Roman"/>
          <w:sz w:val="18"/>
          <w:szCs w:val="18"/>
          <w:color w:val="231F20"/>
        </w:rPr>
        <w:t>.</w:t>
      </w:r>
    </w:p>
    <w:p>
      <w:pPr>
        <w:spacing w:after="0" w:line="86"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231F20"/>
        </w:rPr>
        <w:t>Serious adverse events or other side effects observed in any of our clinical trials, through our expanded access program, or in similar trials by other sponsors, may result in difficulty recruiting patients to the clinical trials, cause patients to drop out of our trials, or require that we abandon the trials or our development efforts of that product candidate altogether.</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We, the FDA, EMA, other comparable regulatory authorities or an IRB may suspend clinical trials of a product candidate at any time for various reasons, including a belief that subjects in such trials are being exposed to unacceptable health risks or adverse side effects or that the expected benefit does not justify the risk. For example, in November 2025, we announced that the FDA placed MyPEAK-1 on clinical hold to request a protocol amendment, primarily to standardize activities related to patient monitoring and management of the immunosuppressive regimen across trial sites. While we are not certain how long the clinical hold will last, we are working swiftly and collaboratively with the FDA to amend our protocol to address the agency’s concerns. There is no assurance that the current hold or any future hold on our clinical trials would not have a material adverse effect on our business or our data milestones or development timelines for TN-201 or other product candidates.</w:t>
      </w:r>
    </w:p>
    <w:p>
      <w:pPr>
        <w:spacing w:after="0" w:line="8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231F20"/>
        </w:rPr>
        <w:t>Some potential therapeutics developed in the biotechnology industry that initially showed therapeutic promise in early-stage trials have later been found to cause side effects that prevented their further development. There is no guarantee that our product candidates will not have side effects similar to those seen in other gene therapies or that we will be able to prevent such side effects from escalating to an unsafe level for our patients. Even if the side effects do not preclude the product candidate from obtaining or maintaining marketing approval, undesirable side effects may inhibit market acceptance due to its tolerability versus other therapies, result in marketing approval with restrictive label warnings or for limited patient populations, or result in potential product liability claims.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No regulatory agency has made any determination that any of our product candidates or discovery programs is safe or effective for use by the general public for any indication. We cannot predict whether our product candidates will cause toxicities in humans that would preclude regulatory approval, or if approved, lead to the revocation of regulatory approval based on preclinical studies or early-stage clinical trials.</w:t>
      </w:r>
    </w:p>
    <w:p>
      <w:pPr>
        <w:spacing w:after="0" w:line="18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outcome of preclinical studies and early clinical trials may not be predictive of the success of later clinical trials, and the results of our clinical trials may not satisfy the requirements of the FDA, EMA or other comparable foreign regulatory authorities.</w:t>
      </w:r>
    </w:p>
    <w:p>
      <w:pPr>
        <w:spacing w:after="0" w:line="5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We will be required to demonstrate with substantial evidence through well-controlled clinical trials that our product candidates are safe and effective for use in a diverse population before we can seek marketing approvals for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8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231F20"/>
        </w:rPr>
        <w:t>their commercial sale. Success in preclinical studies and early-stage clinical trials does not mean that future clinical trials will be successful. For instance, we do not know whether any of our product candidates will perform in our current or future preclinical studies or future clinical trials as it has in prior preclinical studies or earlier clinical trials. Product candidates in clinical trials may fail to demonstrate sufficient safety and efficacy to the satisfaction of the FDA, EMA and other comparable foreign regulatory authorities despite having progressed through preclinical studies.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other therapies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 and success in one trial does not ensure success in the next.</w:t>
      </w:r>
    </w:p>
    <w:p>
      <w:pPr>
        <w:spacing w:after="0" w:line="8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We do not know whether any clinical trials we may conduct will demonstrate consistent or adequate efficacy and safety sufficient to obtain approval to market any of our product candidates.</w:t>
      </w:r>
    </w:p>
    <w:p>
      <w:pPr>
        <w:spacing w:after="0" w:line="158"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experience delays or difficulties in the enrollment and/or maintenance of patients in clinical trials, our regulatory submissions or receipt of necessary marketing approvals could be delayed or prevented.</w:t>
      </w:r>
    </w:p>
    <w:p>
      <w:pPr>
        <w:spacing w:after="0" w:line="5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231F20"/>
        </w:rPr>
        <w:t>We may not be able to initiate or continue clinical trials for our product candidates if we are unable to locate and enroll a sufficient number of eligible patients to participate in these trials to such trial’s conclusion. Patient enrollment and retention are significant factors in the timing of clinical trials and our ability to enroll eligible patients may be limited or slower than we anticipate.</w:t>
      </w:r>
    </w:p>
    <w:p>
      <w:pPr>
        <w:spacing w:after="0" w:line="68"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231F20"/>
        </w:rPr>
        <w:t>We are developing product candidates for the treatment of heart disease, including for certain indications, such as rare genetic diseases, that have limited patient pools from which to draw for clinical trials. We also may encounter difficulties in identifying and enrolling patients with a stage of disease appropriate for our planned clinical trials and monitoring such subjects adequately during and after treatment. The process of finding and diagnosing patients may prove costly. Further, the treating physicians in our clinical trials may also use their medical discretion in advising patients enrolled in our clinical trials to withdraw from our studies to try alternative therapies. Patients also have the right to withdraw from our clinical trials for any reason. Additionally, the FDA, EMA or other comparable foreign regulatory authorities may require long-term follow-up assessments for a certain number of patients, which could delay marketing approval.</w:t>
      </w:r>
    </w:p>
    <w:p>
      <w:pPr>
        <w:spacing w:after="0" w:line="8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231F20"/>
        </w:rPr>
        <w:t>We also expect patient enrollment to be affected because our competitors have ongoing clinical trials for programs that are under development for the same indications as our product candidates, and patients who would otherwise be eligible for our clinical trials could instead enroll in clinical trials of our competitors’ programs. Patient enrollment for our clinical trials has been and may continue to be affected by other factors, including:</w:t>
      </w:r>
    </w:p>
    <w:p>
      <w:pPr>
        <w:spacing w:after="0" w:line="68"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size and nature of the patient population;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perceived risks and benefits of novel, unproven approaches;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severity of the disease under investigation;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availability and efficacy of approved drugs for the disease under investigation;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ongoing clinical trials evaluating other product candidates in the same disease under investigation;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 eligibility criteria for the trial in question as defined in the protocol;</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perceived risks and benefits of the product candidate under study;</w:t>
      </w:r>
    </w:p>
    <w:p>
      <w:pPr>
        <w:spacing w:after="0" w:line="117" w:lineRule="exact"/>
        <w:rPr>
          <w:rFonts w:ascii="Times New Roman" w:cs="Times New Roman" w:eastAsia="Times New Roman" w:hAnsi="Times New Roman"/>
          <w:sz w:val="18"/>
          <w:szCs w:val="18"/>
          <w:color w:val="231F20"/>
        </w:rPr>
      </w:pPr>
    </w:p>
    <w:p>
      <w:pPr>
        <w:jc w:val="both"/>
        <w:ind w:left="1020" w:right="560" w:hanging="503"/>
        <w:spacing w:after="0" w:line="266" w:lineRule="auto"/>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86"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public perception about the use of genetic medicines in human therapeutics or precision medicine;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 referral practices of physicians;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challenges associated with recruiting eligible patients;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to monitor patients adequately during and after treatment;</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limited resources at clinical trial sites, including support for clinical trial enrollment and the availability of hospital beds;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activities of key opinion leaders (KOLs) and patient advocacy groups;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proximity and availability of clinical trial sites for prospective patients and the ability of patients to travel to these sites;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burden of the study protocol on patients, including conflicts with their work, family and personal activities;</w:t>
      </w:r>
    </w:p>
    <w:p>
      <w:pPr>
        <w:spacing w:after="0" w:line="117" w:lineRule="exact"/>
        <w:rPr>
          <w:rFonts w:ascii="Times New Roman" w:cs="Times New Roman" w:eastAsia="Times New Roman" w:hAnsi="Times New Roman"/>
          <w:sz w:val="18"/>
          <w:szCs w:val="18"/>
          <w:color w:val="231F20"/>
        </w:rPr>
      </w:pPr>
    </w:p>
    <w:p>
      <w:pPr>
        <w:ind w:left="1020" w:right="240" w:hanging="503"/>
        <w:spacing w:after="0" w:line="282" w:lineRule="auto"/>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risk that patients enrolled in clinical trials will drop out of the trials before completion or, because they may have an advanced disease, will not survive the full terms of the clinical trials; and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limitations on the rate of patient enrollment required by the clinical trial protocol, including those that may be requested by health authorities.</w:t>
      </w:r>
    </w:p>
    <w:p>
      <w:pPr>
        <w:spacing w:after="0" w:line="11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231F20"/>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17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72"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231F20"/>
        </w:rPr>
        <w:t xml:space="preserve">Due to the significant resources required for the development of product candidates, in particular our product candidates in clinical trials, we must decide which programs, product candidates and indications to pursue and advance the amount of resources to allocate to each. </w:t>
      </w:r>
      <w:r>
        <w:rPr>
          <w:rFonts w:ascii="Times New Roman" w:cs="Times New Roman" w:eastAsia="Times New Roman" w:hAnsi="Times New Roman"/>
          <w:sz w:val="18"/>
          <w:szCs w:val="18"/>
          <w:color w:val="000000"/>
        </w:rPr>
        <w:t>For example, in connection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with our cost containment measures, including the Workforce Reduction, we are prioritizing generating data from our MyPEAK-1 and RIDGE-1 clinical trials of TN-201 and TN-401, respectively. </w:t>
      </w:r>
      <w:r>
        <w:rPr>
          <w:rFonts w:ascii="Times New Roman" w:cs="Times New Roman" w:eastAsia="Times New Roman" w:hAnsi="Times New Roman"/>
          <w:sz w:val="18"/>
          <w:szCs w:val="18"/>
          <w:color w:val="231F20"/>
        </w:rPr>
        <w:t>Our decisions concerning the allocation of research, development, collaboration, management and financial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resources toward particular programs, product candidates or therapeutic areas may not lead to the development of any viable commercial product and may result in the diversion of resources away from better opportunities. Similarly, our potential decisions to delay, terminate or collaborate with third parties in respect of certain platforms, programs or product candidates may subsequently also prove to be less than optimal and could cause us to miss valuable opportunities. If we make incorrect assumptions and/or determinations regarding data emerging from our clinical trials, the viability or market potential of any of our programs or product candidates or misread trends in the biotechnology industry, in particular in the field of cardiology, our business could be seriously harmed. As a result, we may fail to capitalize on viable commercial products or profitable market opportunities, be required to forego or delay pursuit of opportunities with other programs, product candidates or other diseases that may later prove to have greater commercial potential than those we choose to pursue, or relinquish valuable rights to our platforms or product candidates through collaboration, licensing or other royalty arrangements in cases in which it would have been advantageous for us to invest additional resources to retain sole development and commercialization rights.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w:t>
      </w:r>
    </w:p>
    <w:p>
      <w:pPr>
        <w:spacing w:after="0" w:line="75"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231F20"/>
        </w:rPr>
        <w:t>We have competitors both in the U.S. and internationally, including major multinational pharmaceutical companies, established biotechnology companies, specialty pharmaceutical companies, emerging and start-up companies, universities and other research institutions. We face competition in recruiting personnel, establishing clinical trial sites, enrolling subjects for clinical trials and in identifying and in-licensing new product candidates.</w:t>
      </w:r>
    </w:p>
    <w:p>
      <w:pPr>
        <w:spacing w:after="0" w:line="6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We expect to face competition from existing products and products in development for each of our programs and anticipate substantial direct competition from a variety of competitors.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84"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231F20"/>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Due to the nature of gene therapy products, use of a competitor gene therapy product by a prospective patient may preclude use of our gene therapy product candidate at a later point in time.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19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Initial, interim and topline data from our clinical trials that we announce or publish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231F20"/>
        </w:rPr>
        <w:t>From time to time, we may publicly disclose initial, interim or topline data from our clinical trials. These updates are based on a preliminary analysis of then-available data, and the results and related findings and conclusions are subject to change following availability of additional data and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initial, interim and/or topline results that we report may differ from future results of the same studies, or different conclusions or considerations may qualify such results, once additional data have been received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and fully evaluated. Initial, interim and/or topline data also remain subject to audit and verification procedures that may result in the final data being materially different from the preliminary data we previously published. As a result, initial, interim and topline data should be viewed with caution until the final data is available. In addition, we may report interim analyses of only certain endpoints rather than all endpoints. Initial and interim data from clinical trials that we may complete are subject to the risk that one or more of the clinical outcomes may materially change as patient enrollment continues and more patient data become available. Adverse changes between initial and/or interim data and final data could significantly harm our business and prospects. Further, additional disclosure of initial and/or interim data by us or by our competitors in the future could result in volatility in the price of our common stock.</w:t>
      </w:r>
    </w:p>
    <w:p>
      <w:pPr>
        <w:spacing w:after="0" w:line="8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Further, others, including regulatory agencies, may not accept or agree with our assumptions, estimates, calculations, conclusions or analyses, may do their own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initial, interim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18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Gene therapies are novel, complex and difficult to manufacture. We could experience production problems that result in delays in development or commercialization of our product candidates, limit the supply of our products, if approved, or otherwise seriously harm our business.</w:t>
      </w:r>
    </w:p>
    <w:p>
      <w:pPr>
        <w:spacing w:after="0" w:line="5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231F20"/>
        </w:rPr>
        <w:t>Our gene therapy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need to employ multiple steps to control our manufacturing process to assure that the process works and the product candidate is made strictly and consistently in compliance with the process.</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Problems with the manufacturing process, even minor deviations from the normal process, including during the manufacture of drug substance, drug product filling, labeling, packaging, storage and shipping and quality control and testing, could result in product defects, lot failures, product recalls, product liability claims or insufficient inventory. Additionally, we may encounter problems achieving adequate quantities and quality of clinical-grade materials that meet FDA, or other comparable applicable foreign regulatory authorities’ standards or specifications with consistent and acceptable production yields and costs.</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Furthermore, should any of our manufacturing agreements with third parties be terminated for any reason, there are a limited number of manufacturers who would be suitable replacements, and it would take a significant amount of time to transition the manufacturing to a replacement. If we or our third-party manufacturers or suppliers are unable to produce sufficient quantities for preclinical studies 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17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Due to our limited manufacturing experience, there can be no assurance that we will be able to successfully manufacture product candidates to support our clinical development and commercialization plans.</w:t>
      </w:r>
    </w:p>
    <w:p>
      <w:pPr>
        <w:spacing w:after="0" w:line="5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We have fully integrated and internalized AAV manufacturing capabilities to support our gene therapy product candidates</w:t>
      </w:r>
      <w:r>
        <w:rPr>
          <w:rFonts w:ascii="Times New Roman" w:cs="Times New Roman" w:eastAsia="Times New Roman" w:hAnsi="Times New Roman"/>
          <w:sz w:val="18"/>
          <w:szCs w:val="18"/>
          <w:color w:val="231F20"/>
        </w:rPr>
        <w:t>. However, to optimize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our resources and to utilize extensive third-party experience in small molecule manufacturing, we intend to work with CDMOs for our small molecule programs.</w:t>
      </w:r>
    </w:p>
    <w:p>
      <w:pPr>
        <w:spacing w:after="0" w:line="68" w:lineRule="exact"/>
        <w:rPr>
          <w:sz w:val="20"/>
          <w:szCs w:val="20"/>
          <w:color w:val="auto"/>
        </w:rPr>
      </w:pPr>
    </w:p>
    <w:p>
      <w:pPr>
        <w:ind w:right="160" w:firstLine="509"/>
        <w:spacing w:after="0" w:line="289" w:lineRule="auto"/>
        <w:rPr>
          <w:sz w:val="20"/>
          <w:szCs w:val="20"/>
          <w:color w:val="auto"/>
        </w:rPr>
      </w:pPr>
      <w:r>
        <w:rPr>
          <w:rFonts w:ascii="Times New Roman" w:cs="Times New Roman" w:eastAsia="Times New Roman" w:hAnsi="Times New Roman"/>
          <w:sz w:val="17"/>
          <w:szCs w:val="17"/>
          <w:color w:val="231F20"/>
        </w:rPr>
        <w:t>Although some of our employees have experience in the manufacturing of biopharmaceutical products from prior employment at other companies, we as a company have limited experience in manufacturing. Furthermore, maintaining manufacturing operations requires significant resources, management time and capital expenditures, particularly in areas relating to operations, quality, regulatory, facilities and information technology.</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We cannot guarantee that our facility will be able to produce sufficient quantities of product candidates needed to support our preclinical studies and ongoing and planned clinical trials. We may face delays or increased costs in the production of clinical supply at our manufacturing facility. We also may encounter problems hiring and retaining the experienced scientific, quality control and manufacturing personnel needed to operate our manufacturing facility and processes. If we experience unanticipated employee shortage or turnover in any of these areas, we may not be able to effectively manage our ongoing manufacturing operations and we may not achieve the operating efficiencies that we anticipate from developing these capabilities, which may negatively affect our product development timelines or result in difficulties in maintaining compliance with applicable regulatory requirements.</w:t>
      </w:r>
    </w:p>
    <w:p>
      <w:pPr>
        <w:spacing w:after="0" w:line="7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231F20"/>
        </w:rPr>
        <w:t>Any delays in the ongoing development of our internal manufacturing capabilities may disrupt or delay the supply of our product candidates if we have not maintained a sufficient back-up supply of such product candidates.</w:t>
      </w:r>
    </w:p>
    <w:p>
      <w:pPr>
        <w:spacing w:after="0" w:line="5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231F20"/>
        </w:rPr>
        <w:t>Such delays may also hamper our ability to further process improvement, maintain quality control, limit our reliance on contract manufacturers and protect our trade secrets and other intellectual property, and could adversely impact the development or commercialization of our product candidates. Moreover, if we were required to change manufacturing facilities during the clinical development process, we may also be required to conduct additional studies, make notifications to regulatory authorities, make additional filings to regulatory authorities, and obtain regulatory authority approval for the new facilities, which approval may be delayed or never received.</w:t>
      </w:r>
    </w:p>
    <w:p>
      <w:pPr>
        <w:spacing w:after="0" w:line="17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manufacturing facilities will be subject to significant government regulations and approvals, which are often costly and could result in adverse consequences to our business if we fail to comply with the regulations or maintain the approvals.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We will need to comply with the FDA’s and applicable foreign regulatory authorities’ cGMP requirements for the production of product candidates for clinical trials and, if approved, commercial supply. We will be subject to inspections by the FDA and comparable agencies in other jurisdictions to confirm compliance with applicable regulatory requirements. These requirements include the qualification and validation of our manufacturing equipment and processes. Any failure to follow cGMP or other regulatory requirements or delay, interruption or other issues that arise in the manufacture of our product candidates as a result of a failure of our facilities or the facilities or operations of our third-party suppliers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 Furthermore, regulatory requirements for the manufacturing of genetic medicines may change over time. Our failure to comply with such changes could have a material impact on the manufacturing costs for our product candidates, delay our planned preclinical and clinical trial timelines and/or preclude regulatory approval of our product candidates.</w:t>
      </w:r>
    </w:p>
    <w:p>
      <w:pPr>
        <w:spacing w:after="0" w:line="19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not be able to successfully manufacture our product candidates in sufficient quality and quantity, which would delay or prevent us from developing our product candidates and commercializing resulting approved products, if any.</w:t>
      </w:r>
    </w:p>
    <w:p>
      <w:pPr>
        <w:spacing w:after="0" w:line="5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231F20"/>
        </w:rPr>
        <w:t>To date, our product candidates have been manufactured in quantities adequate for preclinical studies and our Phase 1 clinical trials for our lead product candidates. In order to conduct later-stage clinical trials for a product candidate and for commercialization of the resulting product if that product candidate is approved for sale, we will need to manufacture product candidates in larger quantities. We may not be able to successfully repeat or increase the manufacturing capacity for any of our product candidates in a timely or cost-effective manner or at all. Significant changes or scale-up of manufacturing may require additional validation studies, which are costly and which regulatory authorities must review and approve. In addition, quality issues may arise during those changes or scale-up activities.</w:t>
      </w:r>
    </w:p>
    <w:p>
      <w:pPr>
        <w:spacing w:after="0" w:line="79"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231F20"/>
        </w:rPr>
        <w:t>As product candidates progress through preclinical studies and clinical trials to marketing approval and commercialization, it is common that various aspects of the development program, such as manufacturing methods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0" w:name="page51"/>
    <w:bookmarkEnd w:id="50"/>
    <w:p>
      <w:pPr>
        <w:spacing w:after="0" w:line="8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231F20"/>
        </w:rPr>
        <w:t>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 While the manufacturing process alone is complex, quality issues may also arise during drug product filling, labeling, packaging, storage, shipping and ongoing quality control and testing activities.</w:t>
      </w:r>
    </w:p>
    <w:p>
      <w:pPr>
        <w:spacing w:after="0" w:line="81"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231F20"/>
        </w:rPr>
        <w:t>If we are unable to successfully manufacture any of our product candidates in sufficient quality and quantity, the development of that product candidate and regulatory approval or commercial launch for any resulting products may be delayed or there may be a shortage in supply, which could significantly harm our business.</w:t>
      </w:r>
    </w:p>
    <w:p>
      <w:pPr>
        <w:spacing w:after="0" w:line="172"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product candidates may not achieve adequate market acceptance among physicians, patients, healthcare payors and others in the medical community necessary for commercial success.</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Even if our product candidates receive regulatory approval, they may not gain adequate market acceptance among physicians, patients, third-party payors and others in the medical community. If we are unable to demonstrate sufficient safety or efficacy to permit a broader use of our product candidates, we may not generate significant product revenue and we may not become profitable. The degree of market acceptance of any of our approved product candidates will depend on a number of factors, including:</w:t>
      </w:r>
    </w:p>
    <w:p>
      <w:pPr>
        <w:spacing w:after="0" w:line="72"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efficacy and safety profile as demonstrated in clinical trials compared to alternative treatments;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perceived safety and efficacy profile and ease of use for pediatric patient population if approved for a pediatric indication;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of market introduction of the product candidate as well as competitive products;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clinical indications for which a product candidate is approved;</w:t>
      </w:r>
    </w:p>
    <w:p>
      <w:pPr>
        <w:spacing w:after="0" w:line="117" w:lineRule="exact"/>
        <w:rPr>
          <w:rFonts w:ascii="Times New Roman" w:cs="Times New Roman" w:eastAsia="Times New Roman" w:hAnsi="Times New Roman"/>
          <w:sz w:val="18"/>
          <w:szCs w:val="18"/>
          <w:color w:val="231F20"/>
        </w:rPr>
      </w:pPr>
    </w:p>
    <w:p>
      <w:pPr>
        <w:jc w:val="both"/>
        <w:ind w:left="1020" w:right="100" w:hanging="503"/>
        <w:spacing w:after="0" w:line="312" w:lineRule="auto"/>
        <w:tabs>
          <w:tab w:leader="none" w:pos="1020" w:val="left"/>
        </w:tabs>
        <w:numPr>
          <w:ilvl w:val="0"/>
          <w:numId w:val="2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31" w:lineRule="exact"/>
        <w:rPr>
          <w:rFonts w:ascii="Times New Roman" w:cs="Times New Roman" w:eastAsia="Times New Roman" w:hAnsi="Times New Roman"/>
          <w:sz w:val="17"/>
          <w:szCs w:val="17"/>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physicians, hospitals, treatment centers and patients considering our product candidates as a safe, pure and effective treatment;</w:t>
      </w:r>
    </w:p>
    <w:p>
      <w:pPr>
        <w:spacing w:after="0" w:line="117" w:lineRule="exact"/>
        <w:rPr>
          <w:rFonts w:ascii="Times New Roman" w:cs="Times New Roman" w:eastAsia="Times New Roman" w:hAnsi="Times New Roman"/>
          <w:sz w:val="18"/>
          <w:szCs w:val="18"/>
          <w:color w:val="231F20"/>
        </w:rPr>
      </w:pPr>
    </w:p>
    <w:p>
      <w:pPr>
        <w:ind w:left="1020" w:right="400" w:hanging="503"/>
        <w:spacing w:after="0" w:line="282" w:lineRule="auto"/>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perceived prevalence and severity of any side effects for our product candidates compared to the prevalence and severity of any side effects for conventional products and other gene therapies;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potential and perceived advantages of our product candidates over alternative treatments;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of treatment in relation to alternative treatments;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relative convenience and ease of administration;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willingness of the target patient population or their caregivers to try new therapies and of physicians to prescribe these therapies;</w:t>
      </w:r>
    </w:p>
    <w:p>
      <w:pPr>
        <w:spacing w:after="0" w:line="117" w:lineRule="exact"/>
        <w:rPr>
          <w:rFonts w:ascii="Times New Roman" w:cs="Times New Roman" w:eastAsia="Times New Roman" w:hAnsi="Times New Roman"/>
          <w:sz w:val="18"/>
          <w:szCs w:val="18"/>
          <w:color w:val="231F20"/>
        </w:rPr>
      </w:pPr>
    </w:p>
    <w:p>
      <w:pPr>
        <w:ind w:left="1020" w:right="100" w:hanging="503"/>
        <w:spacing w:after="0" w:line="282" w:lineRule="auto"/>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size of the relevant pediatric patient population if approved for a pediatric indication, including challenges associated with diagnosing or identifying pediatric populations with the applicable target disease or condition;</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availability of coverage and adequate reimbursement by third-party payors, including government authorities;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patients’ willingness to pay for these therapies in the absence of such coverage and adequate reimbursement;</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effectiveness of sales and marketing efforts;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86"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support from KOLs and patient advocacy groups;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negative public perception about the use of genetic medicines, whether related to our technology or our competitor’s technology;</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unfavorable publicity relating to our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approval of other new therapies for the same indications; and</w:t>
      </w:r>
    </w:p>
    <w:p>
      <w:pPr>
        <w:spacing w:after="0" w:line="117" w:lineRule="exact"/>
        <w:rPr>
          <w:rFonts w:ascii="Times New Roman" w:cs="Times New Roman" w:eastAsia="Times New Roman" w:hAnsi="Times New Roman"/>
          <w:sz w:val="18"/>
          <w:szCs w:val="18"/>
          <w:color w:val="231F20"/>
        </w:rPr>
      </w:pPr>
    </w:p>
    <w:p>
      <w:pPr>
        <w:ind w:left="1020" w:right="280" w:hanging="503"/>
        <w:spacing w:after="0" w:line="282" w:lineRule="auto"/>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acceptance and use of genetic testing required to diagnose the disease and identify patients who qualify for treatment with our product candidates.</w:t>
      </w:r>
    </w:p>
    <w:p>
      <w:pPr>
        <w:spacing w:after="0" w:line="54"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231F20"/>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15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231F20"/>
        </w:rPr>
        <w:t>The limited number of patients who have the diseases for which our product candidates are being developed may make it more difficult for us to enroll or complete clinical trials or may result in findings in our clinical trials that do not reach levels of statistical significance sufficient for marketing approval. Even if such product candidates achieve marketing approval, because such target patient populations are small and the addressable patient population may be even smaller, we must be able to successfully identify patients and capture a significant market share to achieve profitability and growth.</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Some of the indications for which we plan to evaluate our product candidates in clinical trials are rare genetic diseases. Accordingly, there are limited patient pools from which to draw for clinical trials. In addition to the rarity of these diseases, the eligibility criteria of our planned clinical trials will further limit the pool of available study participants as we will require that patients have specific characteristics that we can measure to assure their disease is either severe enough or not too advanced to include them in a trial. Moreover, the effort to identify patients with diseases we seek to treat is in early stages, and we cannot accurately predict the number of patients for whom treatment might be possible. We may not be able to initiate or continue clinical trials on a timely basis or at all for our product candidates if we are unable to locate and enroll a sufficient number of eligible patients to participate in the trials as required by applicable regulations or as needed to provide appropriate statistical power for a given trial. Similarly, because some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issues observed in only a few patients could prevent such trials from reaching statistical significance or otherwise meeting their specified endpoints, which could require us to conduct additional clinical trials, or delay or prevent our product candidates from receiving regulatory approval, which would seriously harm our business.</w:t>
      </w:r>
    </w:p>
    <w:p>
      <w:pPr>
        <w:spacing w:after="0" w:line="82"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231F20"/>
        </w:rPr>
        <w:t>Additionally, the potentially addressable patient population for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176"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Any product candidates we develop may become subject to unfavorable third-party coverage and reimbursement practices, as well as pricing regulations.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The indications we are initially pursuing for our gene therapy product candidates have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 coverage and reimbursement strategy for any approved product candidate that accounts for the smaller potential market size.</w:t>
      </w:r>
    </w:p>
    <w:p>
      <w:pPr>
        <w:spacing w:after="0" w:line="79"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231F20"/>
        </w:rPr>
        <w:t>Sales of any of our product candidates that receive marketing approval will depend substantially, both in the U.S. and internationally, on the extent to which the costs of such product candidates will be covered and reimbursed by third-party payors. If reimbursement is not available, or is available only to limited levels, we may not be able to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31F20"/>
        </w:rPr>
        <w:t>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 xml:space="preserve">There is significant uncertainty related to third-party payor coverage and reimbursement of newly approved products. In the U.S., for example, principal decisions about reimbursement for new products are typically made by the </w:t>
      </w:r>
      <w:r>
        <w:rPr>
          <w:rFonts w:ascii="Times New Roman" w:cs="Times New Roman" w:eastAsia="Times New Roman" w:hAnsi="Times New Roman"/>
          <w:sz w:val="18"/>
          <w:szCs w:val="18"/>
          <w:color w:val="000000"/>
        </w:rPr>
        <w:t>Centers for Medicare &amp; Medicaid Services (</w:t>
      </w:r>
      <w:r>
        <w:rPr>
          <w:rFonts w:ascii="Times New Roman" w:cs="Times New Roman" w:eastAsia="Times New Roman" w:hAnsi="Times New Roman"/>
          <w:sz w:val="18"/>
          <w:szCs w:val="18"/>
          <w:color w:val="231F20"/>
        </w:rPr>
        <w:t>CMS), an agency within the U.S. Department of Health and Human Services.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or at the same level of reimbursement.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8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231F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Outside the U.S.,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U.S., the reimbursement for our products may be reduced compared with the U.S. and may be insufficient to generate commercially reasonable revenue and profits.</w:t>
      </w:r>
    </w:p>
    <w:p>
      <w:pPr>
        <w:spacing w:after="0" w:line="8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business entails a significant risk of product liability and if we are unable to obtain sufficient insurance coverage, such inability could have an adverse effect on our business and financial condition. If product liability lawsuits are brought against us, we may incur substantial liabilities and may be required to limit commercialization of our products.</w:t>
      </w:r>
    </w:p>
    <w:p>
      <w:pPr>
        <w:spacing w:after="0" w:line="67" w:lineRule="exact"/>
        <w:rPr>
          <w:sz w:val="20"/>
          <w:szCs w:val="20"/>
          <w:color w:val="auto"/>
        </w:rPr>
      </w:pPr>
    </w:p>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231F20"/>
        </w:rPr>
        <w:t>Our business exposes us to significant product liability risks inherent in the development, testing, manufacturing and marketing of therapeutic treatments. We have limited product liability insurance. Any insurance we have or may obtain may not provide sufficient coverage against potential liabilities. As clinical trial and product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3" w:name="page54"/>
    <w:bookmarkEnd w:id="53"/>
    <w:p>
      <w:pPr>
        <w:spacing w:after="0" w:line="8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231F20"/>
        </w:rPr>
        <w:t>liability insurance becomes increasingly expensive, we may be unable to obtain sufficient insurance at a reasonable cost to protect us against losses caused by product liability claims that could have an adverse effect on our business and financial condition. Also,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We may be sued if any of our product candidates or any medications, procedures or activities associated with our clinical trial protocols or our expanded access program cause or are perceived to cause injury, or if our product candidates are found to be otherwise unsuitable during clinical testing, manufacturing, marketing, or sale post-approval. Any such product liability claims may include allegations of defects in manufacturing, defects in design, a failure to warn of dangers inherent in the protocol or product, negligence, strict liability, or a breach of warranties. Claims could also be asserted under state consumer protection laws. If we cannot successfully defend ourselves against product liability claims, we may incur substantial liabilities or be required to limit testing and commercialization of our products. Even a successful defense would require significant financial and management resources.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Regardless of the merits or eventual outcome, liability claims may result in:</w:t>
      </w:r>
    </w:p>
    <w:p>
      <w:pPr>
        <w:spacing w:after="0" w:line="117"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the development of our product candidates;</w:t>
      </w:r>
    </w:p>
    <w:p>
      <w:pPr>
        <w:spacing w:after="0" w:line="117" w:lineRule="exact"/>
        <w:rPr>
          <w:rFonts w:ascii="Times New Roman" w:cs="Times New Roman" w:eastAsia="Times New Roman" w:hAnsi="Times New Roman"/>
          <w:sz w:val="18"/>
          <w:szCs w:val="18"/>
          <w:color w:val="231F20"/>
        </w:rPr>
      </w:pPr>
    </w:p>
    <w:p>
      <w:pPr>
        <w:ind w:left="1020" w:right="480" w:hanging="503"/>
        <w:spacing w:after="0" w:line="282" w:lineRule="auto"/>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FDA, EMA or other regulatory authority investigation of the safety and effectiveness of our products, our manufacturing processes and facilities or our marketing programs;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decreased or interrupted demand for our products;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injury to our reputation;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withdrawal of clinical trial participants and inability to continue clinical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to defend the related litigation;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diversion of management’s time and our resources;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substantial monetary awards to trial participants or patients;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product recalls, withdrawals or labeling, marketing, or promotional restrictions;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loss of revenue;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inability to raise capital or enter into strategic agreements for the development of our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exhaustion of any available insurance and our capital resources;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inability to commercialize any products.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Regulatory Approval and Other Legal Compliance Matters</w:t>
      </w:r>
    </w:p>
    <w:p>
      <w:pPr>
        <w:spacing w:after="0" w:line="117"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6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231F20"/>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distribution and orphan exclusivity of drugs. Rigorous preclinical testing and clinical trials and an extensive regulatory approval process must be successfully completed in the U.S. and in many foreign jurisdictions before a new drug can be approved for marketing. Obtaining approval by the FDA, EMA and other comparable foreign regulatory authorities is costly, unpredictable, typically takes many years following the commencement of clinical trials and depends upon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8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231F20"/>
        </w:rPr>
        <w:t>numerous factors, including the type, complexity and novelty of the product candidates involved and the availability of alternative therapies.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w:t>
      </w:r>
    </w:p>
    <w:p>
      <w:pPr>
        <w:spacing w:after="0" w:line="75"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231F20"/>
        </w:rPr>
        <w:t>We cannot provide assurance that any of the product candidates we develop will progress through required clinical testing and obtain the regulatory approvals necessary for us to begin selling them. Applications for our product candidates could be delayed or fail to receive regulatory approval for many reasons, including the following:</w:t>
      </w:r>
    </w:p>
    <w:p>
      <w:pPr>
        <w:spacing w:after="0" w:line="68" w:lineRule="exact"/>
        <w:rPr>
          <w:sz w:val="20"/>
          <w:szCs w:val="20"/>
          <w:color w:val="auto"/>
        </w:rPr>
      </w:pPr>
    </w:p>
    <w:p>
      <w:pPr>
        <w:ind w:left="1020" w:right="300" w:hanging="503"/>
        <w:spacing w:after="0" w:line="282" w:lineRule="auto"/>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disagree with the design, implementation or results of our clinical trials;</w:t>
      </w:r>
    </w:p>
    <w:p>
      <w:pPr>
        <w:spacing w:after="0" w:line="53" w:lineRule="exact"/>
        <w:rPr>
          <w:rFonts w:ascii="Times New Roman" w:cs="Times New Roman" w:eastAsia="Times New Roman" w:hAnsi="Times New Roman"/>
          <w:sz w:val="18"/>
          <w:szCs w:val="18"/>
          <w:color w:val="231F20"/>
        </w:rPr>
      </w:pPr>
    </w:p>
    <w:p>
      <w:pPr>
        <w:ind w:left="1020" w:right="140" w:hanging="503"/>
        <w:spacing w:after="0" w:line="282" w:lineRule="auto"/>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refuse to accept an application or decide not to accept data from our clinical trials conducted in locations outside of their jurisdiction;</w:t>
      </w:r>
    </w:p>
    <w:p>
      <w:pPr>
        <w:spacing w:after="0" w:line="53" w:lineRule="exact"/>
        <w:rPr>
          <w:rFonts w:ascii="Times New Roman" w:cs="Times New Roman" w:eastAsia="Times New Roman" w:hAnsi="Times New Roman"/>
          <w:sz w:val="18"/>
          <w:szCs w:val="18"/>
          <w:color w:val="231F20"/>
        </w:rPr>
      </w:pPr>
    </w:p>
    <w:p>
      <w:pPr>
        <w:ind w:left="1020" w:right="160" w:hanging="503"/>
        <w:spacing w:after="0" w:line="266" w:lineRule="auto"/>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spacing w:after="0" w:line="67" w:lineRule="exact"/>
        <w:rPr>
          <w:rFonts w:ascii="Times New Roman" w:cs="Times New Roman" w:eastAsia="Times New Roman" w:hAnsi="Times New Roman"/>
          <w:sz w:val="18"/>
          <w:szCs w:val="18"/>
          <w:color w:val="231F20"/>
        </w:rPr>
      </w:pPr>
    </w:p>
    <w:p>
      <w:pPr>
        <w:ind w:left="1020" w:right="180" w:hanging="503"/>
        <w:spacing w:after="0" w:line="282" w:lineRule="auto"/>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population studied in the clinical trial may not be sufficiently broad or representative to assure efficacy and safety in the full population for which we seek approval;</w:t>
      </w:r>
    </w:p>
    <w:p>
      <w:pPr>
        <w:spacing w:after="0" w:line="53" w:lineRule="exact"/>
        <w:rPr>
          <w:rFonts w:ascii="Times New Roman" w:cs="Times New Roman" w:eastAsia="Times New Roman" w:hAnsi="Times New Roman"/>
          <w:sz w:val="18"/>
          <w:szCs w:val="18"/>
          <w:color w:val="231F20"/>
        </w:rPr>
      </w:pPr>
    </w:p>
    <w:p>
      <w:pPr>
        <w:ind w:left="1020" w:right="300" w:hanging="503"/>
        <w:spacing w:after="0" w:line="282" w:lineRule="auto"/>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require that we conduct additional preclinical studies or clinical trials;</w:t>
      </w:r>
    </w:p>
    <w:p>
      <w:pPr>
        <w:spacing w:after="0" w:line="117" w:lineRule="exact"/>
        <w:rPr>
          <w:rFonts w:ascii="Times New Roman" w:cs="Times New Roman" w:eastAsia="Times New Roman" w:hAnsi="Times New Roman"/>
          <w:sz w:val="18"/>
          <w:szCs w:val="18"/>
          <w:color w:val="231F20"/>
        </w:rPr>
      </w:pPr>
    </w:p>
    <w:p>
      <w:pPr>
        <w:ind w:left="1020" w:right="360" w:hanging="503"/>
        <w:spacing w:after="0" w:line="282" w:lineRule="auto"/>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be unable to demonstrate to the FDA, EMA or other comparable foreign regulatory authorities that our product candidate’s risk-benefit ratio for its proposed indication is acceptable;</w:t>
      </w:r>
    </w:p>
    <w:p>
      <w:pPr>
        <w:spacing w:after="0" w:line="53" w:lineRule="exact"/>
        <w:rPr>
          <w:rFonts w:ascii="Times New Roman" w:cs="Times New Roman" w:eastAsia="Times New Roman" w:hAnsi="Times New Roman"/>
          <w:sz w:val="18"/>
          <w:szCs w:val="18"/>
          <w:color w:val="231F20"/>
        </w:rPr>
      </w:pPr>
    </w:p>
    <w:p>
      <w:pPr>
        <w:ind w:left="1020" w:right="420" w:hanging="503"/>
        <w:spacing w:after="0" w:line="282" w:lineRule="auto"/>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fail to approve the manufacturing processes, test procedures and specifications or facilities of third-party manufacturers with which we contract for clinical and commercial supplies;</w:t>
      </w:r>
    </w:p>
    <w:p>
      <w:pPr>
        <w:spacing w:after="0" w:line="53" w:lineRule="exact"/>
        <w:rPr>
          <w:rFonts w:ascii="Times New Roman" w:cs="Times New Roman" w:eastAsia="Times New Roman" w:hAnsi="Times New Roman"/>
          <w:sz w:val="18"/>
          <w:szCs w:val="18"/>
          <w:color w:val="231F20"/>
        </w:rPr>
      </w:pPr>
    </w:p>
    <w:p>
      <w:pPr>
        <w:ind w:left="1020" w:right="1100" w:hanging="503"/>
        <w:spacing w:after="0" w:line="282" w:lineRule="auto"/>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fail to approve companion diagnostic tests required for commercialization of our product candidates; and</w:t>
      </w:r>
    </w:p>
    <w:p>
      <w:pPr>
        <w:spacing w:after="0" w:line="53" w:lineRule="exact"/>
        <w:rPr>
          <w:rFonts w:ascii="Times New Roman" w:cs="Times New Roman" w:eastAsia="Times New Roman" w:hAnsi="Times New Roman"/>
          <w:sz w:val="18"/>
          <w:szCs w:val="18"/>
          <w:color w:val="231F20"/>
        </w:rPr>
      </w:pPr>
    </w:p>
    <w:p>
      <w:pPr>
        <w:ind w:left="1020" w:right="500" w:hanging="503"/>
        <w:spacing w:after="0" w:line="282" w:lineRule="auto"/>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approval policies or regulations of the FDA, EMA or other comparable foreign regulatory authorities may significantly change in a manner rendering our clinical data insufficient for approval.</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Any delay or failure in seeking or obtaining required approvals would have a material and adverse effect on our ability to generate revenue from any particular product candidates we are developing and for which we are seeking approval.</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Further, under the current leadership at the HHS, layoffs due to the reduction in force initiative and other measures implemented by the Department of Government Efficiency, the government shutdown, agency staff departures, and lapse of government appropriations can impact the normal operations of the FDA as well as other federal agencies. FDA may lack adequate staff and resources to meet current review, approval, and inspection schedules, which could delay our anticipated timelines. It is unclear how our industry and our clinical programs will be impacted by policies, regulations and initiatives implemented under the current administration and FDA commissioner, or other executive orders. There is significant uncertainty in the industry and how federal agencies like the FDA will change in the coming years under the current administration. To the extent the agency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8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231F20"/>
        </w:rPr>
        <w:t>reorganization and other agency changes lead to disruptions in FDA’s operations, our correspondence and regulatory review processes with the FDA may be materially delayed.</w:t>
      </w:r>
    </w:p>
    <w:p>
      <w:pPr>
        <w:spacing w:after="0" w:line="15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ind w:right="300" w:firstLine="509"/>
        <w:spacing w:after="0" w:line="256" w:lineRule="auto"/>
        <w:rPr>
          <w:sz w:val="20"/>
          <w:szCs w:val="20"/>
          <w:color w:val="auto"/>
        </w:rPr>
      </w:pPr>
      <w:r>
        <w:rPr>
          <w:rFonts w:ascii="Times New Roman" w:cs="Times New Roman" w:eastAsia="Times New Roman" w:hAnsi="Times New Roman"/>
          <w:sz w:val="18"/>
          <w:szCs w:val="18"/>
          <w:color w:val="231F20"/>
        </w:rPr>
        <w:t>If the FDA or EMA grants marketing approval of a product candidate, other comparable regulatory authorities in foreign jurisdictions must still approve the manufacturing, marketing and promotion and reimbursement of the product candidate in those countries.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U.S., including additional preclinical studies or clinical trials as clinical trials conducted in one jurisdiction may not be accepted by regulatory authorities in other jurisdictions. In many jurisdictions outside the U.S., a product candidate must be approved for reimbursement before it can be approved for sale in that jurisdiction.</w:t>
      </w:r>
    </w:p>
    <w:p>
      <w:pPr>
        <w:spacing w:after="0" w:line="7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231F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Even if our product candidates receive regulatory approval, such approval may be for a narrower indication than we seek, and our product candidates will be subject to significant post-marketing regulatory requirements and oversight.</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Furthermore, any regulatory approval to market a drug may be subject to significant limitations on the approved uses or indications for which we may market, promote and advertise the drug or the labeling or other restrictions. The regulatory authorities may require precautions or contra-indications with respect to conditions of use or they may grant approval subject to the performance of costly post-marketing clinical trials. In addition, the FDA has the authority to require a Risk Evaluation and Mitigation Strategy plan as part of approving a new drug application (NDA) or biologics license application,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Any of the foregoing scenarios could materially harm the commercial prospects for our product candidates and materially harm our business, financial condition, results of operations and prospects, and may significantly limit the size of the market for the drug and affect reimbursement by third-party payors.</w:t>
      </w:r>
    </w:p>
    <w:p>
      <w:pPr>
        <w:spacing w:after="0" w:line="8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 and GCP for any clinical trials that we conduct post-approval. Manufacturers of drug products and their facilities are also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86"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or the rejection of product approvals;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restrictions on our ability to conduct clinical trials, including full or partial clinical holds on ongoing or planned trials;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86"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restrictions on the products, manufacturers or manufacturing process;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warning or untitled letters;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civil and criminal penalties;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injunctions;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suspension or withdrawal of regulatory approvals;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product seizures, detentions or import bans;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voluntary or mandatory product recalls and publicity requirements;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total or partial suspension of production;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imposition of restrictions on operations, including costly new manufacturing requirements.</w:t>
      </w:r>
    </w:p>
    <w:p>
      <w:pPr>
        <w:spacing w:after="0" w:line="117"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231F20"/>
        </w:rPr>
        <w:t>The occurrence of any event or penalty described above may inhibit our ability to commercialize our product candidates, if approved, and generate revenue. Furthermore, non-compliance by us or any future collaborator with regulatory requirements, including safety monitoring and with requirements related to the development of products for the pediatric population can also result in significant financial penalties.</w:t>
      </w:r>
    </w:p>
    <w:p>
      <w:pPr>
        <w:spacing w:after="0" w:line="172"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To the extent we obtain orphan drug and other designations from the FDA for our product candidates, we may not realize the full benefits of such designations. Further, orphan drug exclusivity may not prevent the FDA, EMA or other comparable foreign regulatory authorities, from approving competing products.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Regulatory authorities in some jurisdictions, including the U.S. and the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Similarly, in the EU, the EC,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In the EU, orphan drug designation entitles a party to financial incentives such as reduction of fees or fee waivers and without incentives, it is unlikely that sales of the drug in Europe would be sufficient to justify the necessary investment in developing the drug.</w:t>
      </w:r>
    </w:p>
    <w:p>
      <w:pPr>
        <w:spacing w:after="0" w:line="86"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231F20"/>
        </w:rPr>
        <w:t xml:space="preserve">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U.S. provides that the FDA may not approve any other applications, including a full NDA, to market the same drug for the same indication for seven years, except in limited circumstances. In view of the court decision in the </w:t>
      </w:r>
      <w:r>
        <w:rPr>
          <w:rFonts w:ascii="Times New Roman" w:cs="Times New Roman" w:eastAsia="Times New Roman" w:hAnsi="Times New Roman"/>
          <w:sz w:val="18"/>
          <w:szCs w:val="18"/>
          <w:i w:val="1"/>
          <w:iCs w:val="1"/>
          <w:color w:val="231F20"/>
        </w:rPr>
        <w:t>Catalyst Pharms., Inc. v. Becerra</w:t>
      </w:r>
      <w:r>
        <w:rPr>
          <w:rFonts w:ascii="Times New Roman" w:cs="Times New Roman" w:eastAsia="Times New Roman" w:hAnsi="Times New Roman"/>
          <w:sz w:val="18"/>
          <w:szCs w:val="18"/>
          <w:color w:val="231F20"/>
        </w:rPr>
        <w:t>, 14 F.4</w:t>
      </w:r>
      <w:r>
        <w:rPr>
          <w:rFonts w:ascii="Times New Roman" w:cs="Times New Roman" w:eastAsia="Times New Roman" w:hAnsi="Times New Roman"/>
          <w:sz w:val="24"/>
          <w:szCs w:val="24"/>
          <w:color w:val="231F20"/>
          <w:vertAlign w:val="superscript"/>
        </w:rPr>
        <w:t>th</w:t>
      </w:r>
      <w:r>
        <w:rPr>
          <w:rFonts w:ascii="Times New Roman" w:cs="Times New Roman" w:eastAsia="Times New Roman" w:hAnsi="Times New Roman"/>
          <w:sz w:val="18"/>
          <w:szCs w:val="18"/>
          <w:color w:val="231F20"/>
        </w:rPr>
        <w:t xml:space="preserve"> 1299 (11</w:t>
      </w:r>
      <w:r>
        <w:rPr>
          <w:rFonts w:ascii="Times New Roman" w:cs="Times New Roman" w:eastAsia="Times New Roman" w:hAnsi="Times New Roman"/>
          <w:sz w:val="24"/>
          <w:szCs w:val="24"/>
          <w:color w:val="231F20"/>
          <w:vertAlign w:val="superscript"/>
        </w:rPr>
        <w:t>th</w:t>
      </w:r>
      <w:r>
        <w:rPr>
          <w:rFonts w:ascii="Times New Roman" w:cs="Times New Roman" w:eastAsia="Times New Roman" w:hAnsi="Times New Roman"/>
          <w:sz w:val="18"/>
          <w:szCs w:val="18"/>
          <w:color w:val="231F20"/>
        </w:rPr>
        <w:t xml:space="preserve"> Cir. 2021) case, in a January 2023 notice, the FDA clarified that while the agency complies with the court’s order in </w:t>
      </w:r>
      <w:r>
        <w:rPr>
          <w:rFonts w:ascii="Times New Roman" w:cs="Times New Roman" w:eastAsia="Times New Roman" w:hAnsi="Times New Roman"/>
          <w:sz w:val="18"/>
          <w:szCs w:val="18"/>
          <w:i w:val="1"/>
          <w:iCs w:val="1"/>
          <w:color w:val="231F20"/>
        </w:rPr>
        <w:t>Catalyst</w:t>
      </w:r>
      <w:r>
        <w:rPr>
          <w:rFonts w:ascii="Times New Roman" w:cs="Times New Roman" w:eastAsia="Times New Roman" w:hAnsi="Times New Roman"/>
          <w:sz w:val="18"/>
          <w:szCs w:val="18"/>
          <w:color w:val="231F20"/>
        </w:rPr>
        <w:t xml:space="preserve">, the FDA intends to continue to apply its longstanding interpretation of the regulations to matters outside of the scope of the </w:t>
      </w:r>
      <w:r>
        <w:rPr>
          <w:rFonts w:ascii="Times New Roman" w:cs="Times New Roman" w:eastAsia="Times New Roman" w:hAnsi="Times New Roman"/>
          <w:sz w:val="18"/>
          <w:szCs w:val="18"/>
          <w:i w:val="1"/>
          <w:iCs w:val="1"/>
          <w:color w:val="231F20"/>
        </w:rPr>
        <w:t>Catalyst</w:t>
      </w:r>
      <w:r>
        <w:rPr>
          <w:rFonts w:ascii="Times New Roman" w:cs="Times New Roman" w:eastAsia="Times New Roman" w:hAnsi="Times New Roman"/>
          <w:sz w:val="18"/>
          <w:szCs w:val="18"/>
          <w:color w:val="231F20"/>
        </w:rPr>
        <w:t xml:space="preserve"> order – that is, the scope of the orphan-drug exclusivity is limited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 The applicable exclusivity period for an orphan drug is ten years in the EU. The EU orphan exclusivity period can be reduced to six years if a drug no longer meets the criteria for orphan drug designation or if the drug is sufficiently profitable so that market exclusivity is no longer justified.</w:t>
      </w:r>
    </w:p>
    <w:p>
      <w:pPr>
        <w:spacing w:after="0" w:line="8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Under the Rare Pediatric Disease Priority Review Voucher program, a sponsor who receives an approval for a drug or biological product for a rare pediatric disease may qualify for a voucher that can be redeemed to receive priority review for a different product. The sponsor may also transfer or sell the voucher to another sponsor. FDA</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86"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awards rare pediatric disease priority review vouchers to sponsors of rare pediatric disease products that are approved and meet certain criteria, including a product candidate intended to treat a manifestation of a serious or life-threatening disease or condition in children aged 0 through 18 years of age. The rare pediatric disease priority review program began to sunset on December 20, 2024. The FDA may now only award a voucher for an approved rare pediatric disease product application if the sponsor has rare pediatric disease designation for a drug and that designation was granted before December 20, 2024.</w:t>
      </w:r>
    </w:p>
    <w:p>
      <w:pPr>
        <w:spacing w:after="0" w:line="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After September 30, 2026, the FDA may not award any rare pediatric disease priority review vouchers. There is no guarantee that any of our product candidates will be approved by that date, or at all. We may not obtain a priority review voucher prior to expiration of the program, unless Congress further reauthorizes the program.</w:t>
      </w:r>
    </w:p>
    <w:p>
      <w:pPr>
        <w:spacing w:after="0" w:line="7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lead product candidates from our gene therapy platform, TN-201 and TN-401, have each been granted orphan drug designation by the FDA and the EC, and we may seek orphan drug designation for other product candidates in the U.S., Europe and other jurisdictions. TN-201 has also received rare pediatric disease designation from the FDA for MYBPC3-associated HCM. We may not be able to maintain orphan drug exclusivity for our product candidates and may not realize all the benefits of the orphan drug designation and the rare pediatric disease designation. Receiving these designations does not change FDA’s standards for regulatory approval of our product candidates and may not lead to faster regulatory review of any product candidate or increase the likelihood that any product candidate will receive marketing approval, if at all. We may seek orphan drug designation for other product candidates in the U.S., Europe and other jurisdictions, however, </w:t>
      </w:r>
      <w:r>
        <w:rPr>
          <w:rFonts w:ascii="Times New Roman" w:cs="Times New Roman" w:eastAsia="Times New Roman" w:hAnsi="Times New Roman"/>
          <w:sz w:val="18"/>
          <w:szCs w:val="18"/>
          <w:color w:val="231F20"/>
        </w:rPr>
        <w:t>there can be no assurances that we will be able to obtain orphan drug designation for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other product candidates</w:t>
      </w:r>
      <w:r>
        <w:rPr>
          <w:rFonts w:ascii="Times New Roman" w:cs="Times New Roman" w:eastAsia="Times New Roman" w:hAnsi="Times New Roman"/>
          <w:sz w:val="18"/>
          <w:szCs w:val="18"/>
          <w:color w:val="000000"/>
        </w:rPr>
        <w:t>.</w:t>
      </w:r>
    </w:p>
    <w:p>
      <w:pPr>
        <w:spacing w:after="0" w:line="8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We may not be the first to obtain marketing approval of any product candidate for which we have obtained orphan drug designation for the orphan-designated indication, in which case we could be precluded from receiving marketing approval for our product candidate for the applicable exclusivity period. In addition, exclusive marketing rights in the U.S.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face difficulties from changes to current FDA and healthcare regulations and future legislation.</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231F20"/>
        </w:rPr>
        <w:t>Existing regulatory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We also cannot predict the likelihood, nature or extent of government regulation that may arise from future legislation or administrative or executive action, either in the U.S. or abroad. For example, certain policies of the current U.S. administration may impact our business and industry, which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current and future legislation, executive actions, and litigation, including the executive orders referenced below, will be implemented, and the extent to which they will impact our business, our clinical development, and the FDA’s and other agencies’ ability to exercise their regulatory authority, including FDA’s pre-approval inspection and timely review of any regulatory filings or applications we submit to the FDA. If these executive actions impose constraints on FDA’s ability to engage in oversight and implementation activities in the normal course or constraints on our business operations, including operations of our contractors, our business may be negatively impacted.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8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In June 2024, the U.S. Supreme Court overruled the Chevron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Further, under the new leadership at the HHS under the current U.S. presidential administration, agency reorganization, mass layoffs due to the reduction in force initiative and other measures implemented by the Department of Government Efficiency may impact the normal operations of the FDA as well as other federal agencies. FDA may lack adequate staff and resources to meet current review, approval, and inspection schedules, which could delay our anticipated timelines. To the extent the agency reorganization and other agency changes lead to disruptions in FDA’s operations, our correspondence and regulatory review processes with the FDA may be materially delayed.</w:t>
      </w:r>
    </w:p>
    <w:p>
      <w:pPr>
        <w:spacing w:after="0" w:line="86"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231F20"/>
        </w:rPr>
        <w:t>The pharmaceutical industry in the U.S. has also been significantly impacted by other major legislative initiatives. Under the American Rescue Plan Act of 2021, the statutory cap on Medicaid Drug Rebate Program rebates that manufacturers pay to state Medicaid programs was eliminated. Elimination of this cap may require pharmaceutical manufacturers to pay more in rebates than it receives on the sale of products, which could have a material impact on our business.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stakeholders, including pharmaceutical companies and the Pharmaceutical Research and Manufacturers of America, have initiated lawsuits against the federal government asserting that the price negotiation provisions of the IRA are unconstitutional. Further, 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In September and October 2025, the government announced the first agreements with two major pharmaceutical companies to bring American drug prices in line with the lowest paid by other developed nations, requiring the companies to offer medicines at a deep discount off the list price when selling directly to American patients. Such agreements and other government measures that use most-favored-nation pricing targets for prescription drugs, including the use of international pricing reference to set drug prices in the United States, or increases generic and biosimilar drug entry sooner than expected, that can have a material adverse effect on our industry, ability to set adequate pricing for new drugs to recover R&amp;D costs,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 and manufacturing in the United States. The impact of ongoing and future judicial challenges as well as future legislative, executive, and administrative actions and any future healthcare measures and agency rules implemented by the current administration on us and the pharmaceutical industry as a whole is unclear. Further, changes to the leadership of federal agencies under the current administration, as well as new policies, executive orders and actions, such as a freeze on hiring, return-to-office policy, and a freeze on implementing new regulations and on external communications, may impact normal operations of the FDA and other agencies or result in a material impact on our clinical development plans and timelines. The implementation of cost containment measures, including the prescription drug provisions under the IRA, as well as other healthcare reforms may prevent us from being able to generate revenue, attain profitability, or commercialize our product candidates if approved.</w:t>
      </w:r>
    </w:p>
    <w:p>
      <w:pPr>
        <w:spacing w:after="0" w:line="9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8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231F20"/>
        </w:rPr>
        <w:t>regulatory approval for any of our products. We are unable to predict the future course of federal or state healthcare legislation in the U.S.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spacing w:after="0" w:line="7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231F20"/>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79"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The regulatory framework for privacy and personal information security issues worldwide is rapidly evolving and is likely to remain uncertain for the foreseeable future. The U.S. federal and various state, local and foreign government bodies and agencies have adopted or are considering adopting laws, rules, regulations and standards limiting, or laws, rules, regulations and standards regarding, the collection, distribution, use, disclosure, storage, transfer, security and other processing of personal information.</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 xml:space="preserve">Outside of the U.S., relevant legal requirements continue to evolve. For example, the collection and use of health data and other personal data including personal data collected in clinical trials is governed in the EU by the </w:t>
      </w:r>
      <w:r>
        <w:rPr>
          <w:rFonts w:ascii="Times New Roman" w:cs="Times New Roman" w:eastAsia="Times New Roman" w:hAnsi="Times New Roman"/>
          <w:sz w:val="18"/>
          <w:szCs w:val="18"/>
          <w:color w:val="000000"/>
        </w:rPr>
        <w:t>General Data Protection Regulation (</w:t>
      </w:r>
      <w:r>
        <w:rPr>
          <w:rFonts w:ascii="Times New Roman" w:cs="Times New Roman" w:eastAsia="Times New Roman" w:hAnsi="Times New Roman"/>
          <w:sz w:val="18"/>
          <w:szCs w:val="18"/>
          <w:color w:val="231F20"/>
        </w:rPr>
        <w:t xml:space="preserve">GDPR), which imposes substantial obligations upon companies and new rights for individuals, by certain EU member state-level legislation. </w:t>
      </w:r>
      <w:r>
        <w:rPr>
          <w:rFonts w:ascii="Times New Roman" w:cs="Times New Roman" w:eastAsia="Times New Roman" w:hAnsi="Times New Roman"/>
          <w:sz w:val="18"/>
          <w:szCs w:val="18"/>
          <w:color w:val="000000"/>
        </w:rPr>
        <w:t>The GDPR also forms part of the law of England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and Wales, Scotland and Northern Ireland by virtue of section 3 of the European Union (Withdrawal) Act 2018 and as amended by the Data Protection, Privacy and Electronic Communications (Amendments etc.) (EU Exit) Regulations 2019 (SI 2019/419), known as UK GDPR. </w:t>
      </w:r>
      <w:r>
        <w:rPr>
          <w:rFonts w:ascii="Times New Roman" w:cs="Times New Roman" w:eastAsia="Times New Roman" w:hAnsi="Times New Roman"/>
          <w:sz w:val="18"/>
          <w:szCs w:val="18"/>
          <w:color w:val="231F20"/>
        </w:rPr>
        <w:t>Failure to comply with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GDPR or UK GDPR may result in fines up to €20,000,000 </w:t>
      </w:r>
      <w:r>
        <w:rPr>
          <w:rFonts w:ascii="Times New Roman" w:cs="Times New Roman" w:eastAsia="Times New Roman" w:hAnsi="Times New Roman"/>
          <w:sz w:val="18"/>
          <w:szCs w:val="18"/>
          <w:color w:val="000000"/>
        </w:rPr>
        <w:t>(£17.5 million in the UK)</w:t>
      </w:r>
      <w:r>
        <w:rPr>
          <w:rFonts w:ascii="Times New Roman" w:cs="Times New Roman" w:eastAsia="Times New Roman" w:hAnsi="Times New Roman"/>
          <w:sz w:val="18"/>
          <w:szCs w:val="18"/>
          <w:color w:val="231F20"/>
        </w:rPr>
        <w:t xml:space="preserve"> or 4% of the total worldwide annual turnover of the preceding financial year, whichever is higher, and other administrative penalties. The GDPR or UK GDPR have increased our responsibility and liability in relation to personal data that we may process, and we may be required to implement additional measures in an effort to comply with the GDPR and UK GDPR or with other laws, rules, regulations and standards in the EEA, UK and Switzerland relating to privacy and data protection. This may be onerous and if our efforts to comply with GDPR and UK GDPR or other applicable laws, rules, regulations and standards are not successful, or are perceived to be unsuccessful, it could adversely affect our business. Further, restrictions on the transfer of personal data from the EEA, UK, Switzerland or other jurisdictions to the U.S. or other regions, could restrict our activities in those jurisdictions, limit our ability to provide our products and services in those jurisdictions, require us to modify our policies and practices, and to engage in additional contractual negotiations, or increase our costs and obligations and impose limitations upon our ability to efficiently transfer personal data to the U.S. </w:t>
      </w:r>
      <w:r>
        <w:rPr>
          <w:rFonts w:ascii="Times New Roman" w:cs="Times New Roman" w:eastAsia="Times New Roman" w:hAnsi="Times New Roman"/>
          <w:sz w:val="18"/>
          <w:szCs w:val="18"/>
          <w:color w:val="000000"/>
        </w:rPr>
        <w:t>In Canada, the Personal Information Protection and Electronic Documents Act (PIPEDA)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similar provincial laws impose obligations on companies with respect to processing personal information, including health-related information, regarding Canadian data subjects and provides individuals certain rights with respect to such information, including the right to access and challenge the accuracy of their personal information held by an organization. Failure to comply with PIPEDA, where applicable, could result in fines and penalties</w:t>
      </w:r>
      <w:r>
        <w:rPr>
          <w:rFonts w:ascii="Times New Roman" w:cs="Times New Roman" w:eastAsia="Times New Roman" w:hAnsi="Times New Roman"/>
          <w:sz w:val="18"/>
          <w:szCs w:val="18"/>
          <w:color w:val="231F20"/>
        </w:rPr>
        <w:t>.</w:t>
      </w:r>
    </w:p>
    <w:p>
      <w:pPr>
        <w:spacing w:after="0" w:line="8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231F20"/>
        </w:rPr>
        <w:t>In the U.S., a variety of laws, rules, regulations and standards relating to privacy, data protection, security, and the collection, use, transfer, and other processing of data potentially may apply to our activities, such as state data breach notification laws, state personal data privacy laws, for example, the CCPA, state health information privacy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 xml:space="preserve">laws, and federal and state consumer protection laws. The CCPA requires covered businesses that process personal information of California residents to disclose their data collection, use, sharing and retention practices, provides California residents with data privacy rights (including the ability to opt out of certain disclosures of personal information including for certain advertising purposes), imposes operational requirements for 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judgments and settlements). Although there are limited exemptions for clinical trial data under the CCPA and certain other state laws, the CCPA and other new and evolving state laws could impact our business activities, depending on their interpretation. Numerous </w:t>
      </w:r>
      <w:r>
        <w:rPr>
          <w:rFonts w:ascii="Times New Roman" w:cs="Times New Roman" w:eastAsia="Times New Roman" w:hAnsi="Times New Roman"/>
          <w:sz w:val="18"/>
          <w:szCs w:val="18"/>
          <w:color w:val="000000"/>
        </w:rPr>
        <w:t>other states have enacted laws relating to privacy and data security that either are in operation or slated to go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into operation over the next several years. In many cases, these laws are comprehensive privacy laws similar to the CCPA, with potentially greater penalties and more rigorous compliance requirements</w:t>
      </w:r>
      <w:r>
        <w:rPr>
          <w:rFonts w:ascii="Times New Roman" w:cs="Times New Roman" w:eastAsia="Times New Roman" w:hAnsi="Times New Roman"/>
          <w:sz w:val="18"/>
          <w:szCs w:val="18"/>
          <w:color w:val="231F20"/>
        </w:rPr>
        <w:t>. States also are enacting laws addressing specific subject matter, such as Washington’s My Health, My Data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Act, which includes a private right of action. Laws in all 50 states may require businesses to provide notice to individuals whose personal data has been disclosed as a result of a data breach. Finally, federal, state and foreign laws, rules, regulations and standards may apply generally to the privacy and security of information we maintain, and may differ from each other significantly, thus complicating compliance efforts and potentially requiring us to undertake additional measures to comply with them.</w:t>
      </w:r>
    </w:p>
    <w:p>
      <w:pPr>
        <w:spacing w:after="0" w:line="79"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231F20"/>
        </w:rPr>
        <w:t>With the GDPR, PIPEDA, CCPA, and other laws, regulations and other obligations relating to privacy, data protection and security,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w:t>
      </w:r>
    </w:p>
    <w:p>
      <w:pPr>
        <w:spacing w:after="0" w:line="7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231F20"/>
        </w:rPr>
        <w:t>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 alleged to have failed to do so. Any failure or perceived failure by us or our vendors or service providers to comply with our applicable policies or notices relating to privacy or data protection, our contractual or other obligations to third parties, or any of our other legal obligations, laws, rules, regulations and standards relating to privacy or data protection, may result in governmental investigations or enforcement actions, litigation, claims and other proceedings, harm our reputation, and could result in significant liability.</w:t>
      </w:r>
    </w:p>
    <w:p>
      <w:pPr>
        <w:spacing w:after="0" w:line="18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231F20"/>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75" w:lineRule="exact"/>
        <w:rPr>
          <w:sz w:val="20"/>
          <w:szCs w:val="20"/>
          <w:color w:val="auto"/>
        </w:rPr>
      </w:pPr>
    </w:p>
    <w:p>
      <w:pPr>
        <w:ind w:right="360" w:firstLine="509"/>
        <w:spacing w:after="0" w:line="258" w:lineRule="auto"/>
        <w:rPr>
          <w:sz w:val="20"/>
          <w:szCs w:val="20"/>
          <w:color w:val="auto"/>
        </w:rPr>
      </w:pPr>
      <w:r>
        <w:rPr>
          <w:rFonts w:ascii="Times New Roman" w:cs="Times New Roman" w:eastAsia="Times New Roman" w:hAnsi="Times New Roman"/>
          <w:sz w:val="18"/>
          <w:szCs w:val="18"/>
          <w:color w:val="231F20"/>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spacing w:after="0" w:line="75" w:lineRule="exact"/>
        <w:rPr>
          <w:sz w:val="20"/>
          <w:szCs w:val="20"/>
          <w:color w:val="auto"/>
        </w:rPr>
      </w:pPr>
    </w:p>
    <w:p>
      <w:pPr>
        <w:ind w:left="1020" w:right="20" w:hanging="503"/>
        <w:spacing w:after="0" w:line="261" w:lineRule="auto"/>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1" w:lineRule="exact"/>
        <w:rPr>
          <w:rFonts w:ascii="Times New Roman" w:cs="Times New Roman" w:eastAsia="Times New Roman" w:hAnsi="Times New Roman"/>
          <w:sz w:val="18"/>
          <w:szCs w:val="18"/>
          <w:color w:val="231F20"/>
        </w:rPr>
      </w:pPr>
    </w:p>
    <w:p>
      <w:pPr>
        <w:ind w:left="1020" w:right="180" w:hanging="503"/>
        <w:spacing w:after="0" w:line="266" w:lineRule="auto"/>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86" w:lineRule="exact"/>
        <w:rPr>
          <w:sz w:val="20"/>
          <w:szCs w:val="20"/>
          <w:color w:val="auto"/>
        </w:rPr>
      </w:pPr>
    </w:p>
    <w:p>
      <w:pPr>
        <w:ind w:left="1020" w:right="760"/>
        <w:spacing w:after="0" w:line="282" w:lineRule="auto"/>
        <w:rPr>
          <w:sz w:val="20"/>
          <w:szCs w:val="20"/>
          <w:color w:val="auto"/>
        </w:rPr>
      </w:pPr>
      <w:r>
        <w:rPr>
          <w:rFonts w:ascii="Times New Roman" w:cs="Times New Roman" w:eastAsia="Times New Roman" w:hAnsi="Times New Roman"/>
          <w:sz w:val="18"/>
          <w:szCs w:val="18"/>
          <w:color w:val="231F20"/>
        </w:rPr>
        <w:t>the federal government, claims for payment that are false or fraudulent or making a false statement to avoid, decrease or conceal an obligation to pay money to the federal government;</w:t>
      </w:r>
    </w:p>
    <w:p>
      <w:pPr>
        <w:spacing w:after="0" w:line="54" w:lineRule="exact"/>
        <w:rPr>
          <w:sz w:val="20"/>
          <w:szCs w:val="20"/>
          <w:color w:val="auto"/>
        </w:rPr>
      </w:pPr>
    </w:p>
    <w:p>
      <w:pPr>
        <w:ind w:left="1020" w:right="660" w:hanging="503"/>
        <w:spacing w:after="0" w:line="282" w:lineRule="auto"/>
        <w:tabs>
          <w:tab w:leader="none" w:pos="102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spacing w:after="0" w:line="53" w:lineRule="exact"/>
        <w:rPr>
          <w:rFonts w:ascii="Times New Roman" w:cs="Times New Roman" w:eastAsia="Times New Roman" w:hAnsi="Times New Roman"/>
          <w:sz w:val="18"/>
          <w:szCs w:val="18"/>
          <w:color w:val="231F20"/>
        </w:rPr>
      </w:pPr>
    </w:p>
    <w:p>
      <w:pPr>
        <w:ind w:left="1020" w:right="40" w:hanging="503"/>
        <w:spacing w:after="0" w:line="258" w:lineRule="auto"/>
        <w:tabs>
          <w:tab w:leader="none" w:pos="102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Civil Monetary Penalty Act of 1981 and implementing regulations, which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offered or transferred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75" w:lineRule="exact"/>
        <w:rPr>
          <w:rFonts w:ascii="Times New Roman" w:cs="Times New Roman" w:eastAsia="Times New Roman" w:hAnsi="Times New Roman"/>
          <w:sz w:val="18"/>
          <w:szCs w:val="18"/>
          <w:color w:val="231F20"/>
        </w:rPr>
      </w:pPr>
    </w:p>
    <w:p>
      <w:pPr>
        <w:ind w:left="1020" w:right="120" w:hanging="503"/>
        <w:spacing w:after="0" w:line="261" w:lineRule="auto"/>
        <w:tabs>
          <w:tab w:leader="none" w:pos="102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HIPAA, as amended by the Health Information Technology for Economic and Clinical Health Act and their implementing regulations, also imposes obligations, including mandatory contractual terms, on covered entities, which are health plans, healthcare clearinghouses, and certain health care providers, as those terms are defined by HIPAA, and their respective business associates and their subcontractors, with respect to safeguarding the privacy, security and transmission of individually identifiable health information;</w:t>
      </w:r>
    </w:p>
    <w:p>
      <w:pPr>
        <w:spacing w:after="0" w:line="71" w:lineRule="exact"/>
        <w:rPr>
          <w:rFonts w:ascii="Times New Roman" w:cs="Times New Roman" w:eastAsia="Times New Roman" w:hAnsi="Times New Roman"/>
          <w:sz w:val="18"/>
          <w:szCs w:val="18"/>
          <w:color w:val="231F20"/>
        </w:rPr>
      </w:pPr>
    </w:p>
    <w:p>
      <w:pPr>
        <w:ind w:left="1020" w:right="220" w:hanging="503"/>
        <w:spacing w:after="0" w:line="282" w:lineRule="auto"/>
        <w:tabs>
          <w:tab w:leader="none" w:pos="102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federal consumer protection and unfair competition laws, which broadly regulate marketplace activities and activities that potentially harm consumers;</w:t>
      </w:r>
    </w:p>
    <w:p>
      <w:pPr>
        <w:spacing w:after="0" w:line="53" w:lineRule="exact"/>
        <w:rPr>
          <w:rFonts w:ascii="Times New Roman" w:cs="Times New Roman" w:eastAsia="Times New Roman" w:hAnsi="Times New Roman"/>
          <w:sz w:val="18"/>
          <w:szCs w:val="18"/>
          <w:color w:val="231F20"/>
        </w:rPr>
      </w:pPr>
    </w:p>
    <w:p>
      <w:pPr>
        <w:ind w:left="1020" w:right="20" w:hanging="503"/>
        <w:spacing w:after="0" w:line="256" w:lineRule="auto"/>
        <w:tabs>
          <w:tab w:leader="none" w:pos="102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certain non-physician healthcare professionals (such as nurse practitioners and physician assistants, among others), and teaching hospitals as well as information regarding ownership and investment interests held by physicians and their immediate family members; and</w:t>
      </w:r>
    </w:p>
    <w:p>
      <w:pPr>
        <w:spacing w:after="0" w:line="79" w:lineRule="exact"/>
        <w:rPr>
          <w:rFonts w:ascii="Times New Roman" w:cs="Times New Roman" w:eastAsia="Times New Roman" w:hAnsi="Times New Roman"/>
          <w:sz w:val="18"/>
          <w:szCs w:val="18"/>
          <w:color w:val="231F20"/>
        </w:rPr>
      </w:pPr>
    </w:p>
    <w:p>
      <w:pPr>
        <w:ind w:left="1020" w:hanging="503"/>
        <w:spacing w:after="0" w:line="254" w:lineRule="auto"/>
        <w:tabs>
          <w:tab w:leader="none" w:pos="102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Efforts to ensure that our current and future business arrangements with third parties will comply with applicable healthcare and data privacy and security laws and regulations will involve substantial ongoing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current or future statutes, regulations or case law involving applicable fraud and abuse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8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231F20"/>
        </w:rPr>
        <w:t>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5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employees, independent contractors, consultants, commercial collaborators, principal investigators, CROs, CDMOs, suppliers and vendors may engage in misconduct or other improper activities, including non-compliance with regulatory standards and requirements.</w:t>
      </w:r>
    </w:p>
    <w:p>
      <w:pPr>
        <w:spacing w:after="0" w:line="5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231F20"/>
        </w:rPr>
        <w:t>We are exposed to the risk that our employees, independent contractors, consultants, commercial collaborators, principal investigators, CROs, CDMOs,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9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comply with environmental, health and safety laws and regulations, we could become subject to fines or penalties or incur costs that could have a material adverse effect on our business.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7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231F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7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business activities are subject to the U.S. Foreign Corrupt Practices Act and similar anti-bribery and anti-corruption laws of other countries in which we operate, as well as U.S. and certain foreign export controls, trade</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9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sanctions, and import laws and regulations. Compliance with these legal requirements could limit our ability to compete in foreign markets and subject us to liability if we violate them.</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231F20"/>
        </w:rPr>
        <w:t>Our business activities are subject to the U.S. Foreign Corrupt Practices Act of 1977, as amended (FCPA), the U.S. domestic bribery statute contained in 18 U.S.C. § 201, the U.S. Travel Act, and similar anti-bribery or anti-corruption laws, regulations or rules of other countries in which we operate. These laws generally prohibit companies and their employees and agents from offering or providing improper payments or benefits to recipients in the public or private sector.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We sometimes leverage third parties to assist with the conduct of our business abroad. As we increase our international business activities, our risks under these laws may increase. We, our employees and agents may have direct or indirect interactions with officials and employees of government agencies or state-owned or affiliated entities and may be held liable for the corrupt or other illegal activities of these employees and agents even if we do not explicitly authorize such activities.</w:t>
      </w:r>
    </w:p>
    <w:p>
      <w:pPr>
        <w:spacing w:after="0" w:line="72"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231F20"/>
        </w:rPr>
        <w:t>These laws also require that we make and keep books and records that accurately and fairly reflect the transactions of the corporation and to devise and maintain an adequate system of internal accounting controls and compliance procedures designed to prevent violations of anti-corruption laws. While we have policies and procedures to address compliance with such laws, we cannot assure you that all of our employees and agents will not take actions in violation of applicable law for which we may be ultimately held responsible.</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Allegations or violations of these laws and regulations could result in whistleblower complaints, fines, severe civil or criminal sanctions, settlements, prosecution, enforcement actions, damages, adverse media coverage, investigations, loss of export privileges, disgorgement, and other remedial measures, suspension or debarment from government contracts and prohibitions on the conduct of our business including our ability to offer our products in one or more countries. Responding to any investigation or action will likely result in a materially significant diversion of management’s attention and resources and significant defense costs and other professional fees. As a general matter, investigations, enforcement actions and sanctions could damage our reputation, our brand, our international activities, our ability to attract and retain employees and our business, prospects, operating results and financial condition.</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w:t>
      </w:r>
    </w:p>
    <w:p>
      <w:pPr>
        <w:spacing w:after="0" w:line="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There is currently significant uncertainty about the future relationship between the U.S. and various other countries, most significantly China, with respect to trade restrictions, treaties, foreign investment laws, data transfer restrictions, and other limitations on cross-border operations. The U.S. government has made and continues to make significant additional changes in U.S. trade policy and may continue to take future actions that could introduce additional restrictions and negatively impact our business. For example, legislation in Congress known as the BIOSECURE Act has been re-introduced as an amendment to the National Defense Authorization Act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8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tariffs on imports, trade sanctions, other trade restrictions, or a global trade war could increase our costs and materially and adversely affect our business operations and financial condition.</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business could be negatively affected by tariffs, trade restrictions, and other governmental actions, any of which can be imposed suddenly and unpredictably. For example, there is currently significant uncertainty about the future relationship between the U.S. and various other countries with respect to trade policies, treaties, trade regulations, and tariffs. Recently, the U.S. government has imposed or announced various new tariffs on certain imports, most prominently from China and Brazil, and additional tariffs may be forthcoming. For example, the U.S. Commerce Department has also announced an investigation into potential tariffs on pharmaceuticals, pharmaceutical ingredients, and derivative products, as well as semiconductors and other electronics, among other items; when these investigations are complete, the U.S. government may decide to levy additional tariffs on these products. These or additional tariffs (and the uncertainty around their implementation) could affect inputs to our products, as well as equipment, materials, or components that we import into the U.S. from our suppliers, which could significantly impact the cost of these items. Retaliatory tariffs could also negatively affect our ability to export and sell our potential products into those countries. If these tariffs are implemented, reinstated or adjusted, if additional tariffs are placed, or if any related countermeasures are taken by the United States or other countries, our business, financial condition, and results of operations may be materially harmed.</w:t>
      </w:r>
    </w:p>
    <w:p>
      <w:pPr>
        <w:spacing w:after="0" w:line="84"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Trade restrictions, tariffs, and other general economic or political conditions may limit our ability to obtain key materials, components, or equipment for our products or significantly increase supply chain costs and other expenses associated with our business, which could further materially and adversely affect our results of operations, financial condition, and prospects. The ultimate impact of any tariffs or trade restrictions will depend on various factors, including the timing of implementation and the duration, amount, scope, and nature of the tariffs and trade restrictions and reactions from other countries.</w:t>
      </w:r>
    </w:p>
    <w:p>
      <w:pPr>
        <w:spacing w:after="0" w:line="56"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Tariffs, trade restrictions or any resulting trade war could negatively affect the global market, including for pharmaceuticals, and could have a significant adverse effect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Changes in tax law could increase the tax burden on our orphan drug programs and adversely affect our business and financial condition.</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231F20"/>
        </w:rPr>
        <w:t>Changes in tax law, including to the orphan drug tax credit and other changes to U.S. and non-U.S. taxation, could increase our tax liability and adversely affect our operating results. For example, starting from January 1, 2022, the Tax Cuts and Jobs Act of 2017 requires taxpayers to capitalize domestic research and development costs in the year incurred and amortize such costs rather than deduct such costs in the year incurred. On July 4, 2025, the U.S. federal tax legislation commonly referred to as the One Big Beautiful Bill Act (the OBBB Act) was enacted, which makes a number of changes to U.S. federal income tax law, including permanently suspending the requirement to capitalize and amortize domestic research and development expenditures and permitting such deductions on a current basis. We are currently evaluating the full impact of the OBBB Act on us. These changes could affect our total federal tax liability when and if we become profitable.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Employee Matters, Managing Our Growth and Other 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success is highly dependent on our ability to attract and retain highly skilled executive officers and employees.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We are highly dependent on the principal members of our management, our scientific founders and other scientific and clinical advisors and consultants, and our scientific and medical staff. The Workforce Reduction, and any future cost containment initiatives, could have an adverse impact on our ability to retain and recruit qualified personnel. If we do not succeed in attracting and retaining such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do not maintain “key person” insurance for any of our executives or other employees. We could in the future have difficulty attracting and retaining experienced personnel and may be required to expend significant financial resources in our employee recruitment and retention efforts.</w:t>
      </w:r>
    </w:p>
    <w:p>
      <w:pPr>
        <w:spacing w:after="0" w:line="8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Many of the other biotechnology companies that we compete against for qualified personnel have greater financial and other resources, different risk profiles and a longer history in the industry than we do. They also may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86"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231F20"/>
        </w:rPr>
        <w:t>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7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231F20"/>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spacing w:after="0" w:line="18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In order to successfully implement our long-term plans and strategies, we will need to grow the size of our organization, and we may experience difficulties in managing this growth.</w:t>
      </w:r>
    </w:p>
    <w:p>
      <w:pPr>
        <w:spacing w:after="0" w:line="51"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231F20"/>
        </w:rPr>
        <w:t>In order to successfully implement our development and commercialization plans and strategies, we expect to need additional managerial, operational, sales, marketing, financial and other personnel in the future.</w:t>
      </w:r>
    </w:p>
    <w:p>
      <w:pPr>
        <w:spacing w:after="0" w:line="5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231F20"/>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We currently rely, and for the foreseeable future will continue to rely, in substantial part on certain independent organizations, advisors and consultants to provide certain services, including key aspects of our research and development, clinical development, manufacturing and operations.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the initiation and conduct of our planned clinical trials may be extended, delayed or terminated, and we may not be able to obtain marketing approval of our product candidates or otherwise advance our programs and business. We cannot assure you that we will be able to manage our existing third-party service providers or find other competent outside contractors and consultants on economically reasonable terms, or at all.</w:t>
      </w:r>
    </w:p>
    <w:p>
      <w:pPr>
        <w:spacing w:after="0" w:line="84"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231F20"/>
        </w:rPr>
        <w:t>If, subject to the successful clinical development of our product candidates, we are not able to effectively expand our organization by hiring new employees and/or engaging additional third-party service providers, we may not be able to successfully implement the tasks necessary to develop and commercialize our product candidates and, accordingly, may not achieve our research, development and commercialization goals.</w:t>
      </w:r>
    </w:p>
    <w:p>
      <w:pPr>
        <w:spacing w:after="0" w:line="17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Our computer systems, or those of any of our CROs, manufacturers, contractors, consultants or other third parties or potential future collaborators, may fail or suffer security incidents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part of our business, we and our CROs, manufacturers, contractors (including sites performing our clinical trials), consultants and other third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collect, maintain and transmit sensitive data on our networks and systems, including our intellectual property and proprietary and confidential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color w:val="231F20"/>
        </w:rPr>
        <w:t>usiness information (such as research data and personal information). Despite the implementation of security measures in an effort to protect systems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store our information, given their size and complexity and the increasing amounts of information maintained on our internal information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systems, and those of our third-party CROs, manufacturers, contractors (including sites performing our clinical trials), consultants and other third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such systems are vulnerable to breakdown or other damage or interruption from, among other things, inadvertent or intentional actions by our employees,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contractors, consultants, business partners, and other third parties and cyber-attacks and other hacking attempts by malicious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231F20"/>
        </w:rPr>
        <w:t xml:space="preserve">third parties, which may disrupt or compromise our system infrastructure or lead to the loss, destruction, alteration, prevention of access to, disclosure, dissemination of, or damage or unauthorized access to, our data or other data that we process or maintain or that is processed or maintained on our behalf, or other assets. Although we have not observed material impacts of cyber-attacks on our operations and financial condition </w:t>
      </w:r>
      <w:r>
        <w:rPr>
          <w:rFonts w:ascii="Times New Roman" w:cs="Times New Roman" w:eastAsia="Times New Roman" w:hAnsi="Times New Roman"/>
          <w:sz w:val="18"/>
          <w:szCs w:val="18"/>
          <w:color w:val="000000"/>
        </w:rPr>
        <w:t>to date, we and our third-party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service providers have frequently been the target of threats of this nature and we expect these threats and attacks to continue.</w:t>
      </w:r>
    </w:p>
    <w:p>
      <w:pPr>
        <w:spacing w:after="0" w:line="72"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231F20"/>
        </w:rPr>
        <w:t>Any disruption or security breach or incident resulting in any loss, destruction, unavailability, alteration, disclosure or dissemination of, or damage or unauthorized access to, our data, or any other data that we maintain or otherwise process or that is maintained or otherwise processed on our behalf, or other assets, or for it to be believed or reported that any of the foregoing occurred, could cause us to incur significant liability, including consequential damages, financial harm and reputational damage and the development and commercialization of our product candidates could be delayed. The loss, corruption, or unavailability of clinical trial data for our product candidates also could result in delays in our marketing approval efforts and significantly increase our costs to recover or reproduce the data. We cannot ensure that our data protection or cybersecurity efforts and our investment in information technology, or the efforts or investments of CROs, consultants or other third parties, will prevent breakdowns in our or their systems or have prevented, or will prevent, security breaches or incidents, including those that cause loss, destruction, unavailability, alteration, dissemination of, or damage or unauthorized access to, our data, including personal data, or other assets or other data processed or maintained on our behalf. Any such breakdowns, breaches, or incidents, and any resulting impacts, could have a material adverse effect upon our reputation, business, operations and financial condition.</w:t>
      </w:r>
    </w:p>
    <w:p>
      <w:pPr>
        <w:spacing w:after="0" w:line="86"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231F20"/>
        </w:rPr>
        <w:t>We also rely on third parties to support the development and manufacture of our product candidates, and any security breaches or other incidents or other security events relating to their computer systems could also have a material adverse effect on our business. Controls employed by our information technology department and our CROs, consultants and other third parties could prove inadequate, and our ability to monitor such third parties’ cybersecurity practices is limited. Due to applicable laws, rules, regulations and standards or contractual obligations, we may be held responsible for any cyber-attack, security breach or incident or cybersecurity failure attributed to our third-party service providers as relevant to the information they maintain or otherwise process for us. We maintain limited cybersecurity insurance and therefore the successful assertion of one or more large claims against us in connection with a breach or other cybersecurity-related matter could adversely affect our business, financial condition, results of operations and prospects.</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Notifications and follow-up actions related to a data breach or other security incident could impact our reputation and cause us to incur significant costs, including significant legal expenses and remediation costs. We expect to incur significant costs in an effort to detect and prevent security breaches and other incidents, and we may face increased costs and requirements to expend substantial resources in the event of an actual or perceived security breach or other incident. However, we cannot guarantee that we will be able to detect or prevent any such breaches or incidents, or that we can identify, remediate or otherwise address any such breaches or incidents in an effective or timely manner. Our efforts to improve security and protect data from compromise may also identify previously undiscovered instances of data breaches or other cybersecurity incidents. Any disruption or security breach or incident resulting in any loss, destruction, or alteration of, or damage, unauthorized access to or inappropriate or unauthorized disclosure, dissemination or other processing of, our data, including personal data, or other information maintained or otherwise processed on our behalf, or any belief or reporting of any of these matters having occurred, could expose us to litigation and governmental investigations and inquiries, could lead to delays in the further development and commercialization of our product candidates, and could result in significant fines or penalties for any noncompliance with certain state, federal and international privacy and security laws, rules, regulations and standards.</w:t>
      </w:r>
    </w:p>
    <w:p>
      <w:pPr>
        <w:spacing w:after="0" w:line="18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operations are vulnerable to interruption by fire, earthquakes, power loss, telecommunications failure, terrorist activity, pandemics and other events beyond our control, which could harm our business.</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Our facilities are located in the San Francisco Bay Area. We have not undertaken a systematic analysis of the potential consequences to our business and financial results from a major earthquake, flood, blizzard, wildfire, power loss,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Also, our CDMOs and suppliers’ facilities are located in multiple locations where other natural disasters or similar events which could severely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8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231F20"/>
        </w:rPr>
        <w:t>disrupt our operations, could expose us to liability and could have a material adverse effect on our business. The occurrence of any of these business disruptions could seriously harm our operations and financial condition and increase our costs and expenses.</w:t>
      </w:r>
    </w:p>
    <w:p>
      <w:pPr>
        <w:spacing w:after="0" w:line="158"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 variety of risks associated with development and marketing our product candidates internationally, subject to regulatory approval in applicable jurisdictions, could materially adversely affect our business.</w:t>
      </w:r>
    </w:p>
    <w:p>
      <w:pPr>
        <w:spacing w:after="0" w:line="5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231F20"/>
        </w:rPr>
        <w:t>We may seek regulatory approval of our product candidates outside of the U.S. and/or work with contractors or partners in foreign jurisdictions, and we expect that we will be subject to additional risks and requirements related to our operations in foreign countries, including:</w:t>
      </w:r>
    </w:p>
    <w:p>
      <w:pPr>
        <w:spacing w:after="0" w:line="54"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differing regulatory requirements and reimbursement regimes;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foreign taxes, including withholding of payroll taxes;</w:t>
      </w:r>
    </w:p>
    <w:p>
      <w:pPr>
        <w:spacing w:after="0" w:line="117" w:lineRule="exact"/>
        <w:rPr>
          <w:rFonts w:ascii="Times New Roman" w:cs="Times New Roman" w:eastAsia="Times New Roman" w:hAnsi="Times New Roman"/>
          <w:sz w:val="18"/>
          <w:szCs w:val="18"/>
          <w:color w:val="231F20"/>
        </w:rPr>
      </w:pPr>
    </w:p>
    <w:p>
      <w:pPr>
        <w:ind w:left="1020" w:right="420" w:hanging="503"/>
        <w:spacing w:after="0" w:line="282" w:lineRule="auto"/>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difficulties staffing and managing foreign operations;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workforce uncertainty in countries where labor unrest is more common than in the U.S.;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potential liability under the FCPA or comparable foreign regulations;</w:t>
      </w:r>
    </w:p>
    <w:p>
      <w:pPr>
        <w:spacing w:after="0" w:line="117" w:lineRule="exact"/>
        <w:rPr>
          <w:rFonts w:ascii="Times New Roman" w:cs="Times New Roman" w:eastAsia="Times New Roman" w:hAnsi="Times New Roman"/>
          <w:sz w:val="18"/>
          <w:szCs w:val="18"/>
          <w:color w:val="231F20"/>
        </w:rPr>
      </w:pPr>
    </w:p>
    <w:p>
      <w:pPr>
        <w:ind w:left="1020" w:right="300" w:hanging="503"/>
        <w:spacing w:after="0" w:line="282" w:lineRule="auto"/>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challenges obtaining, maintaining, protecting, defending and enforcing our contractual and intellectual property rights, especially in those foreign countries that do not respect and protect intellectual property rights to the same extent as the U.S.;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business interruptions resulting from geo-political actions, including war and terrorism.</w:t>
      </w:r>
    </w:p>
    <w:p>
      <w:pPr>
        <w:spacing w:after="0" w:line="117"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231F20"/>
        </w:rPr>
        <w:t>These and other risks associated with our international operations may materially adversely affect our ability to attain or maintain profitable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Intellectual Property</w:t>
      </w:r>
    </w:p>
    <w:p>
      <w:pPr>
        <w:spacing w:after="0" w:line="117"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 xml:space="preserve">Our commercial success depends in large part on our ability to obtain, maintain, protect, defend and enforce patents, trade secrets and other intellectual property relating to our product candidates and platforms and to operate without infringing, misappropriating or otherwise violating the intellectual property of others. </w:t>
      </w:r>
      <w:r>
        <w:rPr>
          <w:rFonts w:ascii="Times New Roman" w:cs="Times New Roman" w:eastAsia="Times New Roman" w:hAnsi="Times New Roman"/>
          <w:sz w:val="18"/>
          <w:szCs w:val="18"/>
          <w:color w:val="000000"/>
        </w:rPr>
        <w:t>Additionally, recent reforms and changes at government agencies of the United States and those of non-U.S. jurisdictions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could increase the uncertainties, timing and costs surrounding the prosecution or maintenance of our patent applications, and the maintenance, enforcement, or defense of our issued patents. </w:t>
      </w:r>
      <w:r>
        <w:rPr>
          <w:rFonts w:ascii="Times New Roman" w:cs="Times New Roman" w:eastAsia="Times New Roman" w:hAnsi="Times New Roman"/>
          <w:sz w:val="18"/>
          <w:szCs w:val="18"/>
          <w:color w:val="231F20"/>
        </w:rPr>
        <w:t>We rely on patent, copyright, trade secret and trademark laws in the U.S. and certain other countries to protect our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technology, and we generally seek to protect our position by filing patent applications in the U.S. and abroad and by acquiring or in-licensing relevant issued patents or pending applications from third parties. However, these efforts may provide only limited protection. There can be no assurance that we or our licensors will obtain any additional issued patents or that any issued patents we or our licensors obtain will provide us with any competitive advantage.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8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231F20"/>
        </w:rPr>
        <w:t>Pending patent applications cannot be enforced until issued, and then only to the extent the issued claims cover the product candidate or relevant technology. There can be no assurance that our patent applications or the patent applications of our licensors will result in additional patents being issued or that any such issued patents will afford sufficient protection against competitors with similar technology, nor can there be any assurance that the patents issued will not be designed around or invalidated by third parties.</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Even issued patents may later be found invalid or unenforceable, or they may be modified, narrowed in scope, or revoked in proceedings instituted by third parties before various patent offices or in courts in the U.S. and abroad. The degree of future protection for our and our licensor’s intellectual property and proprietary rights is uncertain. Only limited protection may be available and may not adequately protect our rights or permit us to gain or keep any competitive advantage. These uncertainties and limitations in our ability to properly protect the intellectual property rights relating to our product candidates could have a material adverse effect on our financial condition and results of operations. Any failure to obtain or maintain patent protection with respect to our technology and product candidates would have a material adverse effect on our business, financial condition, results of operations and prospects.</w:t>
      </w:r>
    </w:p>
    <w:p>
      <w:pPr>
        <w:spacing w:after="0" w:line="8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31F20"/>
        </w:rPr>
        <w:t>The patent application process is subject to numerous risks and uncertainties, and there can be no assurance that we or any of our potential future licensors or collaborators will be successful in protecting our product candidates and platforms by obtaining and defending adequate patent coverage. These risks and uncertainties include the following:</w:t>
      </w:r>
    </w:p>
    <w:p>
      <w:pPr>
        <w:spacing w:after="0" w:line="68" w:lineRule="exact"/>
        <w:rPr>
          <w:sz w:val="20"/>
          <w:szCs w:val="20"/>
          <w:color w:val="auto"/>
        </w:rPr>
      </w:pPr>
    </w:p>
    <w:p>
      <w:pPr>
        <w:ind w:left="1020" w:hanging="503"/>
        <w:spacing w:after="0" w:line="266" w:lineRule="auto"/>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United States Patent and Trademark Office (</w:t>
      </w:r>
      <w:r>
        <w:rPr>
          <w:rFonts w:ascii="Times New Roman" w:cs="Times New Roman" w:eastAsia="Times New Roman" w:hAnsi="Times New Roman"/>
          <w:sz w:val="18"/>
          <w:szCs w:val="18"/>
          <w:color w:val="231F20"/>
        </w:rPr>
        <w:t>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patent applications may not result in any patents being issued;</w:t>
      </w:r>
    </w:p>
    <w:p>
      <w:pPr>
        <w:spacing w:after="0" w:line="117" w:lineRule="exact"/>
        <w:rPr>
          <w:rFonts w:ascii="Times New Roman" w:cs="Times New Roman" w:eastAsia="Times New Roman" w:hAnsi="Times New Roman"/>
          <w:sz w:val="18"/>
          <w:szCs w:val="18"/>
          <w:color w:val="231F20"/>
        </w:rPr>
      </w:pPr>
    </w:p>
    <w:p>
      <w:pPr>
        <w:ind w:left="1020" w:right="260" w:hanging="503"/>
        <w:spacing w:after="0" w:line="282" w:lineRule="auto"/>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patents may be challenged, invalidated, modified, revoked, circumvented, found to be unenforceable, narrowed in scope or otherwise may not provide any competitive advantage;</w:t>
      </w:r>
    </w:p>
    <w:p>
      <w:pPr>
        <w:spacing w:after="0" w:line="53" w:lineRule="exact"/>
        <w:rPr>
          <w:rFonts w:ascii="Times New Roman" w:cs="Times New Roman" w:eastAsia="Times New Roman" w:hAnsi="Times New Roman"/>
          <w:sz w:val="18"/>
          <w:szCs w:val="18"/>
          <w:color w:val="231F20"/>
        </w:rPr>
      </w:pPr>
    </w:p>
    <w:p>
      <w:pPr>
        <w:jc w:val="both"/>
        <w:ind w:left="1020" w:right="280" w:hanging="503"/>
        <w:spacing w:after="0" w:line="266" w:lineRule="auto"/>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67" w:lineRule="exact"/>
        <w:rPr>
          <w:rFonts w:ascii="Times New Roman" w:cs="Times New Roman" w:eastAsia="Times New Roman" w:hAnsi="Times New Roman"/>
          <w:sz w:val="18"/>
          <w:szCs w:val="18"/>
          <w:color w:val="231F20"/>
        </w:rPr>
      </w:pPr>
    </w:p>
    <w:p>
      <w:pPr>
        <w:ind w:left="1020" w:right="160" w:hanging="503"/>
        <w:spacing w:after="0" w:line="266" w:lineRule="auto"/>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7" w:lineRule="exact"/>
        <w:rPr>
          <w:rFonts w:ascii="Times New Roman" w:cs="Times New Roman" w:eastAsia="Times New Roman" w:hAnsi="Times New Roman"/>
          <w:sz w:val="18"/>
          <w:szCs w:val="18"/>
          <w:color w:val="231F20"/>
        </w:rPr>
      </w:pPr>
    </w:p>
    <w:p>
      <w:pPr>
        <w:ind w:left="1020" w:right="300" w:hanging="503"/>
        <w:spacing w:after="0" w:line="266" w:lineRule="auto"/>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countries other than the United States may have patent laws less favorable to patentees than those upheld by U.S. courts, allowing foreign competitors a better opportunity to create, develop and market competing product candidates and limiting the scope of our protection in countries outside the United States.</w:t>
      </w:r>
    </w:p>
    <w:p>
      <w:pPr>
        <w:spacing w:after="0" w:line="6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231F20"/>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w:t>
      </w:r>
    </w:p>
    <w:p>
      <w:pPr>
        <w:spacing w:after="0" w:line="5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231F20"/>
        </w:rPr>
        <w:t>We may be unable to obtain or maintain patent applications and patents due to the subject matter claimed in such patent applications and patents being in disclosures in the public domain. It is also possible that we or our licensors will fail to identify patentable aspects of our research and development output before it is too late to obtain patent protection. Furthermore,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The patent position of biotechnology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and platforms or which effectively prevent others from commercializing competitive product candidates and technologies or otherwise provide any commercial advantage.</w:t>
      </w:r>
    </w:p>
    <w:p>
      <w:pPr>
        <w:spacing w:after="0" w:line="75"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231F20"/>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Our competitors or other third parties may avail themselves of safe harbor under the Drug Price Competition and Patent Term Restoration Act of 1984 (Hatch-Waxman Amendments) to conduct research and clinical trials and may be able to circumvent our patent rights by developing similar or alternative technologies or products in a non-infringing manner. Any patents that we may own or in-license may be challenged or circumvented by third parties or may be narrowed, rendered unenforceable, or invalidated as a result of challenges by third parties. Consequently, we do not know whether our product candidates will be protectable or remain protected by valid and enforceable patents.</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While we believe our intellectual property allows us to pursue our current development programs, we may not be aware of all third-party intellectual property rights potentially relating to our technology and product candidates. We cannot be certain that we were the first to make the inventions claimed in any owned or any licensed patents or pending patent applications, or that we were the first to file for patent protection of such inventions. Publications of discoveries in the scientific literature often lag the actual discoveries, and patent applications in the U.S. and other jurisdictions are typically not published until 18 months after filing or, in some cases, not at all. If a third party can establish that we or our licensors were not the first to make or the first to file for patent protection of such inventions, our owned or licensed patent applications may not issue as patents and even if issued, may be challenged and invalidated.</w:t>
      </w:r>
    </w:p>
    <w:p>
      <w:pPr>
        <w:spacing w:after="0" w:line="81"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231F20"/>
        </w:rPr>
        <w:t>The issuance of a patent is not conclusive as to its inventorship, scope, validity or enforceability, and the inventorship, scope, validity or enforceability of our patents, potential future patents or the patents of our licensors that may be challenged in the courts or patent offices in the U.S. and abroad. For example, we may be subject to a third-party pre-issuance submission of prior art, post-grant review or inter partes review at the USPTO, or other similar proceedings including, opposition, derivation, revocation or reexamination proceedings in the U.S. or abroad. A third party may also claim that our patents or licensed patent rights are invalid or unenforceable in a litigation. The outcome following legal assertions of invalidity and unenforceability is unpredictable. An adverse determination in any such submission, proceeding or litigation could reduce the scope of, or invalidate or render unenforceable, our patents, potential future patents or licensed patent rights, allow third parties to commercialize our product candidates and compete directly with us, without payment to us. Such proceedings also may result in substantial cost and require significant time from our scientists, manufacturing staff and management, even if the eventual outcome is favorable to us. In addition, if the breadth or strength of protection provided by our patents, potential future patents and patent applications or the patents and patent applications of our licensors is threatened, regardless of the outcome, it could dissuade companies from collaborating with us to license, develop or commercialize our product candidates.</w:t>
      </w:r>
    </w:p>
    <w:p>
      <w:pPr>
        <w:spacing w:after="0" w:line="18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commercial success depends significantly on our ability to operate without infringing, misappropriating or otherwise violating the patents and other intellectual property and proprietary rights of third parties.</w:t>
      </w:r>
    </w:p>
    <w:p>
      <w:pPr>
        <w:spacing w:after="0" w:line="5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231F20"/>
        </w:rPr>
        <w:t>Our research, development and commercialization activities may be subject to claims that we infringe, misappropriate or otherwise violate patents or other intellectual property rights of others. Additionally, other entities may have, develop or obtain patents that could impair our competitive position or limit our ability to make, use, sell, offer for sale or import our product candidates. There is a substantial amount of litigation, both within and outside the U.S., involving patent and other intellectual property rights in the biotechnology industry. Numerous third-party U.S. and foreign issued patents and pending patent applications exist in the fields in which we are developing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p>
      <w:pPr>
        <w:spacing w:after="0" w:line="8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231F20"/>
        </w:rPr>
        <w:t>product candidates. Third-party patents or patent applications may include claims to materials, formulations, methods of manufacture or methods for treatment related to the use or manufacture of our product candidates. Given the vast number of patents in our field of technology, we cannot be certain or guarantee that we do not infringe existing patents or that we will not infringe patents that may be granted in the future.</w:t>
      </w:r>
    </w:p>
    <w:p>
      <w:pPr>
        <w:spacing w:after="0" w:line="6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For example, we are aware of third-party patent rights that could be construed to cover the use of our TN-201 product candidate. We believe that if these third-party patent rights were to be asserted against us, we would have valid defenses against such assertions, including that such patent rights are invalid and/or not infringed. However, if such third-party patent rights were asserted against us and found to be valid, enforceable and infringed, we could be liable for damages and be required to obtain a license to such patent rights prior to commercializing TN-201 both within and outside the U.S., and such license may not be available on commercially reasonable terms or at all. Additionally, we are aware of third-party patent rights related to the use of certain AAV vectors, which have been asserted against others, including in at least one instance against a company for pre-approval activities. If these patent rights were to be asserted against us, we believe we would have valid defenses against such assertions, including that such patent rights are invalid and/or not infringed. However, such defenses may not be successful and we could be liable for damages and need to secure a license to such patent rights, which may not be available on commercially reasonable terms or at all. In the event any of the foregoing were to occur, we may be prevented from further developing and commercializing any affected product candidates, including TN-201.</w:t>
      </w:r>
    </w:p>
    <w:p>
      <w:pPr>
        <w:spacing w:after="0" w:line="86"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231F20"/>
        </w:rPr>
        <w:t>As the biotechnology industry expands and more patents are issued, the risk increases that our product candidates may be subject to claims of infringement, misappropriation or other violation of the patent or other intellectual property rights of third parties.</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Although no third party has asserted a claim of patent infringement against us as of the date of this periodic report, there can be no assurance that we will not be subject to claims of patent or other intellectual property infringement in the future. Furthermore, we may fail to identify relevant patents or patent applications or may identify pending patent applications of potential interest but incorrectly predict the likelihood that such patent applications may issue with claims of relevance to our technology. We may incorrectly conclude that a third-party patent is invalid, unenforceable or not infringed by our activities. Pending patent applications that have been published can, subject to certain limitations, be later amended in a manner that could cover our technology and product candidates. Because patent applications are maintained as confidential for a certain period of time, until the relevant application is published, we may be unaware of third-party patents that may be infringed by commercialization of any of our product candidates. Moreover, because patent applications can take many years to issue, there may be currently-pending patent applications that may later result in issued patents that our product candidates may infringe. Identification of third-party patent rights that may be relevant to our technology is difficult because patent searching is imperfect due to differences in terminology among patents, incomplete databases and ambiguity in the meaning of patent claims. Generative artificial intelligence resources that are publicly available also present a risk that a company may inadvertently obtain, incorporate or use a third party’s intellectual property.</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Third parties may assert patent infringement claims against us directed at any of our product candidates based on existing patent applications or patents that may be granted in the future, regardless of their merit.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would involve substantial litigation expense and would be a substantial diversion of management and employee resources from our business. Because of the inevitable uncertainty in intellectual property litigation, we could lose a patent infringement or other action asserted against us regardless of our perception of the merits of the case.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8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raise additional funds or otherwise have a material adverse effect on our business, results of operations, financial condition and prospects.</w:t>
      </w:r>
    </w:p>
    <w:p>
      <w:pPr>
        <w:spacing w:after="0" w:line="11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future products we may develop and any other future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or find that our technology did not infringe any such claims. Further, even if we were successful in defending against any such claims, such claims could require us to divert substantial financial and management resources that we would otherwise be able to devote to our business</w:t>
      </w:r>
      <w:r>
        <w:rPr>
          <w:rFonts w:ascii="Times New Roman" w:cs="Times New Roman" w:eastAsia="Times New Roman" w:hAnsi="Times New Roman"/>
          <w:sz w:val="18"/>
          <w:szCs w:val="18"/>
          <w:color w:val="231F20"/>
        </w:rPr>
        <w:t>.</w:t>
      </w:r>
    </w:p>
    <w:p>
      <w:pPr>
        <w:spacing w:after="0" w:line="8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231F20"/>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In addition, our agreements with some of our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successful in obtaining or maintaining necessary rights to our product candidates through acquisitions and in-licenses.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Many pharmaceutical companies, biotechnology companies, and academic institutions may have patents and patent applications potentially relevant to our business. We may find it necessary or prudent to obtain licenses to such patents from such third-party intellectual property holders, for example, in order to avoid infringing these third-party patents. We may also require licenses from third parties for certain technologies for use with our product candidates.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expect that competition for the in-licensing or acquisition of third-party intellectual property rights that are attractive to us may increase in the future, which may mean fewer suitable opportunities for us as well as higher acquisition or licensing costs. We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9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Changes in U.S. patent law, or laws in other countries, could diminish the value of patents in general, thereby impairing our ability to protect our product candidates.</w:t>
      </w:r>
    </w:p>
    <w:p>
      <w:pPr>
        <w:spacing w:after="0" w:line="5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231F20"/>
        </w:rPr>
        <w:t>Changes in either the patent laws or in the interpretations of patent laws in the U.S.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potential future patents or in third-party patents.</w:t>
      </w:r>
    </w:p>
    <w:p>
      <w:pPr>
        <w:spacing w:after="0" w:line="6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231F20"/>
        </w:rPr>
        <w:t>In addition, the U.S. Congress or other foreign legislative bodies may pass patent reform legislation that is unfavorable to us. Patent reform</w:t>
      </w:r>
    </w:p>
    <w:p>
      <w:pPr>
        <w:spacing w:after="0" w:line="2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231F20"/>
        </w:rPr>
        <w:t>legislation could increase the uncertainties and costs surrounding the prosecution of patent applications and the enforcement or defense of issued patents.</w:t>
      </w:r>
    </w:p>
    <w:p>
      <w:pPr>
        <w:spacing w:after="0" w:line="11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 xml:space="preserve">Furthermore, the U.S. Supreme Court and the U.S. Court of Appeals for the Federal Circuit have made, and will likely continue to make, changes in how patent laws in the U.S. are interpreted. The U.S. Supreme Court has ruled on several patent cases in recent years, either narrowing the scope of patent protection available in certain circumstances or weakening the rights of patent owners in certain situations. </w:t>
      </w:r>
      <w:r>
        <w:rPr>
          <w:rFonts w:ascii="Times New Roman" w:cs="Times New Roman" w:eastAsia="Times New Roman" w:hAnsi="Times New Roman"/>
          <w:sz w:val="18"/>
          <w:szCs w:val="18"/>
          <w:color w:val="000000"/>
        </w:rPr>
        <w:t>For example, the U.S. Supreme Court held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Amgen v. Sanofi (2023) that a functionally claimed genus was invalid for failing to comply with the enablement requirement of the Patent Act. In addition, the U.S. Court of Appeals for the Federal Circuit recently issued a decision involving the interaction of a patent term adjustment, terminal disclaimers, and obvious-type double patenting. This combination of events has created uncertainty with respect to the validity and enforceability of patents, once obtained. </w:t>
      </w:r>
      <w:r>
        <w:rPr>
          <w:rFonts w:ascii="Times New Roman" w:cs="Times New Roman" w:eastAsia="Times New Roman" w:hAnsi="Times New Roman"/>
          <w:sz w:val="18"/>
          <w:szCs w:val="18"/>
          <w:color w:val="231F20"/>
        </w:rPr>
        <w:t xml:space="preserve">Similarly, foreign courts have made and will continue to make changes in how the patent laws in their respective jurisdictions are interpreted. We cannot predict future changes in the interpretation of patent laws or changes to patent laws that might be enacted into law by U.S. and foreign legislative bodies. </w:t>
      </w:r>
      <w:r>
        <w:rPr>
          <w:rFonts w:ascii="Times New Roman" w:cs="Times New Roman" w:eastAsia="Times New Roman" w:hAnsi="Times New Roman"/>
          <w:sz w:val="18"/>
          <w:szCs w:val="18"/>
          <w:color w:val="000000"/>
        </w:rPr>
        <w:t xml:space="preserve">For example, the IRA passed by Congress authorizes the Secretary of the Department of HHS to negotiate prices directly with participating manufacturers for selected medicines covered by Medicare even if these medicines are protected by an existing patent. While we do not believe that the IRA or its effects will impact our ability to obtain patents in the near future, we cannot be certain whether it will affect our patent strategy in the long run. </w:t>
      </w:r>
      <w:r>
        <w:rPr>
          <w:rFonts w:ascii="Times New Roman" w:cs="Times New Roman" w:eastAsia="Times New Roman" w:hAnsi="Times New Roman"/>
          <w:sz w:val="18"/>
          <w:szCs w:val="18"/>
          <w:color w:val="231F20"/>
        </w:rPr>
        <w:t>The laws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regulations governing patents could change in unpredictable ways that would weaken our ability to obtain new patents or to enforce our existing patent and the patents we might obtain or license in the future.</w:t>
      </w:r>
    </w:p>
    <w:p>
      <w:pPr>
        <w:spacing w:after="0" w:line="18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subject to claims challenging the inventorship or ownership of our owned patents, patent applications or in-licensed patent rights and other intellectual property.</w:t>
      </w:r>
    </w:p>
    <w:p>
      <w:pPr>
        <w:spacing w:after="0" w:line="5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231F20"/>
        </w:rPr>
        <w:t>We or our licensors may be subject to claims that former employees or other third parties have an ownership interest in our owned patents, patent applications or in-licensed patents, trade secrets or other intellectual property rights as an inventor or co-inventor. For example, we or our licensors may have inventorship disputes arise from conflicting obligations of employees, consultants or other third parties who are involved in developing our product candidates. Litigation may be necessary to defend against these and other claims challenging inventorship or ownership of our patents, patent applications or our licensors’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 It may be necessary or we may desire to enter into a license to settle any such claim; however, there can be no assurance that we would be able to obtain a license on commercially reasonable terms, if at all. Such an outcome could have a material adverse effect on our business. Even if we are successful in defending against such claims, litigation could result in substantial costs and distraction to management and other employees, and any litigation or the threat of litigation may adversely impact our reputation or affect our ability to hire employees or contract with independent contractors.</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In addition, while it is our policy to require our employees, consultants, advisors, contractors and other third parties who may be involved in the conception or development of intellectual property rights to execute agreements assigning such intellectual property rights to us, we or our licensors may be unsuccessful in executing such agreements with each party who, in fact, conceives or develops intellectual property rights that we regard as our own. The assignment of intellectual property rights may not be self-executing or sufficient in scope, or the assignment agreements may be breached, and we or our licensors may be forced to bring claims against third parties, or defend claims that they may bring against us, to determine the ownership of what we regard as our intellectual property rights. Furthermore, individuals executing agreements with us may have preexisting or competing obligations to a third party, such as an academic institution, and thus an agreement with us or our licensors may be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8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231F20"/>
        </w:rPr>
        <w:t>ineffective in perfecting ownership of inventions developed by that individual. Such claims could have a material adverse effect on our business, financial condition, results of operations, and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Patent terms may be inadequate to protect our competitive position on our product candidates for an adequate amount of time.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Patents have a limited lifespan. In the U.S.,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do not obtain patent term extension for our product candidates, our business may be materially harmed.</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231F20"/>
        </w:rPr>
        <w:t>Depending upon the timing, duration and specifics of FDA marketing approval of our product candidates, one or more of our U.S. patents or those of our licensors may be eligible for limited patent term restoration under the Hatch-Waxman Amendments. Patent term extension may also be available in certain foreign countries upon regulatory approval of our product candidates.</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231F20"/>
        </w:rPr>
        <w:t>We may not be granted any extensions for which we apply in the U.S.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project or request. In addition, to the extent we wish to pursue patent term extension based on a patent that we in-license from a third party, we would need the cooperation of that third party. If we are unable to obtain patent term extension or restoration, or the foreign equivalent, or if the term of any such extension is less than we project or request, our competitors may obtain approval of competing products following our patent expiration, and our revenue could be reduced, possibly materially.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able to protect our intellectual property rights throughout the world.</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Filing, prosecuting and defending patents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even in jurisdictions where we do pursue patent protection. Consequently, we may not be able to prevent third parties from practicing our or our licensors’ inventions in all countries outside the U.S., even in jurisdictions where we or our licensors do pursue patent protection. Competitors may use our technologies in jurisdictions where we have not obtained patent protection to develop their own competing products and, further, may export otherwise infringing products to territories where we have patent protection, but enforcement is not as strong as that in the U.S.</w:t>
      </w:r>
    </w:p>
    <w:p>
      <w:pPr>
        <w:spacing w:after="0" w:line="8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75"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7"/>
          <w:szCs w:val="17"/>
          <w:color w:val="231F20"/>
        </w:rPr>
        <w:t>European patent applications now have the option, upon grant of a patent, of becoming a Unitary Patent which will be subject to the jurisdiction of the Unified Patent Court (UPC). This is a significant change in European patent practice. As the UPC is a relatively new court system, there is limited precedent for the court, increasing the uncertainty of any litigation. As a single court system can invalidate a European patent, we, where applicable, have opted out of the UPC and as such, but for proceedings such as an opposition, each European patent would need to be challenged in each individual country.</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8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Government actions may also prevent filing, prosecution and maintenance of issued patents in various jurisdictions. These actions could result in abandonment or lapse of our patents or patent applications, resulting in partial or complete loss of patent rights in such jurisdictions. If such an event were to occur, it could have a material adverse effect on our business. In addition, jurisdictions outside of the U.S. could also permit our patents to be exploited without consent or compensation. In such circumstances we would not be able to prevent third parties from practicing our inventions or from selling or importing products made using our inventions in and into such jurisdictions. Accordingly, our competitive position may be impaired, and our business, financial condition, results of operations and prospects may be adversely affected.</w:t>
      </w:r>
    </w:p>
    <w:p>
      <w:pPr>
        <w:spacing w:after="0" w:line="188"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Periodic maintenance fees, renewal fees, annuity fees and various other governmental fees on patents and/or patent applications will be due to the USPTO and various foreign patent offices outside of the U.S. at various points over the lifetime of our current, potential future patents and patent applications and those of our licensors. We rely on our outside patent annuity service to pay these fees when due. Additionally, the USPTO and various foreign patent offices require compliance with a number of procedural, documentary, fee payment and other similar provisions during the patent application process. We are also dependent on our licensors to take the necessary action to comply with these requirements with respect to our licensed intellectual property. An inadvertent lapse or non-compliance with such requirements can sometimes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financial condition and results of operations.</w:t>
      </w:r>
    </w:p>
    <w:p>
      <w:pPr>
        <w:spacing w:after="0" w:line="1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We intend to use registered or unregistered trademarks or trade names to brand and market ourselves and our products, but we do not yet own a U.S. registered trademark for our corporate name, “Tenaya”. Once filed and registered, our potential future trademarks or trade names may be challenged, infringed, circumvented or declared generic or determined to be infringing on other marks. We may not be able to protect our rights to these potential future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As a means to enforce our potential future trademark rights and prevent infringement, we may be required to file trademark claims against third parties or initiate trademark opposition proceedings, which can be expensive and time-consuming. In addition, there could be potential trade name or trademark infringement claims brought by owners of other registered trademarks or trademarks that incorporate variations of our potential future registered or unregistered trademarks or trade names. Over the long term, if we are unable to establish name recognition based on our trademarks and trade names, then we may not be able to compete effectively, and our business may be adversely affected.</w:t>
      </w:r>
    </w:p>
    <w:p>
      <w:pPr>
        <w:spacing w:after="0" w:line="86"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231F20"/>
        </w:rPr>
        <w:t>Additionally, our potential future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potential future trademark applications and registrations, and our potential future trademarks may not survive such proceedings. If we do not secure registrations for our potential future trademarks, we may encounter more difficulty in enforcing them against third parties than we otherwise would. Our efforts to enforce or protect our proprietary rights related to trademarks, domain names or other intellectual property may be ineffective and could result in substantial costs and diversion of resources and could adversely affect our financial condition or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are unable to protect the confidentiality of our trade secrets, our business and competitive position would be harmed.</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231F20"/>
        </w:rPr>
        <w:t>In addition to seeking patent protection on the intellectual property underlying our technology and product candidates, we also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who have access to such information, and confidential information and invention assignment agreements with employees, consultants, advisors and other third parties involved in the development of intellectual property, we cannot guarantee that we and our licensors have entered into such agreements with each party that may have had access to our trade secrets or proprietary information or that has been involved in the development of intellectual property. Additionally, we cannot provide any assurances that all such agreements have been duly executed, that these parties will not breach such agreements and disclose our proprietary information, including our trade secrets, or that we would be able to obtain adequate remedies for such breaches should they occur. We may not be able to prevent the unauthorized disclosure or use of our trade secrets. Monitoring unauthorized uses and disclosures is difficult and we do not know whether the steps we have taken to protect our proprietary technologies will be effective. Enforcing a claim that a party illegally disclosed or misappropriated a trade secret is difficult, expensive and time-consuming, and the outcome is unpredictable. In addition, some courts inside and outside the U.S. are less willing or unwilling to protect trade secrets. Given that our proprietary position is based, in part, on our know-how and trade secrets and despite our efforts to protect our trade secrets, our competitors’ discovery of our proprietary technology, trade secrets or confidential information or other unauthorized use or disclosure of such information would impair our competitive position and may have a material adverse effect on our business, financial condition, results of operations and prospects.</w:t>
      </w:r>
    </w:p>
    <w:p>
      <w:pPr>
        <w:spacing w:after="0" w:line="8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Moreover, third parties may still derive similar information independently, and we would have no right to prevent them from using that information to compete with us. We expect know-how and information to be disseminated over time within the industry through independent development, publication of journal articles, and movement of personnel between companies and from academic to industry scientific positions. We seek to preserve the integrity and confidentiality of our data and trade secrets by maintaining physical security of our premises and physical and electronic security of our information technology systems, but such security measures may be breached, and we may not have adequate remedies for any such breach. If any of these events occurs or if we otherwise lose protection for our trade secrets, the value of this information may be greatly reduced, and our competitive position would be harmed.</w:t>
      </w:r>
    </w:p>
    <w:p>
      <w:pPr>
        <w:spacing w:after="0" w:line="18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subject to claims that we or our employees, consultants, advisors or contractors have wrongfully used or disclosed alleged confidential information or trade secrets.</w:t>
      </w:r>
    </w:p>
    <w:p>
      <w:pPr>
        <w:spacing w:after="0" w:line="5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231F20"/>
        </w:rPr>
        <w:t>As is common in the biotechnology and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and pharmaceutical companies including our competitors or potential competitors. We may become subject to claims that we, our employees or consultants inadvertently or otherwise used or disclosed trade secrets or confidential or other information proprietary of their former employers or their former or current clients.</w:t>
      </w:r>
    </w:p>
    <w:p>
      <w:pPr>
        <w:spacing w:after="0" w:line="7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In addition, we have entered into and may in the future enter into non-disclosure and confidentiality agreements to protect the proprietary positions of third parties, such as collaborators, CROs, third-party manufacturers, consultants, potential partners and other third parties. We may become subject to litigation where a third party asserts that we or our employees or other third parties inadvertently or otherwise breached the agreements and used or disclosed trade secrets or other information proprietary to the third parties. Defense of any such claims, regardless of their merit, could involve substantial litigation expense and be a substantial diversion of resources from our business. We cannot predict whether we would prevail in any such claims.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including the loss of valuable intellectual property rights or personnel, all of which could adversely affect our business. Even if we are successful in defending against these claims, litigation could result in substantial costs and be a distraction to our management team and other employees.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90"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rights to develop and commercialize our technology and product candidates may be subject, in part, to us obtaining licenses from others and the terms and conditions of such licenses. If we fail to comply with our obligations in any agreement under which we license intellectual property rights from third parties, we could lose licensed rights that are important to our business.</w:t>
      </w:r>
    </w:p>
    <w:p>
      <w:pPr>
        <w:spacing w:after="0" w:line="6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231F20"/>
        </w:rPr>
        <w:t>We have entered into and may in the future enter into additional license agreements with third parties to advance our research or allow commercialization of product candidates. These licenses may not provide us with exclusive rights in all relevant fields of use and in all territories in which we may wish to develop or commercialize our technology and products.</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In addition, we may not have the right to control the preparation, filing, prosecution, maintenance, enforcement, and defense of patents and patent applications covering the technology that we license. If our licensors fail to prosecute, maintain, enforce, and defend, or lose rights to such patents or patent applications, the rights we have licensed may be reduced or eliminated, and our right to develop and commercialize any product that is the subject of such licensed rights could be adversely affected. Even where we have the right to control patent prosecution of patents and patent applications we have licensed from third parties, we may still be adversely affected or prejudiced by actions or inactions taken by or on behalf of our licensors prior to the date upon which we assumed control over patent prosecution.</w:t>
      </w:r>
    </w:p>
    <w:p>
      <w:pPr>
        <w:spacing w:after="0" w:line="7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231F20"/>
        </w:rPr>
        <w:t>Our licensors may have relied on third-party consultants or collaborators or on funds from third parties such that our licensors are not the sole and exclusive owners of the patents we in-licensed. If other third parties have ownership rights to our in-licensed patents, our rights to use the licensed intellectual property would not be exclusive and they may be able to license such patents to our competitors, permitting our competitors to market competing products and technology. This could have a material adverse effect on our competitive position, business, financial conditions, results of operations, and prospects.</w:t>
      </w:r>
    </w:p>
    <w:p>
      <w:pPr>
        <w:spacing w:after="0" w:line="7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231F20"/>
        </w:rPr>
        <w:t>For example, the intellectual property we licensed from the University of Texas, Southwestern (UTSW) is subject to certain non-commercial rights reserved by UTSW.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Our current licenses impose, and our future licenses likely will impose, various diligence, royalty payment, milestone payment, insurance and other obligations on us. If we fail to comply with any of these or other obligations in our license agreements, we may be required to pay damages and the licensor may have the right to terminate the licenses. Termination by the licensor would cause us to lose valuable rights and could prevent us from developing 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If any such event occurs, competitors or other third parties may gain the freedom to seek regulatory approval of, and to market, products identical to ours. Further, we may have to negotiate new or reinstated licenses with less favorable terms or we may not have sufficient intellectual property rights to operate our business. This could have a material adverse effect on our competitive position, business, financial condition, results of operations, and prospects.</w:t>
      </w:r>
    </w:p>
    <w:p>
      <w:pPr>
        <w:spacing w:after="0" w:line="80"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231F20"/>
        </w:rPr>
        <w:t>The agreements under which we license intellectual property or technology from third parties are complex, and certain provisions in such agreements may be susceptible to multiple interpretations. Disputes may arise between us and our current and future licensors. In spite of our efforts, our current and future licensors might conclude that we have materially breached our obligations under our license agreements and might therefore terminate such license agreements, thereby removing our ability to develop and commercialize products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231F20"/>
        </w:rPr>
        <w:t>technology covered by these license agreements.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the affected product candidates, which could have a material adverse effect on our business, financial conditions, results of operations, and prospects.</w:t>
      </w:r>
    </w:p>
    <w:p>
      <w:pPr>
        <w:spacing w:after="0" w:line="8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231F20"/>
        </w:rPr>
        <w:t>Our licensors may also own or control intellectual property that has not been licensed to us and, as a result, we may be subject to claims, regardless of their merit, that we are infringing or otherwise violating our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w:t>
      </w:r>
    </w:p>
    <w:p>
      <w:pPr>
        <w:spacing w:after="0" w:line="179"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We have in-licensed, and we may develop, acquire or in-license in the future, certain patents, patent applications or other intellectual property generated using U.S. government funding or grants. Pursuant to the Bayh-Dole Act of 1980, the U.S. government has certain rights in inventions developed with government funding. These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w:t>
      </w:r>
    </w:p>
    <w:p>
      <w:pPr>
        <w:spacing w:after="0" w:line="3" w:lineRule="exact"/>
        <w:rPr>
          <w:sz w:val="20"/>
          <w:szCs w:val="20"/>
          <w:color w:val="auto"/>
        </w:rPr>
      </w:pPr>
    </w:p>
    <w:p>
      <w:pPr>
        <w:ind w:firstLine="8"/>
        <w:spacing w:after="0" w:line="251" w:lineRule="auto"/>
        <w:tabs>
          <w:tab w:leader="none" w:pos="255"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government action is necessary to meet public health or safety needs; or (3) government action is necessary to meet requirements for public use under federal regulations (also referred to as march-in rights). If the U.S. government exercises its march-in rights in our current or future intellectual property rights generated using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any of these inventions or produced through the use of any of these inventions be manufactured substantially in the U.S. This preference for U.S. industry may limit our ability to contract with non-U.S. product manufacturers for products covered by such intellectual property, and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Any failure by us to comply with federal regulations regarding intellectual property rights that were developed through the use of U.S. government funding could have a material adverse effect on our business, financial condition, results of operations, and prospects.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Dependence on Third Parties</w:t>
      </w:r>
    </w:p>
    <w:p>
      <w:pPr>
        <w:spacing w:after="0" w:line="117"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spacing w:after="0" w:line="67"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231F20"/>
        </w:rPr>
        <w:t>The third parties upon which we rely to conduct our preclinical studies and clinical trials have a significant role in the conduct of such drug development activities and the subsequent collection and analysis of data. These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8" w:name="page79"/>
    <w:bookmarkEnd w:id="78"/>
    <w:p>
      <w:pPr>
        <w:spacing w:after="0" w:line="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231F20"/>
        </w:rPr>
        <w:t>third parties are not our employees, and except for remedies available to us under our agreements with such third parties, we have limited ability to control the amount or timing of resources that any such third party devotes to our preclinical studies or our clinical trials. The third parties we rely on for these services may also have relationships with other entities, some of which may be our competitors, for whom they may also be conducting clinical trials or other drug development activities, which could affect their performance on our behalf. Some of these third parties may terminate their engagements with us at any time. We also expect to have to negotiate budgets and contracts with CROs and clinical trial sites and we may not be able to do so on favorable terms. If we need to enter into alternative arrangements with, or replace or add any third parties, it would involve a transition period, and may require substantial cost and extensive management time and focus. Any of these events may delay our drug development activities, increase costs, and materially impact our ability to meet our desired clinical development timelines.</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Our heavy reliance on these third parties for such drug development activities reduces our control over these activities. As a result, we have less direct control over the conduct, timing and completion of preclinical studies and clinical trials and the management of data developed through such drug development activities than if we were relying entirely upon our own staff. Nevertheless, we are responsible for ensuring that each of our preclinical studies and clinical trials is conducted in accordance with applicable protocol, legal and regulatory requirements and scientific standards, such as GCP and cGMP, and our reliance on third parties does not relieve us of these responsibilities. Regulatory authorities enforce these requirements through periodic inspections of trial sponsors, principal investigators and trial sites. If we or any of our CROs fail to comply with applicable requirements, such as GCP or cGMP, the clinical data generated in our clinical trials may be deemed unreliable and the FDA,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applicable regulations. Moreover, our business may be implicated if any of these third parties violates federal or state fraud and abuse or false claims laws and regulations or healthcare privacy and security laws.</w:t>
      </w:r>
    </w:p>
    <w:p>
      <w:pPr>
        <w:spacing w:after="0" w:line="8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231F20"/>
        </w:rPr>
        <w:t>If these third parties do not successfully carry out their contractual duties, meet expected deadlines or conduct our clinical trials in accordance with regulatory requirements or our stated protocols, we will not be able, or may be delayed in, obtaining marketing approvals for our product candidates or otherwise successfully commercializing our product candidates.</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rely on third parties to produce and maintain certain of our product candidates. This increases the risk that we will not have sufficient quality and quantities of product candidates or such quantities at an acceptable cost, which could delay, prevent or impair our business.</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We do not have long-term supply agreements, and we purchase our required drug product on a purchase order basis, which means that aside from any binding purchase orders we may have, our supplier could cease supplying to us or change the terms on which it is willing to continue supplying to us at any time. If we experience an unexpected loss of supply of our product candidates for any reason, whether as a result of manufacturing, supply or storage issues or otherwise, we could experience delays, disruptions, suspensions or terminations of, or be required to restart or repeat, any pending or ongoing preclinical studies or clinical trials. Furthermore, any decision by us to change a third-party manufacturer could result in delays in our manufacturing supply chain which could delay or otherwise impact development of our programs and result in increased costs.</w:t>
      </w:r>
    </w:p>
    <w:p>
      <w:pPr>
        <w:spacing w:after="0" w:line="7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231F20"/>
        </w:rPr>
        <w:t>We may be unable to maintain or establish required agreements with third-party manufacturers on acceptable terms. Even if we are able to do so, reliance on third-party manufacturers entails additional risks, including:</w:t>
      </w:r>
    </w:p>
    <w:p>
      <w:pPr>
        <w:spacing w:after="0" w:line="54" w:lineRule="exact"/>
        <w:rPr>
          <w:sz w:val="20"/>
          <w:szCs w:val="20"/>
          <w:color w:val="auto"/>
        </w:rPr>
      </w:pPr>
    </w:p>
    <w:p>
      <w:pPr>
        <w:ind w:left="1020" w:right="320" w:hanging="503"/>
        <w:spacing w:after="0" w:line="266" w:lineRule="auto"/>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termination or nonrenewal of arrangements or agreements by our third-party contractors at a time that is costly or inconvenient for us;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breach by the third-party contractors of our agreements with them;</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86" w:lineRule="exact"/>
        <w:rPr>
          <w:sz w:val="20"/>
          <w:szCs w:val="20"/>
          <w:color w:val="auto"/>
        </w:rPr>
      </w:pPr>
    </w:p>
    <w:p>
      <w:pPr>
        <w:ind w:left="1020" w:right="620" w:hanging="503"/>
        <w:spacing w:after="0" w:line="282" w:lineRule="auto"/>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failure of third-party contractors to manufacture our product candidates according to our specifications or comply with applicable regulatory requirements, including cGMP;</w:t>
      </w:r>
    </w:p>
    <w:p>
      <w:pPr>
        <w:spacing w:after="0" w:line="53" w:lineRule="exact"/>
        <w:rPr>
          <w:rFonts w:ascii="Times New Roman" w:cs="Times New Roman" w:eastAsia="Times New Roman" w:hAnsi="Times New Roman"/>
          <w:sz w:val="18"/>
          <w:szCs w:val="18"/>
          <w:color w:val="231F20"/>
        </w:rPr>
      </w:pPr>
    </w:p>
    <w:p>
      <w:pPr>
        <w:ind w:left="1020" w:right="520" w:hanging="503"/>
        <w:spacing w:after="0" w:line="282" w:lineRule="auto"/>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mislabeling of clinical supplies, potentially resulting in the wrong dose amounts being supplied or active drug or placebo not being properly identified;</w:t>
      </w:r>
    </w:p>
    <w:p>
      <w:pPr>
        <w:spacing w:after="0" w:line="53" w:lineRule="exact"/>
        <w:rPr>
          <w:rFonts w:ascii="Times New Roman" w:cs="Times New Roman" w:eastAsia="Times New Roman" w:hAnsi="Times New Roman"/>
          <w:sz w:val="18"/>
          <w:szCs w:val="18"/>
          <w:color w:val="231F20"/>
        </w:rPr>
      </w:pPr>
    </w:p>
    <w:p>
      <w:pPr>
        <w:ind w:left="1020" w:right="60" w:hanging="503"/>
        <w:spacing w:after="0" w:line="282" w:lineRule="auto"/>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clinical supplies not being delivered to clinical sites on time, leading to clinical trial interruptions, or of drug supplies not being distributed to commercial vendors in a timely manner, resulting in lost sales; and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infringement, misappropriation or other violation of our intellectual property or proprietary information.</w:t>
      </w:r>
    </w:p>
    <w:p>
      <w:pPr>
        <w:spacing w:after="0" w:line="11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We do not have complete control over all aspects of the manufacturing process of our CDMOs and are dependent on these CDMOs for compliance with cGMP regulations for manufacturing API, drug substance and finished drug products. We are in the process of developing our supply chain for certain of our product candidates and intend to put in place framework agreements under which CDMOs will provide us with necessary quantities of API, drug substance and drug product based on our development needs. As we advance our product candidates through development, we will consider our lack of redundant supply for each of our product candidates to protect against any potential supply disruptions. However, we may be unsuccessful in putting in place such framework agreements or protecting against potential supply disruptions.</w:t>
      </w:r>
    </w:p>
    <w:p>
      <w:pPr>
        <w:spacing w:after="0" w:line="7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231F20"/>
        </w:rPr>
        <w:t>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We rely on third-party suppliers for the raw materials required for the production of our product candidates for all of our programs.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performance failure on the part of our suppliers could delay the development and potential commercialization of our product candidates, including limiting supplies necessary for clinical trials and regulatory approvals, which would seriously harm our business.</w:t>
      </w:r>
    </w:p>
    <w:p>
      <w:pPr>
        <w:spacing w:after="0" w:line="8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231F20"/>
        </w:rPr>
        <w:t>Our dependence upon others for the manufacture and ongoing storage and ongoing testing of our product candidates may adversely affect our future profit margins and our ability to commercialize any product candidates that receive marketing approval on a timely and competitive basis.</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engage in future acquisitions or strategic partnerships, this may increase our capital requirements, dilute our stockholders, cause us to incur debt or assume contingent liabilities, and subject us to other risks.</w:t>
      </w:r>
    </w:p>
    <w:p>
      <w:pPr>
        <w:spacing w:after="0" w:line="5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231F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54"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increased operating expenses and cash requirements;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assumption of additional indebtedness or contingent liabilities;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issuance of our equity securities;</w:t>
      </w:r>
    </w:p>
    <w:p>
      <w:pPr>
        <w:spacing w:after="0" w:line="117" w:lineRule="exact"/>
        <w:rPr>
          <w:rFonts w:ascii="Times New Roman" w:cs="Times New Roman" w:eastAsia="Times New Roman" w:hAnsi="Times New Roman"/>
          <w:sz w:val="18"/>
          <w:szCs w:val="18"/>
          <w:color w:val="231F20"/>
        </w:rPr>
      </w:pPr>
    </w:p>
    <w:p>
      <w:pPr>
        <w:ind w:left="1020" w:right="160" w:hanging="503"/>
        <w:spacing w:after="0" w:line="282" w:lineRule="auto"/>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assimilation of operations, intellectual property and products of an acquired company, including difficulties associated with integrating new personnel;</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diversion of our management’s attention from our existing programs and initiatives in pursuing such a strategic partnership or acquisition;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86"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unauthorized use or disclosure of our confidential information accessed in connection with partnership activities;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loss of key personnel and uncertainties in our ability to maintain key business relationships;</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risks and uncertainties associated with the other party to such a transaction, including the prospects of that party and their existing products or product candidates and marketing approvals;</w:t>
      </w:r>
    </w:p>
    <w:p>
      <w:pPr>
        <w:spacing w:after="0" w:line="53" w:lineRule="exact"/>
        <w:rPr>
          <w:rFonts w:ascii="Times New Roman" w:cs="Times New Roman" w:eastAsia="Times New Roman" w:hAnsi="Times New Roman"/>
          <w:sz w:val="18"/>
          <w:szCs w:val="18"/>
          <w:color w:val="231F20"/>
        </w:rPr>
      </w:pPr>
    </w:p>
    <w:p>
      <w:pPr>
        <w:ind w:left="1020" w:right="60" w:hanging="503"/>
        <w:spacing w:after="0" w:line="282" w:lineRule="auto"/>
        <w:tabs>
          <w:tab w:leader="none" w:pos="102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inability to generate revenue from acquired technology and/or products sufficient to meet our objectives in undertaking the acquisition or even to offset the associated acquisition and maintenance costs; and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inability to realize anticipated efficiencies and strategic benefits from such acquisitions or strategic partnerships.</w:t>
      </w:r>
    </w:p>
    <w:p>
      <w:pPr>
        <w:spacing w:after="0" w:line="117"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231F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158"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may enter into collaborations with third parties for the development and commercialization of product candidates. If we are not able to establish those collaborations on commercially reasonable terms or those collaborations are not successful, we may not be able to capitalize on the market potential of these product candidates.</w:t>
      </w:r>
    </w:p>
    <w:p>
      <w:pPr>
        <w:spacing w:after="0" w:line="6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231F20"/>
        </w:rPr>
        <w:t>We strategically evaluate collaborations and partnerships with biopharmaceutical companies that may have more robust and complementary capabilities and resources to accelerate the development and maximize the availability and potential of our product candidates. The collaboration negotiation process is time-consuming and complex. If and when we seek to enter into collaborations, we may not be able to negotiate collaborations on a timely basis, on acceptable terms, or at all. Whether we reach a definitive agreement for a collaboration will depend, among other things, upon our assessment of the collaborator’s resources and expertise, the terms and conditions of the proposed collaboration and the proposed collaborator’s evaluation of a number of factors regarding our business, the applicable product candidate or technology subject to the collaboration negotiation and the related market potential.</w:t>
      </w:r>
    </w:p>
    <w:p>
      <w:pPr>
        <w:spacing w:after="0" w:line="8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231F20"/>
        </w:rPr>
        <w:t>If we are unable to reach a definitive agreement,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7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231F20"/>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spacing w:after="0" w:line="72" w:lineRule="exact"/>
        <w:rPr>
          <w:sz w:val="20"/>
          <w:szCs w:val="20"/>
          <w:color w:val="auto"/>
        </w:rPr>
      </w:pPr>
    </w:p>
    <w:p>
      <w:pPr>
        <w:ind w:left="1020" w:right="580" w:hanging="503"/>
        <w:spacing w:after="0" w:line="282" w:lineRule="auto"/>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have significant discretion in determining the efforts and resources that they will apply to, and the manner in which they perform their obligations under, these collaborations and may not perform their obligations as expected;</w:t>
      </w:r>
    </w:p>
    <w:p>
      <w:pPr>
        <w:spacing w:after="0" w:line="53" w:lineRule="exact"/>
        <w:rPr>
          <w:rFonts w:ascii="Times New Roman" w:cs="Times New Roman" w:eastAsia="Times New Roman" w:hAnsi="Times New Roman"/>
          <w:sz w:val="18"/>
          <w:szCs w:val="18"/>
          <w:color w:val="231F20"/>
        </w:rPr>
      </w:pPr>
    </w:p>
    <w:p>
      <w:pPr>
        <w:ind w:left="1020" w:right="140" w:hanging="503"/>
        <w:spacing w:after="0" w:line="282" w:lineRule="auto"/>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relationship may require us to incur non-recurring and other charges, increase our near- and long-term expenditures, issue securities that dilute our existing stockholders, or disrupt our management and business;</w:t>
      </w:r>
    </w:p>
    <w:p>
      <w:pPr>
        <w:spacing w:after="0" w:line="53" w:lineRule="exact"/>
        <w:rPr>
          <w:rFonts w:ascii="Times New Roman" w:cs="Times New Roman" w:eastAsia="Times New Roman" w:hAnsi="Times New Roman"/>
          <w:sz w:val="18"/>
          <w:szCs w:val="18"/>
          <w:color w:val="231F20"/>
        </w:rPr>
      </w:pPr>
    </w:p>
    <w:p>
      <w:pPr>
        <w:ind w:left="1020" w:right="60" w:hanging="503"/>
        <w:spacing w:after="0" w:line="261" w:lineRule="auto"/>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86" w:lineRule="exact"/>
        <w:rPr>
          <w:sz w:val="20"/>
          <w:szCs w:val="20"/>
          <w:color w:val="auto"/>
        </w:rPr>
      </w:pPr>
    </w:p>
    <w:p>
      <w:pPr>
        <w:ind w:left="1020" w:right="460" w:hanging="503"/>
        <w:spacing w:after="0" w:line="282" w:lineRule="auto"/>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231F20"/>
        </w:rPr>
      </w:pPr>
    </w:p>
    <w:p>
      <w:pPr>
        <w:ind w:left="1020" w:right="20" w:hanging="503"/>
        <w:spacing w:after="0" w:line="266" w:lineRule="auto"/>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231F20"/>
        </w:rPr>
      </w:pPr>
    </w:p>
    <w:p>
      <w:pPr>
        <w:ind w:left="1020" w:right="740" w:hanging="503"/>
        <w:spacing w:after="0" w:line="282" w:lineRule="auto"/>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collaborator with marketing and distribution rights to multiple products may not commit sufficient resources to the marketing and distribution of our product relative to other products;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grant exclusive rights to our collaborators that would prevent us from collaborating with others;</w:t>
      </w:r>
    </w:p>
    <w:p>
      <w:pPr>
        <w:spacing w:after="0" w:line="117" w:lineRule="exact"/>
        <w:rPr>
          <w:rFonts w:ascii="Times New Roman" w:cs="Times New Roman" w:eastAsia="Times New Roman" w:hAnsi="Times New Roman"/>
          <w:sz w:val="18"/>
          <w:szCs w:val="18"/>
          <w:color w:val="231F20"/>
        </w:rPr>
      </w:pPr>
    </w:p>
    <w:p>
      <w:pPr>
        <w:ind w:left="1020" w:right="80" w:hanging="503"/>
        <w:spacing w:after="0" w:line="261" w:lineRule="auto"/>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not properly obtain, maintain, defend, protect or enforce our intellectual property rights or may use our proprietary information and intellectual property in such a way as to invite litigation or other intellectual property-related proceedings that could jeopardize or invalidate our proprietary information and intellectual property or expose us to potential litigation or other intellectual property related proceedings;</w:t>
      </w:r>
    </w:p>
    <w:p>
      <w:pPr>
        <w:spacing w:after="0" w:line="71" w:lineRule="exact"/>
        <w:rPr>
          <w:rFonts w:ascii="Times New Roman" w:cs="Times New Roman" w:eastAsia="Times New Roman" w:hAnsi="Times New Roman"/>
          <w:sz w:val="18"/>
          <w:szCs w:val="18"/>
          <w:color w:val="231F20"/>
        </w:rPr>
      </w:pPr>
    </w:p>
    <w:p>
      <w:pPr>
        <w:ind w:left="1020" w:right="60" w:hanging="503"/>
        <w:spacing w:after="0" w:line="282" w:lineRule="auto"/>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231F20"/>
        </w:rPr>
      </w:pPr>
    </w:p>
    <w:p>
      <w:pPr>
        <w:ind w:left="1020" w:right="1000" w:hanging="503"/>
        <w:spacing w:after="0" w:line="282" w:lineRule="auto"/>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collaborations may be terminated and, if terminated, may result in a need for additional capital to pursue further development or commercialization of the applicable product candidates;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collaboration agreements may not lead to development or commercialization of product candidates in the most efficient manner or at all;</w:t>
      </w:r>
    </w:p>
    <w:p>
      <w:pPr>
        <w:spacing w:after="0" w:line="117" w:lineRule="exact"/>
        <w:rPr>
          <w:rFonts w:ascii="Times New Roman" w:cs="Times New Roman" w:eastAsia="Times New Roman" w:hAnsi="Times New Roman"/>
          <w:sz w:val="18"/>
          <w:szCs w:val="18"/>
          <w:color w:val="231F20"/>
        </w:rPr>
      </w:pPr>
    </w:p>
    <w:p>
      <w:pPr>
        <w:jc w:val="both"/>
        <w:ind w:left="1020" w:right="60" w:hanging="503"/>
        <w:spacing w:after="0" w:line="266" w:lineRule="auto"/>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spacing w:after="0" w:line="67" w:lineRule="exact"/>
        <w:rPr>
          <w:rFonts w:ascii="Times New Roman" w:cs="Times New Roman" w:eastAsia="Times New Roman" w:hAnsi="Times New Roman"/>
          <w:sz w:val="18"/>
          <w:szCs w:val="18"/>
          <w:color w:val="231F20"/>
        </w:rPr>
      </w:pPr>
    </w:p>
    <w:p>
      <w:pPr>
        <w:ind w:left="1020" w:right="20" w:hanging="503"/>
        <w:spacing w:after="0" w:line="282" w:lineRule="auto"/>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53" w:lineRule="exact"/>
        <w:rPr>
          <w:rFonts w:ascii="Times New Roman" w:cs="Times New Roman" w:eastAsia="Times New Roman" w:hAnsi="Times New Roman"/>
          <w:sz w:val="18"/>
          <w:szCs w:val="18"/>
          <w:color w:val="231F20"/>
        </w:rPr>
      </w:pPr>
    </w:p>
    <w:p>
      <w:pPr>
        <w:ind w:left="1020" w:right="20" w:hanging="503"/>
        <w:spacing w:after="0" w:line="282" w:lineRule="auto"/>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collaborator’s sales and marketing activities or other operations may not be in compliance with applicable laws resulting in civil or criminal proceedings.</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If an agreement with a collaborator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5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231F20"/>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8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231F20"/>
        </w:rPr>
        <w:t>There are risks involved with both establishing our own commercial capabilities and entering into arrangements with third parties to perform these services. If the commercial launch of a product candidate for which we recruit a sales force and establish marketing and other commercialization capabilities is delayed or does not occur, we would have prematurely or unnecessarily incurred these commercialization expenses. This may be costly, and our investment would be lost if we cannot retain or reposition our commercialization personnel.</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p>
    <w:p>
      <w:pPr>
        <w:spacing w:after="0" w:line="183" w:lineRule="exact"/>
        <w:rPr>
          <w:sz w:val="20"/>
          <w:szCs w:val="20"/>
          <w:color w:val="auto"/>
        </w:rPr>
      </w:pPr>
    </w:p>
    <w:p>
      <w:pPr>
        <w:ind w:right="5100"/>
        <w:spacing w:after="0" w:line="377" w:lineRule="auto"/>
        <w:rPr>
          <w:sz w:val="20"/>
          <w:szCs w:val="20"/>
          <w:color w:val="auto"/>
        </w:rPr>
      </w:pPr>
      <w:r>
        <w:rPr>
          <w:rFonts w:ascii="Times New Roman" w:cs="Times New Roman" w:eastAsia="Times New Roman" w:hAnsi="Times New Roman"/>
          <w:sz w:val="18"/>
          <w:szCs w:val="18"/>
          <w:b w:val="1"/>
          <w:bCs w:val="1"/>
          <w:color w:val="231F20"/>
        </w:rPr>
        <w:t xml:space="preserve">Risks Related to the Securities Market and Ownership of Our Common Stock </w:t>
      </w:r>
      <w:r>
        <w:rPr>
          <w:rFonts w:ascii="Times New Roman" w:cs="Times New Roman" w:eastAsia="Times New Roman" w:hAnsi="Times New Roman"/>
          <w:sz w:val="18"/>
          <w:szCs w:val="18"/>
          <w:b w:val="1"/>
          <w:bCs w:val="1"/>
          <w:i w:val="1"/>
          <w:iCs w:val="1"/>
          <w:color w:val="231F20"/>
        </w:rPr>
        <w:t>The price of our stock is volatile, and you could lose all or part of your investment.</w:t>
      </w:r>
    </w:p>
    <w:p>
      <w:pPr>
        <w:spacing w:after="0" w:line="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231F20"/>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this “Risk Factors” section and elsewhere in this periodic report, these factors include:</w:t>
      </w:r>
    </w:p>
    <w:p>
      <w:pPr>
        <w:spacing w:after="0" w:line="75"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of achievement of our research, clinical, regulatory and other milestones for our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results of preclinical studies and clinical trials of our product candidates, those conducted by third parties or those of our competitors;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success of competitive products or announcements by potential competitors of their product development efforts;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regulatory actions with respect to our product candidates or those of our competitors;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or anticipated changes in our growth rate relative to our competitors;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regulatory or legal developments in the U.S. and other countries;</w:t>
      </w:r>
    </w:p>
    <w:p>
      <w:pPr>
        <w:spacing w:after="0" w:line="117" w:lineRule="exact"/>
        <w:rPr>
          <w:rFonts w:ascii="Times New Roman" w:cs="Times New Roman" w:eastAsia="Times New Roman" w:hAnsi="Times New Roman"/>
          <w:sz w:val="18"/>
          <w:szCs w:val="18"/>
          <w:color w:val="231F20"/>
        </w:rPr>
      </w:pPr>
    </w:p>
    <w:p>
      <w:pPr>
        <w:ind w:left="1020" w:right="420" w:hanging="503"/>
        <w:spacing w:after="0" w:line="282" w:lineRule="auto"/>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litigation, including developments or disputes concerning patent applications, issued patents or other intellectual property or proprietary rights;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recruitment or departure of key personnel;</w:t>
      </w:r>
    </w:p>
    <w:p>
      <w:pPr>
        <w:spacing w:after="0" w:line="117" w:lineRule="exact"/>
        <w:rPr>
          <w:rFonts w:ascii="Times New Roman" w:cs="Times New Roman" w:eastAsia="Times New Roman" w:hAnsi="Times New Roman"/>
          <w:sz w:val="18"/>
          <w:szCs w:val="18"/>
          <w:color w:val="231F20"/>
        </w:rPr>
      </w:pPr>
    </w:p>
    <w:p>
      <w:pPr>
        <w:ind w:left="1020" w:right="700" w:hanging="503"/>
        <w:spacing w:after="0" w:line="282" w:lineRule="auto"/>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announcements by us or our competitors of significant acquisitions, strategic collaborations, joint ventures, collaborations or capital commitments;</w:t>
      </w:r>
    </w:p>
    <w:p>
      <w:pPr>
        <w:spacing w:after="0" w:line="53" w:lineRule="exact"/>
        <w:rPr>
          <w:rFonts w:ascii="Times New Roman" w:cs="Times New Roman" w:eastAsia="Times New Roman" w:hAnsi="Times New Roman"/>
          <w:sz w:val="18"/>
          <w:szCs w:val="18"/>
          <w:color w:val="231F20"/>
        </w:rPr>
      </w:pPr>
    </w:p>
    <w:p>
      <w:pPr>
        <w:ind w:left="1020" w:right="260" w:hanging="503"/>
        <w:spacing w:after="0" w:line="282" w:lineRule="auto"/>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or anticipated changes in estimates as to financial results, development timelines or coverage and/or recommendations by securities analysts;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market conditions in the pharmaceutical and biotechnology sector;</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the structure of healthcare payment systems;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announcement or expectation of additional financing efforts;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sales of our common stock by us, our insiders or our other stockholders;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3" w:name="page84"/>
    <w:bookmarkEnd w:id="83"/>
    <w:p>
      <w:pPr>
        <w:spacing w:after="0" w:line="86"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expiration of market stand-off or lock-up agreements;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impact of any natural disasters or public health emergencies, such as the COVID-19 pandemic;</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fluctuations in interest rates and inflation rates;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general economic, political, industry and market conditions.</w:t>
      </w:r>
    </w:p>
    <w:p>
      <w:pPr>
        <w:spacing w:after="0" w:line="11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231F20"/>
        </w:rPr>
        <w:t>The realization of any of the above risks or any of a broad range of other risks, including those described in this “Risk Factors” section, could have a dramatic and adverse impact on the market price of our common stock.</w:t>
      </w:r>
    </w:p>
    <w:p>
      <w:pPr>
        <w:spacing w:after="0" w:line="15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operating results may fluctuate significantly, which makes our future operating results difficult to predict and could cause our operating results to fall below expectations or our guidance.</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231F20"/>
        </w:rPr>
        <w:t>Our quarterly and annual operating results may fluctuate significantly in the future due to a variety of factors, many of which are outside of our control and may be difficult to predict. 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principal stockholders and management own a significant percentage of our stock and will be able to exert significant control over matters subject to stockholder approval.</w:t>
      </w:r>
    </w:p>
    <w:p>
      <w:pPr>
        <w:spacing w:after="0" w:line="5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231F20"/>
        </w:rPr>
        <w:t>As of September 30, 2025, our executive officers, directors, holders of 5% or more of our capital stock and their respective affiliates beneficially owned approximately 41% of our common stock. These stockholders, acting together, may be able to control matters requiring stockholder approval. For example, they may be able to control elections of directors, amendments of our organizational documents or approval of any merger or other major corporate transactions. This concentration of ownership may delay, discourage or prevent a change of control, including unsolicited acquisition proposals or offers for our common stock that you may feel are in your best interest as a stockholder, entrench our management and board of directors or delay or prevent a merger, takeover or other business combination involving us that other stockholders may desire. The interests of this group of stockholders may not always coincide with your interests or the interests of other stockholders and they may act in a manner that advances their best interests and not necessarily those of other stockholders and might affect the prevailing market price for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Sales of a substantial number of shares of our common stock in the public market could cause our stock price to fall.</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231F20"/>
        </w:rPr>
        <w:t>Sales of a substantial number of shares of our common stock in the public market could occur at any time. For example, we filed a shelf registration statement on Form S-3 that became effective on August 17, 2022, which allows us to undertake various equity and debt offerings up to $300.0 million (the 2022 Shelf Registration), and as of December 31, 2024, we have sold 34,854,373 shares of our common stock and pre-funded warrants to purchase 8,458,964 shares of our common stock pursuant to the 2022 Shelf Registration</w:t>
      </w:r>
      <w:r>
        <w:rPr>
          <w:rFonts w:ascii="Times New Roman" w:cs="Times New Roman" w:eastAsia="Times New Roman" w:hAnsi="Times New Roman"/>
          <w:sz w:val="18"/>
          <w:szCs w:val="18"/>
          <w:color w:val="000000"/>
        </w:rPr>
        <w:t>. In January 2025, we sold 822,566 shares of our common stock under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"at-the-market" (ATM) offering.</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March 5, 2025, we completed an underwritten public offering of 75,000,000 units, with each unit consisting of one share of our common stock, a warrant to purchase one share of common stock, and a warrant to purchase one-half share of common stock, pursuant to the 2022 Shelf Registration. In addition, on March 21, 2025, we filed a new shelf registration statement on Form S-3 that became effective on March 31, 2025</w:t>
      </w:r>
      <w:r>
        <w:rPr>
          <w:rFonts w:ascii="Times New Roman" w:cs="Times New Roman" w:eastAsia="Times New Roman" w:hAnsi="Times New Roman"/>
          <w:sz w:val="18"/>
          <w:szCs w:val="18"/>
          <w:color w:val="231F20"/>
        </w:rPr>
        <w:t>, which will allow us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undertake various equity and debt offerings up to $300.0 million (including approximately $23.7 million of unsold securities under the 2022 Shelf Registration)</w:t>
      </w:r>
      <w:r>
        <w:rPr>
          <w:rFonts w:ascii="Times New Roman" w:cs="Times New Roman" w:eastAsia="Times New Roman" w:hAnsi="Times New Roman"/>
          <w:sz w:val="18"/>
          <w:szCs w:val="18"/>
          <w:color w:val="000000"/>
        </w:rPr>
        <w:t>.</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these shares are sold, or if it is perceived that they will be sold, in the public market, the trading price of our common stock could decline.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9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will incur costs as a result of operating as a public company, and our management will devote substantial time to related compliance initiatives. Additionally, if we fail to maintain proper and effective internal controls, our ability to produce accurate financial statements on a timely basis could be impaired.</w:t>
      </w:r>
    </w:p>
    <w:p>
      <w:pPr>
        <w:spacing w:after="0" w:line="67"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231F20"/>
        </w:rPr>
        <w:t>As a public company, we are subject to the reporting requirements of the Exchange Act, the Sarbanes-Oxley Act, the Dodd-Frank Wall Street Reform and Protection Act, as well as rules adopted, and to be adopted, by the SEC and the Nasdaq. As a result of our initiatives to comply with such regulatory requirements, we incur significant legal, accounting and other expenses which may increase after we are no longer an “emerging growth company.” Moreover, our management and other personnel need to devote a substantial amount of time to these compliance initiatives.</w:t>
      </w:r>
    </w:p>
    <w:p>
      <w:pPr>
        <w:spacing w:after="0" w:line="7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231F20"/>
        </w:rPr>
        <w:t>In particular, as a public company we are required to comply with SEC rules that implement Section 404 of the Sarbanes-Oxley Act. Under these rules, we are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unless we continue to qualify as a “smaller reporting company” at such time. To achieve compliance with Section 404 within the prescribed periods, we engage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231F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deadlines imposed by the Sarbanes-Oxley Act.</w:t>
      </w:r>
    </w:p>
    <w:p>
      <w:pPr>
        <w:spacing w:after="0" w:line="68"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Our internal control over financial reporting will not prevent or detect all errors and all fraud or prevent material weaknesses from being identified in such reporting.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231F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be subject to securities litigation, which is expensive and could divert management attention.</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The market price of our common stock has been and may continue to be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Provisions in our certificate of incorporation and bylaws and Delaware law might discourage, delay or prevent a change in control of our company or changes in our management and, therefore, depress the market price of our common stock.</w:t>
      </w:r>
    </w:p>
    <w:p>
      <w:pPr>
        <w:spacing w:after="0" w:line="5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231F20"/>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In addition, because our board of directors is responsible for appointing the members of our management team, these provisions may frustrate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31F20"/>
        </w:rPr>
        <w:t>prevent any attempts by our stockholders to replace or remove our current management by making it more difficult for stockholders to replace members of our board of directors. These provisions, among other things:</w:t>
      </w:r>
    </w:p>
    <w:p>
      <w:pPr>
        <w:spacing w:after="0" w:line="54"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 a classified board of directors so that not all members of our board are elected at one time;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permit only the board of directors to establish the number of directors and fill vacancies on the board;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provide that directors may only be removed “for cause”;</w:t>
      </w:r>
    </w:p>
    <w:p>
      <w:pPr>
        <w:spacing w:after="0" w:line="117" w:lineRule="exact"/>
        <w:rPr>
          <w:rFonts w:ascii="Times New Roman" w:cs="Times New Roman" w:eastAsia="Times New Roman" w:hAnsi="Times New Roman"/>
          <w:sz w:val="18"/>
          <w:szCs w:val="18"/>
          <w:color w:val="231F20"/>
        </w:rPr>
      </w:pPr>
    </w:p>
    <w:p>
      <w:pPr>
        <w:ind w:left="1020" w:right="340" w:hanging="503"/>
        <w:spacing w:after="0" w:line="282" w:lineRule="auto"/>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authorize the issuance of “blank check” preferred stock that our board could use to implement a stockholder rights plan (also known as a poison pill);</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prohibit stockholder action by written consent, which requires all stockholder actions to be taken at a meeting of our stockholders;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prohibit cumulative voting;</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authorize our board of directors to amend the bylaws;</w:t>
      </w:r>
    </w:p>
    <w:p>
      <w:pPr>
        <w:spacing w:after="0" w:line="117" w:lineRule="exact"/>
        <w:rPr>
          <w:rFonts w:ascii="Times New Roman" w:cs="Times New Roman" w:eastAsia="Times New Roman" w:hAnsi="Times New Roman"/>
          <w:sz w:val="18"/>
          <w:szCs w:val="18"/>
          <w:color w:val="231F20"/>
        </w:rPr>
      </w:pPr>
    </w:p>
    <w:p>
      <w:pPr>
        <w:ind w:left="1020" w:right="800" w:hanging="503"/>
        <w:spacing w:after="0" w:line="282" w:lineRule="auto"/>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 advance notice requirements for nominations for election to our board or for proposing matters that can be acted upon by stockholders at annual stockholder meetings; and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require a super-majority vote of stockholders to amend or repeal specified provisions of our certificate of incorporation and bylaws.</w:t>
      </w:r>
    </w:p>
    <w:p>
      <w:pPr>
        <w:spacing w:after="0" w:line="11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231F20"/>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or certain other conditions are met.</w:t>
      </w:r>
    </w:p>
    <w:p>
      <w:pPr>
        <w:spacing w:after="0" w:line="7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231F20"/>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7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Our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75"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derivative action or proceeding brought on our behalf;</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of breach of fiduciary duty;</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against us arising under the DGCL, our certificate of incorporation or our bylaws;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against us that is governed by the internal-affairs doctrine.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This provision would not apply to suits brought to enforce a duty or liability created by the Exchange Act or any other claim for which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federal courts have exclusive jurisdiction.</w:t>
      </w:r>
    </w:p>
    <w:p>
      <w:pPr>
        <w:spacing w:after="0" w:line="9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231F20"/>
        </w:rPr>
        <w:t>Our bylaws further provide that the federal district courts of the United States of America will be the exclusive forum for resolving any complaint asserting a cause of action arising under the Securities Act.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6" w:name="page87"/>
    <w:bookmarkEnd w:id="86"/>
    <w:p>
      <w:pPr>
        <w:spacing w:after="0" w:line="8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231F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In addition, these exclusive-forum provisions may impose additional litigation costs for stockholders who determine to pursue any such lawsuits against us.</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bylaws to be inapplicable or unenforceable in an action, we may incur additional costs associated with resolving the dispute in other jurisdictions, which could seriously harm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Sales of Unregistered Securities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had no sales of unregistered equity securities during the period covered by this report that were not previously reported in a Quarterly Report on Form 10-Q or a Current Report on Form 8-K.</w:t>
      </w:r>
    </w:p>
    <w:p>
      <w:pPr>
        <w:spacing w:after="0" w:line="158" w:lineRule="exact"/>
        <w:rPr>
          <w:sz w:val="20"/>
          <w:szCs w:val="20"/>
          <w:color w:val="auto"/>
        </w:rPr>
      </w:pPr>
    </w:p>
    <w:p>
      <w:pPr>
        <w:ind w:left="520" w:right="6380" w:hanging="512"/>
        <w:spacing w:after="0" w:line="412" w:lineRule="auto"/>
        <w:tabs>
          <w:tab w:leader="none" w:pos="5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Public Offering of Common Stock </w:t>
      </w:r>
      <w:r>
        <w:rPr>
          <w:rFonts w:ascii="Times New Roman" w:cs="Times New Roman" w:eastAsia="Times New Roman" w:hAnsi="Times New Roman"/>
          <w:sz w:val="18"/>
          <w:szCs w:val="18"/>
          <w:color w:val="auto"/>
        </w:rPr>
        <w:t>None.</w:t>
      </w:r>
    </w:p>
    <w:p>
      <w:pPr>
        <w:spacing w:after="0" w:line="45" w:lineRule="exact"/>
        <w:rPr>
          <w:rFonts w:ascii="Times New Roman" w:cs="Times New Roman" w:eastAsia="Times New Roman" w:hAnsi="Times New Roman"/>
          <w:sz w:val="18"/>
          <w:szCs w:val="18"/>
          <w:b w:val="1"/>
          <w:bCs w:val="1"/>
          <w:color w:val="auto"/>
        </w:rPr>
      </w:pPr>
    </w:p>
    <w:p>
      <w:pPr>
        <w:ind w:left="520" w:right="7840" w:hanging="512"/>
        <w:spacing w:after="0" w:line="412" w:lineRule="auto"/>
        <w:tabs>
          <w:tab w:leader="none" w:pos="5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Issuer Purchases of Equity Securities </w:t>
      </w:r>
      <w:r>
        <w:rPr>
          <w:rFonts w:ascii="Times New Roman" w:cs="Times New Roman" w:eastAsia="Times New Roman" w:hAnsi="Times New Roman"/>
          <w:sz w:val="18"/>
          <w:szCs w:val="18"/>
          <w:color w:val="auto"/>
        </w:rPr>
        <w:t>None.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2025, no director or officer, as defined in Rule 16a-1(f), adopted or terminated a “Rule 10b5-1 trading arrangement” or a “non-Rule 10b5-1 trading arrangement,” each as defined in Regulation S-K Item 408.</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7" w:name="page88"/>
    <w:bookmarkEnd w:id="87"/>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02"/>
        </w:trPr>
        <w:tc>
          <w:tcPr>
            <w:tcW w:w="13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4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Filing</w:t>
            </w:r>
          </w:p>
        </w:tc>
      </w:tr>
      <w:tr>
        <w:trPr>
          <w:trHeight w:val="238"/>
        </w:trPr>
        <w:tc>
          <w:tcPr>
            <w:tcW w:w="13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6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9"/>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800" w:type="dxa"/>
            <w:vAlign w:val="bottom"/>
            <w:gridSpan w:val="11"/>
          </w:tcPr>
          <w:p>
            <w:pPr>
              <w:spacing w:after="0"/>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Composite Amended and Restated Certificate of</w:t>
              </w:r>
            </w:hyperlink>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10-Q</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001-40656</w:t>
            </w:r>
          </w:p>
        </w:tc>
        <w:tc>
          <w:tcPr>
            <w:tcW w:w="1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3.1</w:t>
            </w:r>
          </w:p>
        </w:tc>
        <w:tc>
          <w:tcPr>
            <w:tcW w:w="14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8-9-2023</w:t>
            </w:r>
          </w:p>
        </w:tc>
      </w:tr>
      <w:tr>
        <w:trPr>
          <w:trHeight w:val="20"/>
        </w:trPr>
        <w:tc>
          <w:tcPr>
            <w:tcW w:w="13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800" w:type="dxa"/>
            <w:vAlign w:val="bottom"/>
            <w:gridSpan w:val="11"/>
          </w:tcPr>
          <w:p>
            <w:pPr>
              <w:spacing w:after="0" w:line="196" w:lineRule="exact"/>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Incorporation of Tenaya Therapeutics, Inc., as</w:t>
              </w:r>
            </w:hyperlink>
          </w:p>
        </w:tc>
        <w:tc>
          <w:tcPr>
            <w:tcW w:w="1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800" w:type="dxa"/>
            <w:vAlign w:val="bottom"/>
            <w:gridSpan w:val="11"/>
          </w:tcPr>
          <w:p>
            <w:pPr>
              <w:spacing w:after="0" w:line="196" w:lineRule="exact"/>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amended</w:t>
              </w:r>
            </w:hyperlink>
          </w:p>
        </w:tc>
        <w:tc>
          <w:tcPr>
            <w:tcW w:w="1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7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800" w:type="dxa"/>
            <w:vAlign w:val="bottom"/>
            <w:gridSpan w:val="11"/>
          </w:tcPr>
          <w:p>
            <w:pPr>
              <w:spacing w:after="0"/>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Amended and Restated Bylaws of Tenaya</w:t>
              </w:r>
            </w:hyperlink>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001-40656</w:t>
            </w:r>
          </w:p>
        </w:tc>
        <w:tc>
          <w:tcPr>
            <w:tcW w:w="1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3.1</w:t>
            </w: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3-21-2023</w:t>
            </w:r>
          </w:p>
        </w:tc>
      </w:tr>
      <w:tr>
        <w:trPr>
          <w:trHeight w:val="20"/>
        </w:trPr>
        <w:tc>
          <w:tcPr>
            <w:tcW w:w="1360" w:type="dxa"/>
            <w:vAlign w:val="bottom"/>
          </w:tcPr>
          <w:p>
            <w:pPr>
              <w:spacing w:after="0" w:line="20" w:lineRule="exact"/>
              <w:rPr>
                <w:sz w:val="1"/>
                <w:szCs w:val="1"/>
                <w:color w:val="auto"/>
              </w:rPr>
            </w:pPr>
          </w:p>
        </w:tc>
        <w:tc>
          <w:tcPr>
            <w:tcW w:w="130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800" w:type="dxa"/>
            <w:vAlign w:val="bottom"/>
            <w:gridSpan w:val="11"/>
          </w:tcPr>
          <w:p>
            <w:pPr>
              <w:spacing w:after="0" w:line="196"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Therapeutics, Inc.</w:t>
              </w:r>
            </w:hyperlink>
          </w:p>
        </w:tc>
        <w:tc>
          <w:tcPr>
            <w:tcW w:w="1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7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8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Warrant Agent Agreement</w:t>
            </w:r>
          </w:p>
        </w:tc>
        <w:tc>
          <w:tcPr>
            <w:tcW w:w="1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EE"/>
            </w:tcBorders>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7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8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w:t>
            </w:r>
          </w:p>
        </w:tc>
        <w:tc>
          <w:tcPr>
            <w:tcW w:w="1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2360" w:type="dxa"/>
            <w:vAlign w:val="bottom"/>
            <w:tcBorders>
              <w:right w:val="single" w:sz="8" w:color="0000FF"/>
            </w:tcBorders>
            <w:gridSpan w:val="4"/>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8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Principal Financial Officer Pursuant to Rules 13a-</w:t>
            </w:r>
          </w:p>
        </w:tc>
        <w:tc>
          <w:tcPr>
            <w:tcW w:w="1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FF"/>
            </w:tcBorders>
            <w:gridSpan w:val="4"/>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8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14(a) and 15d-14(a) under the Securities Exchange</w:t>
            </w:r>
          </w:p>
        </w:tc>
        <w:tc>
          <w:tcPr>
            <w:tcW w:w="1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2360" w:type="dxa"/>
            <w:vAlign w:val="bottom"/>
            <w:tcBorders>
              <w:right w:val="single" w:sz="8" w:color="0000FF"/>
            </w:tcBorders>
            <w:gridSpan w:val="4"/>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8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Act of 1934, as Adopted Pursuant to Section 302 of</w:t>
            </w:r>
          </w:p>
        </w:tc>
        <w:tc>
          <w:tcPr>
            <w:tcW w:w="1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2360" w:type="dxa"/>
            <w:vAlign w:val="bottom"/>
            <w:tcBorders>
              <w:right w:val="single" w:sz="8" w:color="0000FF"/>
            </w:tcBorders>
            <w:gridSpan w:val="4"/>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8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1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EE"/>
            </w:tcBorders>
            <w:gridSpan w:val="4"/>
            <w:shd w:val="clear" w:color="auto" w:fill="0000FF"/>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7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8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w:t>
            </w:r>
          </w:p>
        </w:tc>
        <w:tc>
          <w:tcPr>
            <w:tcW w:w="1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3460" w:type="dxa"/>
            <w:vAlign w:val="bottom"/>
            <w:gridSpan w:val="7"/>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8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Principal Financial Officer Pursuant to 18 U.S.C.</w:t>
            </w:r>
          </w:p>
        </w:tc>
        <w:tc>
          <w:tcPr>
            <w:tcW w:w="1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3580" w:type="dxa"/>
            <w:vAlign w:val="bottom"/>
            <w:gridSpan w:val="8"/>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8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1350, as Adopted Pursuant to Section 906 of</w:t>
            </w:r>
          </w:p>
        </w:tc>
        <w:tc>
          <w:tcPr>
            <w:tcW w:w="1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3800" w:type="dxa"/>
            <w:vAlign w:val="bottom"/>
            <w:gridSpan w:val="11"/>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8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1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EE"/>
            </w:tcBorders>
            <w:gridSpan w:val="4"/>
            <w:shd w:val="clear" w:color="auto" w:fill="0000FF"/>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9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8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Document–the instance</w:t>
            </w:r>
          </w:p>
        </w:tc>
        <w:tc>
          <w:tcPr>
            <w:tcW w:w="1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38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w:t>
            </w:r>
          </w:p>
        </w:tc>
        <w:tc>
          <w:tcPr>
            <w:tcW w:w="1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38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File as its XBRL tags are embedded within the</w:t>
            </w:r>
          </w:p>
        </w:tc>
        <w:tc>
          <w:tcPr>
            <w:tcW w:w="1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1360" w:type="dxa"/>
            <w:vAlign w:val="bottom"/>
          </w:tcPr>
          <w:p>
            <w:pPr>
              <w:spacing w:after="0"/>
              <w:rPr>
                <w:sz w:val="20"/>
                <w:szCs w:val="20"/>
                <w:color w:val="auto"/>
              </w:rPr>
            </w:pPr>
          </w:p>
        </w:tc>
        <w:tc>
          <w:tcPr>
            <w:tcW w:w="38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1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8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w:t>
            </w:r>
          </w:p>
        </w:tc>
        <w:tc>
          <w:tcPr>
            <w:tcW w:w="1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38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Embedded Linkbase Documents.</w:t>
            </w:r>
          </w:p>
        </w:tc>
        <w:tc>
          <w:tcPr>
            <w:tcW w:w="1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80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9"/>
              </w:rPr>
              <w:t>Cover page formatted as Inline XBRL and contained</w:t>
            </w:r>
          </w:p>
        </w:tc>
        <w:tc>
          <w:tcPr>
            <w:tcW w:w="1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38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 Exhibit 101.</w:t>
            </w:r>
          </w:p>
        </w:tc>
        <w:tc>
          <w:tcPr>
            <w:tcW w:w="1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5" w:lineRule="exact"/>
        <w:rPr>
          <w:sz w:val="20"/>
          <w:szCs w:val="20"/>
          <w:color w:val="auto"/>
        </w:rPr>
      </w:pPr>
    </w:p>
    <w:p>
      <w:pPr>
        <w:jc w:val="both"/>
        <w:ind w:right="40" w:firstLine="8"/>
        <w:spacing w:after="0" w:line="261" w:lineRule="auto"/>
        <w:tabs>
          <w:tab w:leader="none" w:pos="1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Tenaya Therapeutics, Inc.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2025</w:t>
            </w: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Faraz Ali, M.B.A.</w:t>
            </w:r>
          </w:p>
        </w:tc>
      </w:tr>
      <w:tr>
        <w:trPr>
          <w:trHeight w:val="191"/>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Faraz Ali, M.B.A.</w:t>
            </w:r>
          </w:p>
        </w:tc>
      </w:tr>
      <w:tr>
        <w:trPr>
          <w:trHeight w:val="216"/>
        </w:trPr>
        <w:tc>
          <w:tcPr>
            <w:tcW w:w="3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 Interim Principal Financial Officer)</w:t>
            </w:r>
          </w:p>
        </w:tc>
      </w:tr>
      <w:tr>
        <w:trPr>
          <w:trHeight w:val="864"/>
        </w:trPr>
        <w:tc>
          <w:tcPr>
            <w:tcW w:w="3700" w:type="dxa"/>
            <w:vAlign w:val="bottom"/>
          </w:tcPr>
          <w:p>
            <w:pPr>
              <w:spacing w:after="0"/>
              <w:rPr>
                <w:sz w:val="24"/>
                <w:szCs w:val="24"/>
                <w:color w:val="auto"/>
              </w:rPr>
            </w:pPr>
          </w:p>
        </w:tc>
        <w:tc>
          <w:tcPr>
            <w:tcW w:w="2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89</w:t>
            </w:r>
          </w:p>
        </w:tc>
        <w:tc>
          <w:tcPr>
            <w:tcW w:w="5280" w:type="dxa"/>
            <w:vAlign w:val="bottom"/>
          </w:tcPr>
          <w:p>
            <w:pPr>
              <w:spacing w:after="0"/>
              <w:rPr>
                <w:sz w:val="24"/>
                <w:szCs w:val="24"/>
                <w:color w:val="auto"/>
              </w:rPr>
            </w:pPr>
          </w:p>
        </w:tc>
      </w:tr>
      <w:tr>
        <w:trPr>
          <w:trHeight w:val="763"/>
        </w:trPr>
        <w:tc>
          <w:tcPr>
            <w:tcW w:w="37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WARRANT AGENT AGREEMENT</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THIS WARRANT AGENT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dated as of August 19, 2025, is entered into by and between Tenaya Therapeutics,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Computershare Inc., a Delaware corporation (“</w:t>
      </w:r>
      <w:r>
        <w:rPr>
          <w:rFonts w:ascii="Times New Roman" w:cs="Times New Roman" w:eastAsia="Times New Roman" w:hAnsi="Times New Roman"/>
          <w:sz w:val="20"/>
          <w:szCs w:val="20"/>
          <w:b w:val="1"/>
          <w:bCs w:val="1"/>
          <w:i w:val="1"/>
          <w:iCs w:val="1"/>
          <w:color w:val="auto"/>
        </w:rPr>
        <w:t>Computershare</w:t>
      </w:r>
      <w:r>
        <w:rPr>
          <w:rFonts w:ascii="Times New Roman" w:cs="Times New Roman" w:eastAsia="Times New Roman" w:hAnsi="Times New Roman"/>
          <w:sz w:val="20"/>
          <w:szCs w:val="20"/>
          <w:color w:val="auto"/>
        </w:rPr>
        <w:t>”), and its affiliate, Computershare Trust Company, N.A., a federally chartered trust company, collectively as warrant agent (the “</w:t>
      </w:r>
      <w:r>
        <w:rPr>
          <w:rFonts w:ascii="Times New Roman" w:cs="Times New Roman" w:eastAsia="Times New Roman" w:hAnsi="Times New Roman"/>
          <w:sz w:val="20"/>
          <w:szCs w:val="20"/>
          <w:b w:val="1"/>
          <w:bCs w:val="1"/>
          <w:i w:val="1"/>
          <w:iCs w:val="1"/>
          <w:color w:val="auto"/>
        </w:rPr>
        <w:t>Warrant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Agent</w:t>
      </w:r>
      <w:r>
        <w:rPr>
          <w:rFonts w:ascii="Times New Roman" w:cs="Times New Roman" w:eastAsia="Times New Roman" w:hAnsi="Times New Roman"/>
          <w:sz w:val="20"/>
          <w:szCs w:val="20"/>
          <w:color w:val="auto"/>
        </w:rPr>
        <w:t>”). Capitalized terms used and not defined in this Agreement shall have the meanings ascribed to such terms in the Series A Warrant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Series B Warrant (each as defined below), as applicable.</w:t>
      </w:r>
    </w:p>
    <w:p>
      <w:pPr>
        <w:spacing w:after="0" w:line="184"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WHEREAS, the Company engaged in a public offering in which the Company sold and issued units of the Company’s equity securities, each such unit consisting of (i) one share of common stock of the Company, par value $0.0001 per share (the “</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w:t>
      </w:r>
    </w:p>
    <w:p>
      <w:pPr>
        <w:spacing w:after="0" w:line="2" w:lineRule="exact"/>
        <w:rPr>
          <w:sz w:val="20"/>
          <w:szCs w:val="20"/>
          <w:color w:val="auto"/>
        </w:rPr>
      </w:pPr>
    </w:p>
    <w:p>
      <w:pPr>
        <w:jc w:val="both"/>
        <w:ind w:firstLine="8"/>
        <w:spacing w:after="0"/>
        <w:tabs>
          <w:tab w:leader="none" w:pos="31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warrant to purchase one share of Common Stock at an exercise price of $0.80 per share, which is immediately exercisable and will expire five years from the Original Issue Date, the form of which is filed as Exhibit 4.1 to the Company’s Form 8-K filed with the SEC (as defined below) on March 4, 2025 (a “</w:t>
      </w:r>
      <w:r>
        <w:rPr>
          <w:rFonts w:ascii="Times New Roman" w:cs="Times New Roman" w:eastAsia="Times New Roman" w:hAnsi="Times New Roman"/>
          <w:sz w:val="20"/>
          <w:szCs w:val="20"/>
          <w:b w:val="1"/>
          <w:bCs w:val="1"/>
          <w:i w:val="1"/>
          <w:iCs w:val="1"/>
          <w:color w:val="auto"/>
        </w:rPr>
        <w:t>Series A Warrant</w:t>
      </w:r>
      <w:r>
        <w:rPr>
          <w:rFonts w:ascii="Times New Roman" w:cs="Times New Roman" w:eastAsia="Times New Roman" w:hAnsi="Times New Roman"/>
          <w:sz w:val="20"/>
          <w:szCs w:val="20"/>
          <w:color w:val="auto"/>
        </w:rPr>
        <w:t>”), and (iii) a warrant to purchase one-half of a share of Common Stock at an exercise price of $0.70 per share, which is immediately exercisable and will expire on June 30, 2026, the form of which is filed as Exhibit 4.2 to the Company’s Form 8-K filed with the SEC on March 4, 2025 (a “</w:t>
      </w:r>
      <w:r>
        <w:rPr>
          <w:rFonts w:ascii="Times New Roman" w:cs="Times New Roman" w:eastAsia="Times New Roman" w:hAnsi="Times New Roman"/>
          <w:sz w:val="20"/>
          <w:szCs w:val="20"/>
          <w:b w:val="1"/>
          <w:bCs w:val="1"/>
          <w:i w:val="1"/>
          <w:iCs w:val="1"/>
          <w:color w:val="auto"/>
        </w:rPr>
        <w:t>Series B Warrant</w:t>
      </w:r>
      <w:r>
        <w:rPr>
          <w:rFonts w:ascii="Times New Roman" w:cs="Times New Roman" w:eastAsia="Times New Roman" w:hAnsi="Times New Roman"/>
          <w:sz w:val="20"/>
          <w:szCs w:val="20"/>
          <w:color w:val="auto"/>
        </w:rPr>
        <w:t>” and, together with the Series A Warrants, the “</w:t>
      </w:r>
      <w:r>
        <w:rPr>
          <w:rFonts w:ascii="Times New Roman" w:cs="Times New Roman" w:eastAsia="Times New Roman" w:hAnsi="Times New Roman"/>
          <w:sz w:val="20"/>
          <w:szCs w:val="20"/>
          <w:b w:val="1"/>
          <w:bCs w:val="1"/>
          <w:i w:val="1"/>
          <w:iCs w:val="1"/>
          <w:color w:val="auto"/>
        </w:rPr>
        <w:t>Warrants</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WHEREAS, the Company has filed with the U.S. Securities and Exchange Commission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a registration statement on Form</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S-3, No: 333-266741 (the “</w:t>
      </w:r>
      <w:r>
        <w:rPr>
          <w:rFonts w:ascii="Times New Roman" w:cs="Times New Roman" w:eastAsia="Times New Roman" w:hAnsi="Times New Roman"/>
          <w:sz w:val="20"/>
          <w:szCs w:val="20"/>
          <w:b w:val="1"/>
          <w:bCs w:val="1"/>
          <w:i w:val="1"/>
          <w:iCs w:val="1"/>
          <w:color w:val="auto"/>
        </w:rPr>
        <w:t>Registration Statement</w:t>
      </w:r>
      <w:r>
        <w:rPr>
          <w:rFonts w:ascii="Times New Roman" w:cs="Times New Roman" w:eastAsia="Times New Roman" w:hAnsi="Times New Roman"/>
          <w:sz w:val="20"/>
          <w:szCs w:val="20"/>
          <w:color w:val="auto"/>
        </w:rPr>
        <w:t>”) and prospectus for the registration, under the Securities Act of 1933, as amended (the</w:t>
      </w: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of the Warrants and the Common Stock issuable upon exercise of the Warrants; and</w:t>
      </w:r>
    </w:p>
    <w:p>
      <w:pPr>
        <w:spacing w:after="0" w:line="194"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WHEREAS, the Company desires the Warrant Agent to act on behalf of the Company, and the Warrant Agent is willing to so act, in connection with the registration, transfer, exchange, and exercise of the Warrants.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NOW, THEREFORE, in consideration of the mutual agreements herein contained, the parties hereto agree as follows:</w:t>
      </w:r>
    </w:p>
    <w:p>
      <w:pPr>
        <w:spacing w:after="0" w:line="216" w:lineRule="exact"/>
        <w:rPr>
          <w:sz w:val="20"/>
          <w:szCs w:val="20"/>
          <w:color w:val="auto"/>
        </w:rPr>
      </w:pPr>
    </w:p>
    <w:p>
      <w:pPr>
        <w:jc w:val="both"/>
        <w:ind w:firstLine="757"/>
        <w:spacing w:after="0" w:line="254" w:lineRule="auto"/>
        <w:tabs>
          <w:tab w:leader="none" w:pos="115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Appointment of Warrant Agent</w:t>
      </w:r>
      <w:r>
        <w:rPr>
          <w:rFonts w:ascii="Times New Roman" w:cs="Times New Roman" w:eastAsia="Times New Roman" w:hAnsi="Times New Roman"/>
          <w:sz w:val="20"/>
          <w:szCs w:val="20"/>
          <w:color w:val="auto"/>
        </w:rPr>
        <w:t>. The Company hereby appoints the Warrant Agent to act as agent for the Company for the Warrants, and the Warrant Agent hereby accepts such appointment and agrees to perform the same in accordance with the express terms and conditions (and no implied terms and conditions) set forth in this Agreement.</w:t>
      </w:r>
    </w:p>
    <w:p>
      <w:pPr>
        <w:spacing w:after="0" w:line="17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Warrants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9"/>
          <w:szCs w:val="19"/>
          <w:color w:val="auto"/>
        </w:rPr>
        <w:t xml:space="preserve">2.1 </w:t>
      </w:r>
      <w:r>
        <w:rPr>
          <w:rFonts w:ascii="Times New Roman" w:cs="Times New Roman" w:eastAsia="Times New Roman" w:hAnsi="Times New Roman"/>
          <w:sz w:val="19"/>
          <w:szCs w:val="19"/>
          <w:u w:val="single" w:color="auto"/>
          <w:color w:val="auto"/>
        </w:rPr>
        <w:t>Form of Warrant</w:t>
      </w:r>
      <w:r>
        <w:rPr>
          <w:rFonts w:ascii="Times New Roman" w:cs="Times New Roman" w:eastAsia="Times New Roman" w:hAnsi="Times New Roman"/>
          <w:sz w:val="19"/>
          <w:szCs w:val="19"/>
          <w:color w:val="auto"/>
        </w:rPr>
        <w:t>. Each Warrant issued pursuant to this Agreement was originally issued on March 5, 2025 and signed by the Chief Executive Officer of the Company and shall continue to be held in book-entry form.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 provided that if the Company provides a new facsimile signature to the Warrant Agent for such purpose, the Warrant Agent will instead use such facsimile signature.</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Registration</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1029970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0" w:name="page91"/>
    <w:bookmarkEnd w:id="90"/>
    <w:p>
      <w:pPr>
        <w:jc w:val="both"/>
        <w:ind w:firstLine="1497"/>
        <w:spacing w:after="0" w:line="256" w:lineRule="auto"/>
        <w:rPr>
          <w:sz w:val="20"/>
          <w:szCs w:val="20"/>
          <w:color w:val="auto"/>
        </w:rPr>
      </w:pPr>
      <w:r>
        <w:rPr>
          <w:rFonts w:ascii="Times New Roman" w:cs="Times New Roman" w:eastAsia="Times New Roman" w:hAnsi="Times New Roman"/>
          <w:sz w:val="20"/>
          <w:szCs w:val="20"/>
          <w:color w:val="auto"/>
        </w:rPr>
        <w:t xml:space="preserve">2.2.1 </w:t>
      </w:r>
      <w:r>
        <w:rPr>
          <w:rFonts w:ascii="Times New Roman" w:cs="Times New Roman" w:eastAsia="Times New Roman" w:hAnsi="Times New Roman"/>
          <w:sz w:val="20"/>
          <w:szCs w:val="20"/>
          <w:u w:val="single" w:color="auto"/>
          <w:color w:val="auto"/>
        </w:rPr>
        <w:t>Warrant Register</w:t>
      </w:r>
      <w:r>
        <w:rPr>
          <w:rFonts w:ascii="Times New Roman" w:cs="Times New Roman" w:eastAsia="Times New Roman" w:hAnsi="Times New Roman"/>
          <w:sz w:val="20"/>
          <w:szCs w:val="20"/>
          <w:color w:val="auto"/>
        </w:rPr>
        <w:t>. The Warrant Agent shall maintain books (the “</w:t>
      </w:r>
      <w:r>
        <w:rPr>
          <w:rFonts w:ascii="Times New Roman" w:cs="Times New Roman" w:eastAsia="Times New Roman" w:hAnsi="Times New Roman"/>
          <w:sz w:val="20"/>
          <w:szCs w:val="20"/>
          <w:b w:val="1"/>
          <w:bCs w:val="1"/>
          <w:i w:val="1"/>
          <w:iCs w:val="1"/>
          <w:color w:val="auto"/>
        </w:rPr>
        <w:t>Warrant Register</w:t>
      </w:r>
      <w:r>
        <w:rPr>
          <w:rFonts w:ascii="Times New Roman" w:cs="Times New Roman" w:eastAsia="Times New Roman" w:hAnsi="Times New Roman"/>
          <w:sz w:val="20"/>
          <w:szCs w:val="20"/>
          <w:color w:val="auto"/>
        </w:rPr>
        <w:t>”) for the registration of the original issuance, exchange and transfers of the Warrants. The Warrant Agent shall register the Warrants in the names of the respective holders thereof in such denominations and otherwise in accordance with instructions delivered to the Warrant Agent by the Company.</w:t>
      </w:r>
    </w:p>
    <w:p>
      <w:pPr>
        <w:spacing w:after="0" w:line="173"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2.2.2 </w:t>
      </w:r>
      <w:r>
        <w:rPr>
          <w:rFonts w:ascii="Times New Roman" w:cs="Times New Roman" w:eastAsia="Times New Roman" w:hAnsi="Times New Roman"/>
          <w:sz w:val="20"/>
          <w:szCs w:val="20"/>
          <w:u w:val="single" w:color="auto"/>
          <w:color w:val="auto"/>
        </w:rPr>
        <w:t>Registered Holder</w:t>
      </w:r>
      <w:r>
        <w:rPr>
          <w:rFonts w:ascii="Times New Roman" w:cs="Times New Roman" w:eastAsia="Times New Roman" w:hAnsi="Times New Roman"/>
          <w:sz w:val="20"/>
          <w:szCs w:val="20"/>
          <w:color w:val="auto"/>
        </w:rPr>
        <w:t>. Prior to due presentment for the transfer of any Warrant, the Company and the Warrant Agent may deem and treat the person or entity in whose name such Warrant is registered in the Warrant Register (the “</w:t>
      </w:r>
      <w:r>
        <w:rPr>
          <w:rFonts w:ascii="Times New Roman" w:cs="Times New Roman" w:eastAsia="Times New Roman" w:hAnsi="Times New Roman"/>
          <w:sz w:val="20"/>
          <w:szCs w:val="20"/>
          <w:b w:val="1"/>
          <w:bCs w:val="1"/>
          <w:i w:val="1"/>
          <w:iCs w:val="1"/>
          <w:color w:val="auto"/>
        </w:rPr>
        <w:t>Registered Holder</w:t>
      </w:r>
      <w:r>
        <w:rPr>
          <w:rFonts w:ascii="Times New Roman" w:cs="Times New Roman" w:eastAsia="Times New Roman" w:hAnsi="Times New Roman"/>
          <w:sz w:val="20"/>
          <w:szCs w:val="20"/>
          <w:color w:val="auto"/>
        </w:rPr>
        <w:t>”) as the absolute owner of such Warrant and of each Warrant represented thereby (notwithstanding any notation of ownership or other writing on any physical certificate made by anyone other than the Company or the Warrant Agent), for the purpose of any exercise thereof, and for all other purposes, and neither the Company nor the Warrant Agent shall be affected by any notice to the contrary.</w:t>
      </w:r>
    </w:p>
    <w:p>
      <w:pPr>
        <w:spacing w:after="0" w:line="185" w:lineRule="exact"/>
        <w:rPr>
          <w:sz w:val="20"/>
          <w:szCs w:val="20"/>
          <w:color w:val="auto"/>
        </w:rPr>
      </w:pPr>
    </w:p>
    <w:p>
      <w:pPr>
        <w:ind w:left="1160" w:hanging="403"/>
        <w:spacing w:after="0"/>
        <w:tabs>
          <w:tab w:leader="none" w:pos="11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and Exercise of Warrants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Warrant Price</w:t>
      </w:r>
      <w:r>
        <w:rPr>
          <w:rFonts w:ascii="Times New Roman" w:cs="Times New Roman" w:eastAsia="Times New Roman" w:hAnsi="Times New Roman"/>
          <w:sz w:val="20"/>
          <w:szCs w:val="20"/>
          <w:color w:val="auto"/>
        </w:rPr>
        <w:t>. Each Series A Warrant shall entitle the Registered Holder thereof, subject to the provisions of such Series A Warrant, to purchase from the Company the number of shares of Common Stock stated therein, at the price of $0.80 per share, subject to the adjustments provided in Section 4 hereof and in the last sentence of this Section 3.1. Each Series B Warrant shall entitle the Registered Holder thereof, subject to the provisions of such Series B Warrant, to purchase from the Company the number of shares of Common Stock stated therein, at the price of $0.70 per share, subject to the adjustments provided in Section 4 hereof and in the last sentence of this Section 3.1. The term “</w:t>
      </w:r>
      <w:r>
        <w:rPr>
          <w:rFonts w:ascii="Times New Roman" w:cs="Times New Roman" w:eastAsia="Times New Roman" w:hAnsi="Times New Roman"/>
          <w:sz w:val="20"/>
          <w:szCs w:val="20"/>
          <w:b w:val="1"/>
          <w:bCs w:val="1"/>
          <w:i w:val="1"/>
          <w:iCs w:val="1"/>
          <w:color w:val="auto"/>
        </w:rPr>
        <w:t>Warrant Price</w:t>
      </w:r>
      <w:r>
        <w:rPr>
          <w:rFonts w:ascii="Times New Roman" w:cs="Times New Roman" w:eastAsia="Times New Roman" w:hAnsi="Times New Roman"/>
          <w:sz w:val="20"/>
          <w:szCs w:val="20"/>
          <w:color w:val="auto"/>
        </w:rPr>
        <w:t>” as used in this Agreement refers to the price per share at which shares of Common Stock may be purchased at the time a Warrant is exercised. The Company, in its sole discretion, may lower the Warrant Price of a Warrant at any time prior to the Series A Expiration Date (as defined below) or Series B Expiration Date (as defined below), as applicable.</w:t>
      </w:r>
    </w:p>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Duration of Warrants</w:t>
      </w:r>
      <w:r>
        <w:rPr>
          <w:rFonts w:ascii="Times New Roman" w:cs="Times New Roman" w:eastAsia="Times New Roman" w:hAnsi="Times New Roman"/>
          <w:sz w:val="20"/>
          <w:szCs w:val="20"/>
          <w:color w:val="auto"/>
        </w:rPr>
        <w:t>. A Series A Warrant may be exercised only during the period (the “</w:t>
      </w:r>
      <w:r>
        <w:rPr>
          <w:rFonts w:ascii="Times New Roman" w:cs="Times New Roman" w:eastAsia="Times New Roman" w:hAnsi="Times New Roman"/>
          <w:sz w:val="20"/>
          <w:szCs w:val="20"/>
          <w:b w:val="1"/>
          <w:bCs w:val="1"/>
          <w:i w:val="1"/>
          <w:iCs w:val="1"/>
          <w:color w:val="auto"/>
        </w:rPr>
        <w:t>Series A Exercise Period</w:t>
      </w:r>
      <w:r>
        <w:rPr>
          <w:rFonts w:ascii="Times New Roman" w:cs="Times New Roman" w:eastAsia="Times New Roman" w:hAnsi="Times New Roman"/>
          <w:sz w:val="20"/>
          <w:szCs w:val="20"/>
          <w:color w:val="auto"/>
        </w:rPr>
        <w:t>”) on or after the Original Issue Date and on or prior to 5:00 p.m. (New York City time) on the five-year anniversary of the date of issuance (the “</w:t>
      </w:r>
      <w:r>
        <w:rPr>
          <w:rFonts w:ascii="Times New Roman" w:cs="Times New Roman" w:eastAsia="Times New Roman" w:hAnsi="Times New Roman"/>
          <w:sz w:val="20"/>
          <w:szCs w:val="20"/>
          <w:b w:val="1"/>
          <w:bCs w:val="1"/>
          <w:i w:val="1"/>
          <w:iCs w:val="1"/>
          <w:color w:val="auto"/>
        </w:rPr>
        <w:t>Series A Expiration Date</w:t>
      </w:r>
      <w:r>
        <w:rPr>
          <w:rFonts w:ascii="Times New Roman" w:cs="Times New Roman" w:eastAsia="Times New Roman" w:hAnsi="Times New Roman"/>
          <w:sz w:val="20"/>
          <w:szCs w:val="20"/>
          <w:color w:val="auto"/>
        </w:rPr>
        <w:t>”). A Series B Warrant may be exercised only during the period (the “</w:t>
      </w:r>
      <w:r>
        <w:rPr>
          <w:rFonts w:ascii="Times New Roman" w:cs="Times New Roman" w:eastAsia="Times New Roman" w:hAnsi="Times New Roman"/>
          <w:sz w:val="20"/>
          <w:szCs w:val="20"/>
          <w:b w:val="1"/>
          <w:bCs w:val="1"/>
          <w:i w:val="1"/>
          <w:iCs w:val="1"/>
          <w:color w:val="auto"/>
        </w:rPr>
        <w:t>Series B Exercise Period</w:t>
      </w:r>
      <w:r>
        <w:rPr>
          <w:rFonts w:ascii="Times New Roman" w:cs="Times New Roman" w:eastAsia="Times New Roman" w:hAnsi="Times New Roman"/>
          <w:sz w:val="20"/>
          <w:szCs w:val="20"/>
          <w:color w:val="auto"/>
        </w:rPr>
        <w:t>”) on or after the Original Issue Date and on or prior to 5:00 p.m. (New York City time) on June 30, 2026 (the “</w:t>
      </w:r>
      <w:r>
        <w:rPr>
          <w:rFonts w:ascii="Times New Roman" w:cs="Times New Roman" w:eastAsia="Times New Roman" w:hAnsi="Times New Roman"/>
          <w:sz w:val="20"/>
          <w:szCs w:val="20"/>
          <w:b w:val="1"/>
          <w:bCs w:val="1"/>
          <w:i w:val="1"/>
          <w:iCs w:val="1"/>
          <w:color w:val="auto"/>
        </w:rPr>
        <w:t>Series B Expiration Date</w:t>
      </w:r>
      <w:r>
        <w:rPr>
          <w:rFonts w:ascii="Times New Roman" w:cs="Times New Roman" w:eastAsia="Times New Roman" w:hAnsi="Times New Roman"/>
          <w:sz w:val="20"/>
          <w:szCs w:val="20"/>
          <w:color w:val="auto"/>
        </w:rPr>
        <w:t>”). Each Warrant not exercised on or before the Series A Expiration Date or Series B Expiration Date, as applicable, shall become void, and all rights thereunder and all rights in respect thereof under this Agreement shall cease on the Series A Expiration Date or Series B Expiration Date, as applicable. The Company, in its sole discretion, may extend the duration of the Warrants by delaying the Series A Expiration Date or Series B Expiration Date, as applicable.</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Exercise of Warrants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 xml:space="preserve">3.3.1 </w:t>
      </w:r>
      <w:r>
        <w:rPr>
          <w:rFonts w:ascii="Times New Roman" w:cs="Times New Roman" w:eastAsia="Times New Roman" w:hAnsi="Times New Roman"/>
          <w:sz w:val="20"/>
          <w:szCs w:val="20"/>
          <w:u w:val="single" w:color="auto"/>
          <w:color w:val="auto"/>
        </w:rPr>
        <w:t>Exercise; Payment</w:t>
      </w:r>
      <w:r>
        <w:rPr>
          <w:rFonts w:ascii="Times New Roman" w:cs="Times New Roman" w:eastAsia="Times New Roman" w:hAnsi="Times New Roman"/>
          <w:sz w:val="20"/>
          <w:szCs w:val="20"/>
          <w:color w:val="auto"/>
        </w:rPr>
        <w:t xml:space="preserve">. Subject to the provisions of the Warrant and this Warrant Agreement, a Warrant may be exercised, in whole or in part, at any time or times during the Series A Exercise Period or Series B Exercise Period, as applicable, by the Registered Holder thereof by e-mail delivery to the Company of a duly executed facsimile copy or PDF copy of the Exercise Notice in the form attached as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xml:space="preserve"> to the Warrant (the date of receipt of such Exercise Notice, the “</w:t>
      </w:r>
      <w:r>
        <w:rPr>
          <w:rFonts w:ascii="Times New Roman" w:cs="Times New Roman" w:eastAsia="Times New Roman" w:hAnsi="Times New Roman"/>
          <w:sz w:val="20"/>
          <w:szCs w:val="20"/>
          <w:b w:val="1"/>
          <w:bCs w:val="1"/>
          <w:i w:val="1"/>
          <w:iCs w:val="1"/>
          <w:color w:val="auto"/>
        </w:rPr>
        <w:t>Exercise Date</w:t>
      </w:r>
      <w:r>
        <w:rPr>
          <w:rFonts w:ascii="Times New Roman" w:cs="Times New Roman" w:eastAsia="Times New Roman" w:hAnsi="Times New Roman"/>
          <w:sz w:val="20"/>
          <w:szCs w:val="20"/>
          <w:color w:val="auto"/>
        </w:rPr>
        <w:t>”), properly completed and duly executed by the Registered Holder, accompanied by such other documentation as the Warrant Agent may reasonably request in accordance with the terms of the Warrant, and by paying the aggregate Exercise Price for the number of Warrant Shares specified in the applicable Exercise Notice by wire transfer or cashier’s check drawn on a United States bank (unless the cashless exercise procedure specified in the applicable Warrant is specified in the applicable Exercise Notice) within the earlier of (i)</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1" w:name="page92"/>
    <w:bookmarkEnd w:id="91"/>
    <w:p>
      <w:pPr>
        <w:jc w:val="both"/>
        <w:spacing w:after="0" w:line="246" w:lineRule="auto"/>
        <w:rPr>
          <w:sz w:val="20"/>
          <w:szCs w:val="20"/>
          <w:color w:val="auto"/>
        </w:rPr>
      </w:pPr>
      <w:r>
        <w:rPr>
          <w:rFonts w:ascii="Times New Roman" w:cs="Times New Roman" w:eastAsia="Times New Roman" w:hAnsi="Times New Roman"/>
          <w:sz w:val="20"/>
          <w:szCs w:val="20"/>
          <w:color w:val="auto"/>
        </w:rPr>
        <w:t>two (2) Trading Days and (ii) the number of Trading Days comprising the Standard Settlement Period following the date of exercise. With respect to book-entry Warrants, no ink-original Exercise Notice shall be required, nor shall any medallion guarantee (or other type of guarantee or notarization) of any Exercise Notice be required. Notwithstanding anything herein to the contrary, the Registered Holder shall not be required to physically surrender the Warrant as condition to exercise. The Warrant Agent shall deliver any objection to any Exercise Notice as soon as commercially practicable.</w:t>
      </w:r>
    </w:p>
    <w:p>
      <w:pPr>
        <w:spacing w:after="0" w:line="185"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 xml:space="preserve">3.3.2 </w:t>
      </w:r>
      <w:r>
        <w:rPr>
          <w:rFonts w:ascii="Times New Roman" w:cs="Times New Roman" w:eastAsia="Times New Roman" w:hAnsi="Times New Roman"/>
          <w:sz w:val="20"/>
          <w:szCs w:val="20"/>
          <w:u w:val="single" w:color="auto"/>
          <w:color w:val="auto"/>
        </w:rPr>
        <w:t>Issuance of Shares of Common Stock on Exercise</w:t>
      </w:r>
      <w:r>
        <w:rPr>
          <w:rFonts w:ascii="Times New Roman" w:cs="Times New Roman" w:eastAsia="Times New Roman" w:hAnsi="Times New Roman"/>
          <w:sz w:val="20"/>
          <w:szCs w:val="20"/>
          <w:color w:val="auto"/>
        </w:rPr>
        <w:t>. Upon exercise of a Warrant, the Warrant Agent shall as soon as practicable (but in no event later than two (2) Trading Days after the Exercise Date), provided the Company or the Warrant Agent has received the Exercise Price related to such exercise by such date), upon the request of the Registered Holder, credit such aggregate number of shares of Common Stock to which the Registered Holder is entitled pursuant to such exercise to the Registered Holder’s or its designee’s balance account with The Depository Trust Company (“</w:t>
      </w:r>
      <w:r>
        <w:rPr>
          <w:rFonts w:ascii="Times New Roman" w:cs="Times New Roman" w:eastAsia="Times New Roman" w:hAnsi="Times New Roman"/>
          <w:sz w:val="20"/>
          <w:szCs w:val="20"/>
          <w:b w:val="1"/>
          <w:bCs w:val="1"/>
          <w:i w:val="1"/>
          <w:iCs w:val="1"/>
          <w:color w:val="auto"/>
        </w:rPr>
        <w:t>DTC</w:t>
      </w:r>
      <w:r>
        <w:rPr>
          <w:rFonts w:ascii="Times New Roman" w:cs="Times New Roman" w:eastAsia="Times New Roman" w:hAnsi="Times New Roman"/>
          <w:sz w:val="20"/>
          <w:szCs w:val="20"/>
          <w:color w:val="auto"/>
        </w:rPr>
        <w:t>”) through its Deposit Withdrawal Agent Commission system, or if the Transfer Agent is not participating in the Fast Automated Securities Transfer Program or if the certificates are required to bear a legend regarding restriction on transferability, issue and dispatch by overnight courier to the address as specified in the Exercise Notice, a certificate, registered in the Company’s share register in the name of the Registered Holder or its designee, for the number of shares of Common Stock to which the Registered Holder is entitled pursuant to such exercise.</w:t>
      </w:r>
    </w:p>
    <w:p>
      <w:pPr>
        <w:spacing w:after="0" w:line="18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 xml:space="preserve">3.3.3 </w:t>
      </w:r>
      <w:r>
        <w:rPr>
          <w:rFonts w:ascii="Times New Roman" w:cs="Times New Roman" w:eastAsia="Times New Roman" w:hAnsi="Times New Roman"/>
          <w:sz w:val="20"/>
          <w:szCs w:val="20"/>
          <w:u w:val="single" w:color="auto"/>
          <w:color w:val="auto"/>
        </w:rPr>
        <w:t>Partial Exercises</w:t>
      </w:r>
      <w:r>
        <w:rPr>
          <w:rFonts w:ascii="Times New Roman" w:cs="Times New Roman" w:eastAsia="Times New Roman" w:hAnsi="Times New Roman"/>
          <w:sz w:val="20"/>
          <w:szCs w:val="20"/>
          <w:color w:val="auto"/>
        </w:rPr>
        <w:t>. Partial exercise of a Warrant resulting in the purchase of a portion of the total number of Warrant Shares available thereunder shall have the effect of lowering the outstanding number of Warrant Shares purchasable under the Warrant in an amount equal to the applicable number of Warrant Shares purchased. The Warrant Agent shall maintain records showing the number of Warrant Shares purchased and the date of such purchases. If the Warrant shall have been exercised in part, the Warrant Agent shall, at the request of a Registered Holder and upon surrender of the Warrant certificate, at the time of delivery of the Warrant Shares, deliver to the Registered Holder a new Warrant evidencing the rights of the Registered Holder to purchase the unpurchased Warrant Shares called for by the Warrant, which new Warrant shall in all other respects be identical with the partially exercised Warrant.</w:t>
      </w:r>
    </w:p>
    <w:p>
      <w:pPr>
        <w:spacing w:after="0" w:line="18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 xml:space="preserve">3.3.4 </w:t>
      </w:r>
      <w:r>
        <w:rPr>
          <w:rFonts w:ascii="Times New Roman" w:cs="Times New Roman" w:eastAsia="Times New Roman" w:hAnsi="Times New Roman"/>
          <w:sz w:val="20"/>
          <w:szCs w:val="20"/>
          <w:u w:val="single" w:color="auto"/>
          <w:color w:val="auto"/>
        </w:rPr>
        <w:t>Valid Issuance</w:t>
      </w:r>
      <w:r>
        <w:rPr>
          <w:rFonts w:ascii="Times New Roman" w:cs="Times New Roman" w:eastAsia="Times New Roman" w:hAnsi="Times New Roman"/>
          <w:sz w:val="20"/>
          <w:szCs w:val="20"/>
          <w:color w:val="auto"/>
        </w:rPr>
        <w:t>. All shares of Common Stock issued upon the proper exercise of a Warrant shall be validly issued, fully paid and non-assessable.</w:t>
      </w:r>
    </w:p>
    <w:p>
      <w:pPr>
        <w:spacing w:after="0" w:line="159"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 xml:space="preserve">3.3.5 </w:t>
      </w:r>
      <w:r>
        <w:rPr>
          <w:rFonts w:ascii="Times New Roman" w:cs="Times New Roman" w:eastAsia="Times New Roman" w:hAnsi="Times New Roman"/>
          <w:sz w:val="20"/>
          <w:szCs w:val="20"/>
          <w:u w:val="single" w:color="auto"/>
          <w:color w:val="auto"/>
        </w:rPr>
        <w:t>Date of Issuance</w:t>
      </w:r>
      <w:r>
        <w:rPr>
          <w:rFonts w:ascii="Times New Roman" w:cs="Times New Roman" w:eastAsia="Times New Roman" w:hAnsi="Times New Roman"/>
          <w:sz w:val="20"/>
          <w:szCs w:val="20"/>
          <w:color w:val="auto"/>
        </w:rPr>
        <w:t>. The Registered Holder, DTC (or its nominee) or any Person so designated by the Registered Holder to receive Warrant Shares shall be deemed to have become the holder of record of such Warrant Shares as of the Exercise Date, irrespective of the date such Warrant Shares are credited to the Holder’s DTC account or the date of delivery of the certificates evidencing such Warrant Shares, as the case may be.</w:t>
      </w:r>
    </w:p>
    <w:p>
      <w:pPr>
        <w:spacing w:after="0" w:line="180" w:lineRule="exact"/>
        <w:rPr>
          <w:sz w:val="20"/>
          <w:szCs w:val="20"/>
          <w:color w:val="auto"/>
        </w:rPr>
      </w:pPr>
    </w:p>
    <w:p>
      <w:pPr>
        <w:jc w:val="both"/>
        <w:ind w:firstLine="1497"/>
        <w:spacing w:after="0" w:line="257" w:lineRule="auto"/>
        <w:rPr>
          <w:sz w:val="20"/>
          <w:szCs w:val="20"/>
          <w:color w:val="auto"/>
        </w:rPr>
      </w:pPr>
      <w:r>
        <w:rPr>
          <w:rFonts w:ascii="Times New Roman" w:cs="Times New Roman" w:eastAsia="Times New Roman" w:hAnsi="Times New Roman"/>
          <w:sz w:val="19"/>
          <w:szCs w:val="19"/>
          <w:color w:val="auto"/>
        </w:rPr>
        <w:t xml:space="preserve">3.3.6 </w:t>
      </w:r>
      <w:r>
        <w:rPr>
          <w:rFonts w:ascii="Times New Roman" w:cs="Times New Roman" w:eastAsia="Times New Roman" w:hAnsi="Times New Roman"/>
          <w:sz w:val="19"/>
          <w:szCs w:val="19"/>
          <w:u w:val="single" w:color="auto"/>
          <w:color w:val="auto"/>
        </w:rPr>
        <w:t>Maximum Percentage</w:t>
      </w:r>
      <w:r>
        <w:rPr>
          <w:rFonts w:ascii="Times New Roman" w:cs="Times New Roman" w:eastAsia="Times New Roman" w:hAnsi="Times New Roman"/>
          <w:sz w:val="19"/>
          <w:szCs w:val="19"/>
          <w:color w:val="auto"/>
        </w:rPr>
        <w:t>. The Warrant Agent shall not effect the exercise of a Registered Holder’s Warrant, and such holder shall not have the right to exercise such Warrant, to the extent that after giving effect to such exercise, such exercise would, to the Warrant Agent’s actual knowledge, cause (i) the aggregate number of shares of Common Stock beneficially owned by the Registered Holder, its Affiliates and any Persons who are members of a Section 13(d) group with such Registered Holder or its Affiliates to exceed the applicable Maximum Percentage (as may be adjusted at the election of the Registered Holder from time to time in accordance with the terms of the applicable Warrant) or (ii) the combined voting power of the securities of the Company beneficially owned by the Registered Holder and its Affiliates and any other Persons who are members of a Section 13(d) group with such Registered Holder or its Affiliates to exceed the applicable Maximum Percentage (as may be adjusted at the election of the Registered Holder from time to time in accordance with the terms of the applicable Warrant) of the combined voting power of all of the securities of the Company then outstanding following such exercise.</w:t>
      </w:r>
    </w:p>
    <w:p>
      <w:pPr>
        <w:spacing w:after="0" w:line="200" w:lineRule="exact"/>
        <w:rPr>
          <w:sz w:val="20"/>
          <w:szCs w:val="20"/>
          <w:color w:val="auto"/>
        </w:rPr>
      </w:pP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2" w:name="page93"/>
    <w:bookmarkEnd w:id="92"/>
    <w:p>
      <w:pPr>
        <w:jc w:val="both"/>
        <w:spacing w:after="0" w:line="242" w:lineRule="auto"/>
        <w:rPr>
          <w:sz w:val="20"/>
          <w:szCs w:val="20"/>
          <w:color w:val="auto"/>
        </w:rPr>
      </w:pPr>
      <w:r>
        <w:rPr>
          <w:rFonts w:ascii="Times New Roman" w:cs="Times New Roman" w:eastAsia="Times New Roman" w:hAnsi="Times New Roman"/>
          <w:sz w:val="20"/>
          <w:szCs w:val="20"/>
          <w:color w:val="auto"/>
        </w:rPr>
        <w:t>For purposes of this section, beneficial ownership and whether a holder is a member of a Section 13(d) group shall be calculated and determined in accordance with Section 13(d) of the Exchange Act and the rules promulgated thereunder. For purposes of this section, the aggregate number of shares of Common Stock or voting securities beneficially owned by the Registered Holder and its Affiliates and any other Persons who are members of a Section 13(d) group with such Registered Holder or its Affiliates shall include the shares of Common Stock issuable upon (x) the exercise of the applicable Warrant with respect to which such determination is being made, but shall exclude the number of shares of Common Stock which would be issuable upon exercise of the remaining unexercised and non-cancelled portion of the applicable Warrant by the Registered Holder and (y) the exercise or conversion of the unexercised, non-converted or non-cancelled portion of any other securities of the Company that do not have voting power (including without limitation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but excluding such shares underlying such instrument which is subject to a limitation on conversion or exercise analogous to the limitation contained herein.</w:t>
      </w:r>
    </w:p>
    <w:p>
      <w:pPr>
        <w:spacing w:after="0" w:line="187" w:lineRule="exact"/>
        <w:rPr>
          <w:sz w:val="20"/>
          <w:szCs w:val="20"/>
          <w:color w:val="auto"/>
        </w:rPr>
      </w:pPr>
    </w:p>
    <w:p>
      <w:pPr>
        <w:jc w:val="both"/>
        <w:ind w:right="20" w:firstLine="396"/>
        <w:spacing w:after="0" w:line="254"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Book Entry Warrants</w:t>
      </w:r>
      <w:r>
        <w:rPr>
          <w:rFonts w:ascii="Times New Roman" w:cs="Times New Roman" w:eastAsia="Times New Roman" w:hAnsi="Times New Roman"/>
          <w:sz w:val="20"/>
          <w:szCs w:val="20"/>
          <w:color w:val="auto"/>
        </w:rPr>
        <w:t>. If DTC subsequently ceases to make its book-entry settlement system available for the Warrants, the Company may instruct the Warrant Agent regarding other arrangements for book-entry settlement or may instruct the Warrant Agent to deliver to each Holder a Warrant certificate in substantially the same form as the original Warrant.</w:t>
      </w:r>
    </w:p>
    <w:p>
      <w:pPr>
        <w:spacing w:after="0" w:line="174" w:lineRule="exact"/>
        <w:rPr>
          <w:sz w:val="20"/>
          <w:szCs w:val="20"/>
          <w:color w:val="auto"/>
        </w:rPr>
      </w:pPr>
    </w:p>
    <w:p>
      <w:pPr>
        <w:ind w:left="1160" w:hanging="403"/>
        <w:spacing w:after="0"/>
        <w:tabs>
          <w:tab w:leader="none" w:pos="11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Stock Dividends and Splits</w:t>
      </w:r>
      <w:r>
        <w:rPr>
          <w:rFonts w:ascii="Times New Roman" w:cs="Times New Roman" w:eastAsia="Times New Roman" w:hAnsi="Times New Roman"/>
          <w:sz w:val="20"/>
          <w:szCs w:val="20"/>
          <w:color w:val="auto"/>
        </w:rPr>
        <w:t>. If the Company, at any time while a Warrant is outstanding, (i) pays a stock dividend on its Common Stock or otherwise makes a distribution on any class of capital stock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of each Warrant shall be multiplied by a fraction, the numerator of which shall be the number of shares of Common Stock outstanding immediately before such event and the denominator of which shall be the number of shares of Common Stock outstanding immediately after such event. The Warrant Agent shall not be liable or responsible for any adjustment or calculation required under this Section 4 or responsible for the manner, method or amount of any such adjustment or the ascertaining of the existence of facts that would require any such adjustment or calculation (except with respect to the exercise of Warrant evidenced by Warrant Certificates subject to the terms and conditions hereof after actual notice of any such adjustment).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or (iii) of this paragraph shall become effective immediately after the effective date of such subdivision or combination. The Company hereby agrees that it will provide the Warrant Agent with reasonable notice of any such adjustment events. The Company further agrees that it will provide to the Warrant Agent with any new or amended exercise terms. The Warrant Agent shall have no obligation under any Section of this Agreement to determine whether any such adjustment event has occurred or to calculate any of the adjustments set forth herein.</w:t>
      </w:r>
    </w:p>
    <w:p>
      <w:pPr>
        <w:spacing w:after="0" w:line="189" w:lineRule="exact"/>
        <w:rPr>
          <w:sz w:val="20"/>
          <w:szCs w:val="20"/>
          <w:color w:val="auto"/>
        </w:rPr>
      </w:pPr>
    </w:p>
    <w:p>
      <w:pPr>
        <w:jc w:val="both"/>
        <w:ind w:firstLine="791"/>
        <w:spacing w:after="0" w:line="254"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Fundamental Transactions</w:t>
      </w:r>
      <w:r>
        <w:rPr>
          <w:rFonts w:ascii="Times New Roman" w:cs="Times New Roman" w:eastAsia="Times New Roman" w:hAnsi="Times New Roman"/>
          <w:sz w:val="20"/>
          <w:szCs w:val="20"/>
          <w:color w:val="auto"/>
        </w:rPr>
        <w:t>. In the event of a Fundamental Transaction, then following such Fundamental Transaction, the Registered Holder of any then outstanding Warrant shall have the right to receive, upon exercise of such Registered Holder’s Warrant, the same amount and kind of</w:t>
      </w:r>
    </w:p>
    <w:p>
      <w:pPr>
        <w:spacing w:after="0" w:line="200" w:lineRule="exact"/>
        <w:rPr>
          <w:sz w:val="20"/>
          <w:szCs w:val="20"/>
          <w:color w:val="auto"/>
        </w:rPr>
      </w:pP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3" w:name="page94"/>
    <w:bookmarkEnd w:id="93"/>
    <w:p>
      <w:pPr>
        <w:jc w:val="both"/>
        <w:spacing w:after="0" w:line="244" w:lineRule="auto"/>
        <w:rPr>
          <w:sz w:val="20"/>
          <w:szCs w:val="20"/>
          <w:color w:val="auto"/>
        </w:rPr>
      </w:pPr>
      <w:r>
        <w:rPr>
          <w:rFonts w:ascii="Times New Roman" w:cs="Times New Roman" w:eastAsia="Times New Roman" w:hAnsi="Times New Roman"/>
          <w:sz w:val="20"/>
          <w:szCs w:val="20"/>
          <w:color w:val="auto"/>
        </w:rPr>
        <w:t>securities, cash or property as it would have been entitled to receive upon the occurrence of such Fundamental Transaction if it had been, immediately prior to such Fundamental Transaction, the holder of the number of Warrant Shares then issuable upon exercise in full of such Registered Holder’s Warrant without regard to any limitations on exercise contained herein. In the event a Registered Holder of a Series B Warrant does not exercise such Series B Warrant as contemplated by the foregoing sentence, such Series B Warrant will be deemed exercised in full (without regard to any limitations on exercise contained in Section 10 thereof) upon the effective date of the consummation of such Fundamental Transaction. A Registered Holder of a Series A Warrant shall further be entitled to such rights in connection with a Fundamental Transaction as set forth in Section 9(c) of such Series A Warrant.</w:t>
      </w:r>
    </w:p>
    <w:p>
      <w:pPr>
        <w:spacing w:after="0" w:line="18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Adjustments in Number of Warrant Shares</w:t>
      </w:r>
      <w:r>
        <w:rPr>
          <w:rFonts w:ascii="Times New Roman" w:cs="Times New Roman" w:eastAsia="Times New Roman" w:hAnsi="Times New Roman"/>
          <w:sz w:val="20"/>
          <w:szCs w:val="20"/>
          <w:color w:val="auto"/>
        </w:rPr>
        <w:t>. Simultaneously with any adjustment to the Exercise Price pursuant to this Section 4 (including any adjustment to the Exercise Price that would have been effected but for the final sentence in this Section 4.3), the number of Warrant Shares that may be purchased upon exercise of each Warrant shall be increased or decreased proportionately, so that after such adjustment the aggregate Exercise Price payable thereunder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w:t>
      </w:r>
    </w:p>
    <w:p>
      <w:pPr>
        <w:spacing w:after="0" w:line="18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Calculations</w:t>
      </w:r>
      <w:r>
        <w:rPr>
          <w:rFonts w:ascii="Times New Roman" w:cs="Times New Roman" w:eastAsia="Times New Roman" w:hAnsi="Times New Roman"/>
          <w:sz w:val="20"/>
          <w:szCs w:val="20"/>
          <w:color w:val="auto"/>
        </w:rPr>
        <w:t>. All calculations under this Section 4 shall be made to the nearest one-hundredth of one cent or the nearest share, as applicable. The Warrant Agent shall not be liable or responsible for any adjustment or calculation required under this Section 4 or responsible for the manner, method or amount of any such adjustment or the ascertaining of the existence of facts that would require any such adjustment or calculation (except with respect to the exercise of Warrant evidenced by Warrants subject to the terms and conditions hereof after actual notice of any such adjustment).</w:t>
      </w:r>
    </w:p>
    <w:p>
      <w:pPr>
        <w:spacing w:after="0" w:line="18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Notices of Changes in Warrant</w:t>
      </w:r>
      <w:r>
        <w:rPr>
          <w:rFonts w:ascii="Times New Roman" w:cs="Times New Roman" w:eastAsia="Times New Roman" w:hAnsi="Times New Roman"/>
          <w:sz w:val="20"/>
          <w:szCs w:val="20"/>
          <w:color w:val="auto"/>
        </w:rPr>
        <w:t>. Upon every adjustment of the Warrant Price or the number of shares of Common Stock issuable upon exercise of a Warrant, the Company shall give written notice thereof to the Warrant Agent, which notice shall set forth such adjustment, including a statement of the adjusted Warrant Price resulting from such adjustment and the increase or decrease, if any, in the number of shares of Common Stock purchasable at such price upon the exercise of a Warrant, setting forth in reasonable detail the method of calculation and the facts upon which such calculation is based. The Warrant Agent shall have no obligation under any Section of this Agreement to determine whether such adjustment event has occurred or to calculate any of the adjustments set forth herein. The Warrant Agent shall be fully protected in relying on any such notice and on any adjustment therein contained and shall have no duty or liability with respect to, and shall not be deemed to have knowledge of, such adjustment unless and until it shall have received such notice. Upon the occurrence of any event specified in Sections 4.1, 4.2 or 4.3, the Company shall give written notice of the occurrence of such event to each Registered Holder, at the last address set forth for such holder in the Warrant Register, of the record date or the effective date of the event. Failure to give such notice, or any defect therein, shall not affect the legality or validity of such event.</w:t>
      </w:r>
    </w:p>
    <w:p>
      <w:pPr>
        <w:spacing w:after="0" w:line="19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u w:val="single" w:color="auto"/>
          <w:color w:val="auto"/>
        </w:rPr>
        <w:t>No Fractional Shares</w:t>
      </w:r>
      <w:r>
        <w:rPr>
          <w:rFonts w:ascii="Times New Roman" w:cs="Times New Roman" w:eastAsia="Times New Roman" w:hAnsi="Times New Roman"/>
          <w:sz w:val="20"/>
          <w:szCs w:val="20"/>
          <w:color w:val="auto"/>
        </w:rPr>
        <w:t>. No fractional Warrant Shares will be issued in connection with any exercise of a Warrant. In lieu of any fractional shares that would otherwise be issuable, the number of Warrant Shares to be issued shall be rounded down to the next whole number and the Company shall pay the Registered Holder in cash the fair market value (based on the Closing Sale Price) for any such fractional shares. The Company shall provide the Warrant Agent an initial funding of one thousand dollars ($1,000) for the purpose of issuing cash in lieu of fractional Warrant Shares. From time to time thereafter, the Warrant Agent may request additional funding to cover payments for fractional Warrant Shares. The Warrant Agent shall have no obligation to make payments for fractional Warrant Shares unless the Company shall have provided the necessary funds to pay in full all amounts due and payable with respect thereto. Whenever a payment for fractional Warrant Shares may be made by the Warrant Agent under this</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4" w:name="page95"/>
    <w:bookmarkEnd w:id="94"/>
    <w:p>
      <w:pPr>
        <w:jc w:val="both"/>
        <w:spacing w:after="0" w:line="244" w:lineRule="auto"/>
        <w:rPr>
          <w:sz w:val="20"/>
          <w:szCs w:val="20"/>
          <w:color w:val="auto"/>
        </w:rPr>
      </w:pPr>
      <w:r>
        <w:rPr>
          <w:rFonts w:ascii="Times New Roman" w:cs="Times New Roman" w:eastAsia="Times New Roman" w:hAnsi="Times New Roman"/>
          <w:sz w:val="20"/>
          <w:szCs w:val="20"/>
          <w:color w:val="auto"/>
        </w:rPr>
        <w:t>Agreement, the Warrant Agent shall provide written notice to the Company setting forth the details of the Warrant exercise within one (1) Trading Day following receipt of the applicable Exercise Notice, and the Company shall (i) promptly prepare and deliver to the Warrant Agent a certificate setting forth in reasonable detail the facts related to such payment and the prices or formulas utilized in calculating such payments and (ii) provide sufficient monies to the Warrant Agent in the form of fully collected funds to make such payments. The Warrant Agent may rely upon such a certificate and has no duty with respect to, and will not be deemed to have knowledge of, any payment for fractional Warrant Shares under any section of this Agreement relating to the payment of fractional Warrant Shares unless and until the Warrant Agent has received such a certificate and sufficient monies.</w:t>
      </w:r>
    </w:p>
    <w:p>
      <w:pPr>
        <w:spacing w:after="0" w:line="18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4.7 </w:t>
      </w:r>
      <w:r>
        <w:rPr>
          <w:rFonts w:ascii="Times New Roman" w:cs="Times New Roman" w:eastAsia="Times New Roman" w:hAnsi="Times New Roman"/>
          <w:sz w:val="20"/>
          <w:szCs w:val="20"/>
          <w:u w:val="single" w:color="auto"/>
          <w:color w:val="auto"/>
        </w:rPr>
        <w:t>Form of Warrant</w:t>
      </w:r>
      <w:r>
        <w:rPr>
          <w:rFonts w:ascii="Times New Roman" w:cs="Times New Roman" w:eastAsia="Times New Roman" w:hAnsi="Times New Roman"/>
          <w:sz w:val="20"/>
          <w:szCs w:val="20"/>
          <w:color w:val="auto"/>
        </w:rPr>
        <w:t>. The form of Warrant need not be changed because of any adjustment pursuant to this Section 4, and Warrants issued after such adjustment may state the same Warrant Price and the same number of shares of Common Stock as is stated in the Warrants initially issued pursuant to this Agreement; provided, however, that the Company may at any time in its sole discretion, make any change in the form of Warrant that the Company may deem appropriate and that does not affect the substance thereof or the rights, duties, immunities, liabilities and obligations of the Warrant Agent, and any Warrant thereafter issued, whether in exchange or substitution for an outstanding Warrant or otherwise, may be in the form as so changed.</w:t>
      </w:r>
    </w:p>
    <w:p>
      <w:pPr>
        <w:spacing w:after="0" w:line="184" w:lineRule="exact"/>
        <w:rPr>
          <w:sz w:val="20"/>
          <w:szCs w:val="20"/>
          <w:color w:val="auto"/>
        </w:rPr>
      </w:pPr>
    </w:p>
    <w:p>
      <w:pPr>
        <w:ind w:left="1160" w:hanging="403"/>
        <w:spacing w:after="0"/>
        <w:tabs>
          <w:tab w:leader="none" w:pos="11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and Exchange of Warrants.</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Registration of Transfer or Exchange</w:t>
      </w:r>
      <w:r>
        <w:rPr>
          <w:rFonts w:ascii="Times New Roman" w:cs="Times New Roman" w:eastAsia="Times New Roman" w:hAnsi="Times New Roman"/>
          <w:sz w:val="20"/>
          <w:szCs w:val="20"/>
          <w:color w:val="auto"/>
        </w:rPr>
        <w:t>. Subject to compliance with all applicable securities laws, the Warrant Agent shall register the transfer or exchange, from time to time, of all or any portion of any outstanding Warrant in the Warrant Register, upon surrender of such Warrant for transfer or exchange, or book-entry position representing such Warrant, for transfer or exchange, properly endorsed with any evidence of authority that may be required by the Warrant Agent (provided that such evidence required by the Warrant Agent is consistent with the terms of such Warrant held in book-entry form), accompanied by appropriate instructions for transfer or exchange, and payment for all applicable transfer taxes (if any). Upon any such registration of transfer or exchange, book-entry position representing a new Warrant evidencing the portion of the original Warrant so transferred or exchanged shall be issued to the transferee, and a new Warrant, or book-entry position representing such Warrant, evidencing the remaining portion of the original Warrant not so transferred or exchanged, if any, shall be issued to the transferring Registered Holder, and the old Warrant shall be cancelled by the Warrant Agent (provided, however, that in the event that a Warrant surrendered for transfer or exchange bears a restrictive legend, the Warrant Agent shall not cancel such Warrant and issue new Warrants in exchange thereof until the Warrant Agent has received an opinion of counsel for the Company stating that such transfer may be made and indicating whether the new Warrants must also bear a restrictive legend). The Warrants so cancelled shall be delivered by the Warrant Agent to the Company from time to time upon request. Until due presentment for registration of transfer or exchange, the Warrant Agent may treat the Registered Holder thereof as the owner and holder for all purposes, and the Warrant Agent shall not be affected by any notice to the contrary. The Warrant Agent shall be fully authorized and protected and shall incur no liability for or in respect of any action taken, suffered or omitted to be taken by it in connection with its reliance on any such notice or delay thereof, other than as a result of the Warrant Agent’s gross negligence, willful misconduct or bad faith (which gross negligence, bad faith, or willful misconduct must be determined by a final, non-appealable judgment of a court of competent jurisdiction). The Warrant Agent shall not be liable for any delays arising from the duties under this Section 5, other than as a result of the Warrant Agent’s gross negligence, willful misconduct or bad faith (which gross negligence, bad faith, or willful misconduct must be determined by a final, non-appealable judgment of a court of competent jurisdiction.</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Service Charges</w:t>
      </w:r>
      <w:r>
        <w:rPr>
          <w:rFonts w:ascii="Times New Roman" w:cs="Times New Roman" w:eastAsia="Times New Roman" w:hAnsi="Times New Roman"/>
          <w:sz w:val="20"/>
          <w:szCs w:val="20"/>
          <w:color w:val="auto"/>
        </w:rPr>
        <w:t>. No service charge shall be made for any exchange or registration of transfer of Warrants.</w:t>
      </w:r>
    </w:p>
    <w:p>
      <w:pPr>
        <w:spacing w:after="0" w:line="200" w:lineRule="exact"/>
        <w:rPr>
          <w:sz w:val="20"/>
          <w:szCs w:val="20"/>
          <w:color w:val="auto"/>
        </w:rPr>
      </w:pPr>
    </w:p>
    <w:p>
      <w:pPr>
        <w:spacing w:after="0" w:line="2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5" w:name="page96"/>
    <w:bookmarkEnd w:id="95"/>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Warrant Delivery</w:t>
      </w:r>
      <w:r>
        <w:rPr>
          <w:rFonts w:ascii="Times New Roman" w:cs="Times New Roman" w:eastAsia="Times New Roman" w:hAnsi="Times New Roman"/>
          <w:sz w:val="20"/>
          <w:szCs w:val="20"/>
          <w:color w:val="auto"/>
        </w:rPr>
        <w:t>. The Warrant Agent is hereby authorized to deliver, in accordance with the terms of this Agreement, the Warrants required to be issued pursuant to the provisions of this Agreement, and the Company, whenever required by the Warrant Agent, shall supply the Warrant Agent with Warrants duly executed on behalf of the Company for such purpose.</w:t>
      </w:r>
    </w:p>
    <w:p>
      <w:pPr>
        <w:spacing w:after="0" w:line="174" w:lineRule="exact"/>
        <w:rPr>
          <w:sz w:val="20"/>
          <w:szCs w:val="20"/>
          <w:color w:val="auto"/>
        </w:rPr>
      </w:pPr>
    </w:p>
    <w:p>
      <w:pPr>
        <w:ind w:left="1160" w:hanging="403"/>
        <w:spacing w:after="0"/>
        <w:tabs>
          <w:tab w:leader="none" w:pos="11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Provisions Relating to Rights of Holders of Warrants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No Rights as Stockholder</w:t>
      </w:r>
      <w:r>
        <w:rPr>
          <w:rFonts w:ascii="Times New Roman" w:cs="Times New Roman" w:eastAsia="Times New Roman" w:hAnsi="Times New Roman"/>
          <w:sz w:val="20"/>
          <w:szCs w:val="20"/>
          <w:color w:val="auto"/>
        </w:rPr>
        <w:t>. A Warrant does not entitle the Registered Holder thereof to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w:t>
      </w:r>
    </w:p>
    <w:p>
      <w:pPr>
        <w:spacing w:after="0" w:line="18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Lost, Stolen, Mutilated, or Destroyed Warrants</w:t>
      </w:r>
      <w:r>
        <w:rPr>
          <w:rFonts w:ascii="Times New Roman" w:cs="Times New Roman" w:eastAsia="Times New Roman" w:hAnsi="Times New Roman"/>
          <w:sz w:val="20"/>
          <w:szCs w:val="20"/>
          <w:color w:val="auto"/>
        </w:rPr>
        <w:t>. If any Warrant, to the extent held in physical form, is mutilated, lost, stolen or destroyed, the Company and Warrant Agent shall issue or cause to be issued in exchange and substitution for and upon cancellation thereof, or in lieu of and substitution for such Warrant, a new Warrant, but only upon receipt of evidence reasonably satisfactory to the Company of such loss, theft or destruction (in such case) and, in each case, where such Warrant is held in physical form, and a customary and reasonable indemnity, if requested by the Company or the Warrant Agent. Warrant Agent may, at its option, issue replacement Warrants for mutilated certificates upon presentation thereof without such indemnity. Applicants for a new Warrant under such circumstances shall also comply with such other reasonable regulations and procedures and pay such other reasonable third-party costs as the Company may prescribe. If a new Warrant is requested as a result of a mutilation of a Warrant, then the Registered Holder shall deliver such mutilated Warrant to the Company as a condition precedent to the issuance of the new Warrant.</w:t>
      </w:r>
    </w:p>
    <w:p>
      <w:pPr>
        <w:spacing w:after="0" w:line="18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u w:val="single" w:color="auto"/>
          <w:color w:val="auto"/>
        </w:rPr>
        <w:t>Reservation of Common Stock</w:t>
      </w:r>
      <w:r>
        <w:rPr>
          <w:rFonts w:ascii="Times New Roman" w:cs="Times New Roman" w:eastAsia="Times New Roman" w:hAnsi="Times New Roman"/>
          <w:sz w:val="20"/>
          <w:szCs w:val="20"/>
          <w:color w:val="auto"/>
        </w:rPr>
        <w:t>. The Company shall at all times reserve and keep available a number of its authorized but unissued shares of Common Stock that shall be sufficient to permit the exercise in full of all outstanding Warrants.</w:t>
      </w:r>
    </w:p>
    <w:p>
      <w:pPr>
        <w:spacing w:after="0" w:line="15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u w:val="single" w:color="auto"/>
          <w:color w:val="auto"/>
        </w:rPr>
        <w:t>Cashless Exercise</w:t>
      </w:r>
      <w:r>
        <w:rPr>
          <w:rFonts w:ascii="Times New Roman" w:cs="Times New Roman" w:eastAsia="Times New Roman" w:hAnsi="Times New Roman"/>
          <w:sz w:val="20"/>
          <w:szCs w:val="20"/>
          <w:color w:val="auto"/>
        </w:rPr>
        <w:t>. Notwithstanding anything contained herein to the contrary, if at the time of exercise of a Warrant there is no effective registration statement registering the issuance of the Warrant Shares to the Registered Holder upon exercise of such Warrant, then such Warrant may only be exercised, in whole or in part, at such time by means of a “cashless exercise” in which the Registered Holder shall receive the number of Warrant Shares in an exchange of securities effected pursuant to Section 3(a)(9) of the Securities Act, as determined in accordance with Section 10 of the Warrant. In such event, the Company shall calculate and transmit to the Warrant Agent, and the Warrant Agent shall have no obligation under this Agreement to calculate, the cashless exercise ratio. The Warrant Agent shall have no duty or obligation to investigate or confirm whether the Company’s determination of the number of shares of Common Stock to be issued on such exercise is accurate and correct, and the Warrant Agent shall at all times be fully authorized and protected in relying upon such written notice from the Company.</w:t>
      </w:r>
    </w:p>
    <w:p>
      <w:pPr>
        <w:spacing w:after="0" w:line="186" w:lineRule="exact"/>
        <w:rPr>
          <w:sz w:val="20"/>
          <w:szCs w:val="20"/>
          <w:color w:val="auto"/>
        </w:rPr>
      </w:pPr>
    </w:p>
    <w:p>
      <w:pPr>
        <w:ind w:left="1160" w:hanging="403"/>
        <w:spacing w:after="0"/>
        <w:tabs>
          <w:tab w:leader="none" w:pos="11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Concerning the Warrant Agent and Other Matters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u w:val="single" w:color="auto"/>
          <w:color w:val="auto"/>
        </w:rPr>
        <w:t>Payment of Taxes</w:t>
      </w:r>
      <w:r>
        <w:rPr>
          <w:rFonts w:ascii="Times New Roman" w:cs="Times New Roman" w:eastAsia="Times New Roman" w:hAnsi="Times New Roman"/>
          <w:sz w:val="20"/>
          <w:szCs w:val="20"/>
          <w:color w:val="auto"/>
        </w:rPr>
        <w:t xml:space="preserve">. Issuance and delivery of certificates for shares of Common Stock upon exercise of a Warrant shall be made without charge to the Registered Holder for any issue or transfer tax, transfer agent fee or other incidental tax or expense (excluding any applicable stamp duties) in respect of the issuance of such certificates, all of which taxes and expenses shall be paid by the Company;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Company shall not be required to pay any tax that may be payable in respect of any transfer involved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registration of any certificates for Warrant Shares or the Warrants in a name other than that of the Registered Holder or an Affiliate thereof. The Registered Holder of a Warrant shall be</w:t>
      </w:r>
    </w:p>
    <w:p>
      <w:pPr>
        <w:spacing w:after="0" w:line="200" w:lineRule="exact"/>
        <w:rPr>
          <w:sz w:val="20"/>
          <w:szCs w:val="20"/>
          <w:color w:val="auto"/>
        </w:rPr>
      </w:pPr>
    </w:p>
    <w:p>
      <w:pPr>
        <w:spacing w:after="0" w:line="2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6" w:name="page97"/>
    <w:bookmarkEnd w:id="96"/>
    <w:p>
      <w:pPr>
        <w:jc w:val="both"/>
        <w:spacing w:after="0" w:line="249" w:lineRule="auto"/>
        <w:rPr>
          <w:sz w:val="20"/>
          <w:szCs w:val="20"/>
          <w:color w:val="auto"/>
        </w:rPr>
      </w:pPr>
      <w:r>
        <w:rPr>
          <w:rFonts w:ascii="Times New Roman" w:cs="Times New Roman" w:eastAsia="Times New Roman" w:hAnsi="Times New Roman"/>
          <w:sz w:val="20"/>
          <w:szCs w:val="20"/>
          <w:color w:val="auto"/>
        </w:rPr>
        <w:t>responsible for all other tax liability that may arise as a result of holding or transferring such Warrant or receiving Warrant Shares upon exercise hereof. The Warrant Agent shall not register any transfer or issue or deliver any Warrant or Warrant Shares unless or until the persons requesting the registration or issuance shall have paid to the Warrant Agent for the account of the Company the amount of such tax, if any, or shall have established to the reasonable satisfaction of the Company and the Warrant Agent that such tax, if any, has been paid.</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u w:val="single" w:color="auto"/>
          <w:color w:val="auto"/>
        </w:rPr>
        <w:t>Resignation, Removal, Consolidation, or Merger of Warrant Agent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 xml:space="preserve">7.2.1 </w:t>
      </w:r>
      <w:r>
        <w:rPr>
          <w:rFonts w:ascii="Times New Roman" w:cs="Times New Roman" w:eastAsia="Times New Roman" w:hAnsi="Times New Roman"/>
          <w:sz w:val="20"/>
          <w:szCs w:val="20"/>
          <w:u w:val="single" w:color="auto"/>
          <w:color w:val="auto"/>
        </w:rPr>
        <w:t>Appointment of Successor Warrant Agent</w:t>
      </w:r>
      <w:r>
        <w:rPr>
          <w:rFonts w:ascii="Times New Roman" w:cs="Times New Roman" w:eastAsia="Times New Roman" w:hAnsi="Times New Roman"/>
          <w:sz w:val="20"/>
          <w:szCs w:val="20"/>
          <w:color w:val="auto"/>
        </w:rPr>
        <w:t>. The Warrant Agent, or any successor to it hereafter appointed, may resign its duties and be discharged from all further duties and liabilities hereunder after giving thirty (30) days’ notice in writing to the Company. In the event the transfer agency relationship in effect between the Company and the Warrant Agent terminates, the Warrant Agent will be deemed to have resigned automatically and be discharged from its duties under this Agreement as of the effective date of such termination, and the Company will be responsible for sending any required notice(s). The Company may remove the Warrant Agent or any successor Warrant Agent upon 30 days’ notice in writing, mailed to the Warrant Agent or successor Warrant Agent, as the case may be, and to each transfer agent of the Common Stock by registered or certified mail, and to the holders of the Warrants by first-class mail. If the office of the Warrant Agent becomes vacant by resignation, removal or incapacity to act or otherwise, the Company shall appoint in writing a successor Warrant Agent in place of the Warrant Agent (which may be the Company acting as the Warrant Agent).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at the expense of the Company, any and all instruments in writing for more fully and effectually vesting in and confirming to such successor Warrant Agent all such authority, powers, rights, immunities, duties, and obligations.</w:t>
      </w:r>
    </w:p>
    <w:p>
      <w:pPr>
        <w:spacing w:after="0" w:line="193"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 xml:space="preserve">7.2.2 </w:t>
      </w:r>
      <w:r>
        <w:rPr>
          <w:rFonts w:ascii="Times New Roman" w:cs="Times New Roman" w:eastAsia="Times New Roman" w:hAnsi="Times New Roman"/>
          <w:sz w:val="20"/>
          <w:szCs w:val="20"/>
          <w:u w:val="single" w:color="auto"/>
          <w:color w:val="auto"/>
        </w:rPr>
        <w:t>Notice of Successor Warrant Agent</w:t>
      </w:r>
      <w:r>
        <w:rPr>
          <w:rFonts w:ascii="Times New Roman" w:cs="Times New Roman" w:eastAsia="Times New Roman" w:hAnsi="Times New Roman"/>
          <w:sz w:val="20"/>
          <w:szCs w:val="20"/>
          <w:color w:val="auto"/>
        </w:rPr>
        <w:t>. In the event a successor Warrant Agent shall be appointed, the Company shall give notice thereof to the predecessor Warrant Agent and the transfer agent for the Common Stock not later than the effective date of any such appointment.</w:t>
      </w:r>
    </w:p>
    <w:p>
      <w:pPr>
        <w:spacing w:after="0" w:line="174"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 xml:space="preserve">7.2.3 </w:t>
      </w:r>
      <w:r>
        <w:rPr>
          <w:rFonts w:ascii="Times New Roman" w:cs="Times New Roman" w:eastAsia="Times New Roman" w:hAnsi="Times New Roman"/>
          <w:sz w:val="20"/>
          <w:szCs w:val="20"/>
          <w:u w:val="single" w:color="auto"/>
          <w:color w:val="auto"/>
        </w:rPr>
        <w:t>Merger or Consolidation of Warrant Agent</w:t>
      </w:r>
      <w:r>
        <w:rPr>
          <w:rFonts w:ascii="Times New Roman" w:cs="Times New Roman" w:eastAsia="Times New Roman" w:hAnsi="Times New Roman"/>
          <w:sz w:val="20"/>
          <w:szCs w:val="20"/>
          <w:color w:val="auto"/>
        </w:rPr>
        <w:t>. Any entity into which the Warrant Agent may be merged or with which it may be consolidated, any entity resulting from any merger or consolidation to which the Warrant Agent shall be a party, or any entity to which the Warrant Agent transfers substantially all of its corporate trust or shareholders services business shall be the successor Warrant Agent under this Agreement without any further act. Any such successor Warrant Agent shall promptly cause notice of its succession as warrant agent to be mailed (by first class mail, postage prepaid) to each Registered Holder of then outstanding Warrants at such Registered Holder’s last address as shown on the Warrant Register.</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u w:val="single" w:color="auto"/>
          <w:color w:val="auto"/>
        </w:rPr>
        <w:t>Fees and Expenses of Warrant Agent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 xml:space="preserve">7.3.1 </w:t>
      </w:r>
      <w:r>
        <w:rPr>
          <w:rFonts w:ascii="Times New Roman" w:cs="Times New Roman" w:eastAsia="Times New Roman" w:hAnsi="Times New Roman"/>
          <w:sz w:val="20"/>
          <w:szCs w:val="20"/>
          <w:u w:val="single" w:color="auto"/>
          <w:color w:val="auto"/>
        </w:rPr>
        <w:t>Remuneration</w:t>
      </w:r>
      <w:r>
        <w:rPr>
          <w:rFonts w:ascii="Times New Roman" w:cs="Times New Roman" w:eastAsia="Times New Roman" w:hAnsi="Times New Roman"/>
          <w:sz w:val="20"/>
          <w:szCs w:val="20"/>
          <w:color w:val="auto"/>
        </w:rPr>
        <w:t>. The Company agrees to pay the Warrant Agent reasonable compensation for all services rendered by it hereunder in accordance with a fee schedule to be mutually agreed upon by the Company and Warrant Agent and, from time to time, on demand the Warrant Agent, its reasonable expenses and counsel fees and disbursements and other disbursements incurred in the</w:t>
      </w:r>
    </w:p>
    <w:p>
      <w:pPr>
        <w:spacing w:after="0" w:line="200" w:lineRule="exact"/>
        <w:rPr>
          <w:sz w:val="20"/>
          <w:szCs w:val="20"/>
          <w:color w:val="auto"/>
        </w:rPr>
      </w:pP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7" w:name="page98"/>
    <w:bookmarkEnd w:id="97"/>
    <w:p>
      <w:pPr>
        <w:jc w:val="both"/>
        <w:spacing w:after="0" w:line="269" w:lineRule="auto"/>
        <w:rPr>
          <w:sz w:val="20"/>
          <w:szCs w:val="20"/>
          <w:color w:val="auto"/>
        </w:rPr>
      </w:pPr>
      <w:r>
        <w:rPr>
          <w:rFonts w:ascii="Times New Roman" w:cs="Times New Roman" w:eastAsia="Times New Roman" w:hAnsi="Times New Roman"/>
          <w:sz w:val="20"/>
          <w:szCs w:val="20"/>
          <w:color w:val="auto"/>
        </w:rPr>
        <w:t>preparation, negotiation, execution, administration, delivery and amendment of this Agreement and the exercise and performance of its duties hereunder.</w:t>
      </w:r>
    </w:p>
    <w:p>
      <w:pPr>
        <w:spacing w:after="0" w:line="159" w:lineRule="exact"/>
        <w:rPr>
          <w:sz w:val="20"/>
          <w:szCs w:val="20"/>
          <w:color w:val="auto"/>
        </w:rPr>
      </w:pPr>
    </w:p>
    <w:p>
      <w:pPr>
        <w:jc w:val="both"/>
        <w:ind w:right="20" w:firstLine="1497"/>
        <w:spacing w:after="0" w:line="254" w:lineRule="auto"/>
        <w:rPr>
          <w:sz w:val="20"/>
          <w:szCs w:val="20"/>
          <w:color w:val="auto"/>
        </w:rPr>
      </w:pPr>
      <w:r>
        <w:rPr>
          <w:rFonts w:ascii="Times New Roman" w:cs="Times New Roman" w:eastAsia="Times New Roman" w:hAnsi="Times New Roman"/>
          <w:sz w:val="20"/>
          <w:szCs w:val="20"/>
          <w:color w:val="auto"/>
        </w:rPr>
        <w:t xml:space="preserve">7.3.2 </w:t>
      </w: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The Company agrees to perform, execute, acknowledge and deliver or cause to be performed, executed, acknowledged, and delivered all such further and other acts, instruments, documents and assurances as may reasonably be required or requested by the Warrant Agent for the carrying out or performing of the provisions of this Agreement.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u w:val="single" w:color="auto"/>
          <w:color w:val="auto"/>
        </w:rPr>
        <w:t>Liability of Warrant Agent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 xml:space="preserve">7.4.1 </w:t>
      </w:r>
      <w:r>
        <w:rPr>
          <w:rFonts w:ascii="Times New Roman" w:cs="Times New Roman" w:eastAsia="Times New Roman" w:hAnsi="Times New Roman"/>
          <w:sz w:val="20"/>
          <w:szCs w:val="20"/>
          <w:u w:val="single" w:color="auto"/>
          <w:color w:val="auto"/>
        </w:rPr>
        <w:t>Reliance on Company Statement</w:t>
      </w:r>
      <w:r>
        <w:rPr>
          <w:rFonts w:ascii="Times New Roman" w:cs="Times New Roman" w:eastAsia="Times New Roman" w:hAnsi="Times New Roman"/>
          <w:sz w:val="20"/>
          <w:szCs w:val="20"/>
          <w:color w:val="auto"/>
        </w:rPr>
        <w:t>. Whenever in the performance of its duties under this Agreement, the Warrant Agent shall deem it necessary or desirable that any fact or matter be proved or established by the Company prior to taking, suffering or omitting to take any action hereunder, such fact or matter (unless other evidence in respect thereof be herein specifically prescribed) may be deemed to be conclusively proved and established by a statement signed by the Chief Executive Officer, Chief Financial Officer, Secretary, General Counsel or Chair of the Board of the Company and delivered to the Warrant Agent. The Warrant Agent may rely upon such statement and shall incur no liability for or in respect of any action taken, suffered or omitted to be taken in the absence of gross negligence, willful misconduct, or bad faith by it (which gross negligence, bad faith, or willful misconduct must be determined by a final, non-appealable judgment of a court of competent jurisdiction) pursuant to the provisions of this Agreement in reliance upon such statement.</w:t>
      </w:r>
    </w:p>
    <w:p>
      <w:pPr>
        <w:spacing w:after="0" w:line="189"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 xml:space="preserve">7.4.2 </w:t>
      </w:r>
      <w:r>
        <w:rPr>
          <w:rFonts w:ascii="Times New Roman" w:cs="Times New Roman" w:eastAsia="Times New Roman" w:hAnsi="Times New Roman"/>
          <w:sz w:val="20"/>
          <w:szCs w:val="20"/>
          <w:u w:val="single" w:color="auto"/>
          <w:color w:val="auto"/>
        </w:rPr>
        <w:t>Indemnity</w:t>
      </w:r>
      <w:r>
        <w:rPr>
          <w:rFonts w:ascii="Times New Roman" w:cs="Times New Roman" w:eastAsia="Times New Roman" w:hAnsi="Times New Roman"/>
          <w:sz w:val="20"/>
          <w:szCs w:val="20"/>
          <w:color w:val="auto"/>
        </w:rPr>
        <w:t>. The Warrant Agent shall be liable hereunder only for its own gross negligence, willful misconduct or bad faith (which gross negligence, bad faith, or willful misconduct must be determined by a final, non-appealable judgment of a court of competent jurisdiction). The Company agrees to indemnify the Warrant Agent and save it harmless against any and all third party liabilities, loss, damage, judgment, fine, penalty, claim, demand, settlement, reasonable cost or expense that is paid, incurred or to which it becomes subject, including judgments, out-of-pocket costs and reasonable outside counsel fees, for anything done or omitted by the Warrant Agent for any action taken, suffered or omitted to be taken by the Warrant Agent in connection with the execution, acceptance, administration, exercise and performance of its duties under this Agreement, including the reasonable costs and expenses of defending against any claim of liability arising therefrom, directly or indirectly, or of enforcing its rights under this Agreement, except as a result of the Warrant Agent’s gross negligence, willful misconduct, or bad faith (which gross negligence, bad faith, or willful misconduct must be determined by a final, non-appealable judgment of a court of competent jurisdiction).</w:t>
      </w:r>
    </w:p>
    <w:p>
      <w:pPr>
        <w:spacing w:after="0" w:line="192"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7.4.3 </w:t>
      </w:r>
      <w:r>
        <w:rPr>
          <w:rFonts w:ascii="Times New Roman" w:cs="Times New Roman" w:eastAsia="Times New Roman" w:hAnsi="Times New Roman"/>
          <w:sz w:val="20"/>
          <w:szCs w:val="20"/>
          <w:u w:val="single" w:color="auto"/>
          <w:color w:val="auto"/>
        </w:rPr>
        <w:t>Limitation of Liability.</w:t>
      </w:r>
      <w:r>
        <w:rPr>
          <w:rFonts w:ascii="Times New Roman" w:cs="Times New Roman" w:eastAsia="Times New Roman" w:hAnsi="Times New Roman"/>
          <w:sz w:val="20"/>
          <w:szCs w:val="20"/>
          <w:color w:val="auto"/>
        </w:rPr>
        <w:t xml:space="preserve"> Notwithstanding anything contained herein to the contrary, the Warrant Agent’s aggregate liability during any term of this Agreement with respect to, arising from, or arising in connection with this Agreement, or from all services provided or omitted to be provided under this Agreement, whether in contract, or in tort, or otherwise, is limited to, and shall not exceed, the amounts paid hereunder by the Company to Warrant Agent as fees and charges, but not including reimbursable expenses, during the twelve (12) months immediately preceding the event for which recovery from Warrant Agent is being sought.</w:t>
      </w:r>
    </w:p>
    <w:p>
      <w:pPr>
        <w:spacing w:after="0" w:line="185"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7.4.4 </w:t>
      </w:r>
      <w:r>
        <w:rPr>
          <w:rFonts w:ascii="Times New Roman" w:cs="Times New Roman" w:eastAsia="Times New Roman" w:hAnsi="Times New Roman"/>
          <w:sz w:val="20"/>
          <w:szCs w:val="20"/>
          <w:u w:val="single" w:color="auto"/>
          <w:color w:val="auto"/>
        </w:rPr>
        <w:t>Special Damages.</w:t>
      </w:r>
      <w:r>
        <w:rPr>
          <w:rFonts w:ascii="Times New Roman" w:cs="Times New Roman" w:eastAsia="Times New Roman" w:hAnsi="Times New Roman"/>
          <w:sz w:val="20"/>
          <w:szCs w:val="20"/>
          <w:color w:val="auto"/>
        </w:rPr>
        <w:t xml:space="preserve"> In no event shall the Warrant Agent be liable to the Company or any other Person for any consequential, indirect, special or indirect damages under any provisions of this Agreement or for any consequential, indirect, punitive, special or incidental damages arising out of any act or failure to act hereunder even if the Warrant Agent has been advised of or has foreseen the possibility of such damages. In no event shall the Company be liable to the Warrant Agent or any other Person for any consequential, indirect, special or indirect damages under any provisions of this Agreement or for any</w:t>
      </w:r>
    </w:p>
    <w:p>
      <w:pPr>
        <w:spacing w:after="0" w:line="200" w:lineRule="exact"/>
        <w:rPr>
          <w:sz w:val="20"/>
          <w:szCs w:val="20"/>
          <w:color w:val="auto"/>
        </w:rPr>
      </w:pP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8" w:name="page99"/>
    <w:bookmarkEnd w:id="98"/>
    <w:p>
      <w:pPr>
        <w:jc w:val="both"/>
        <w:spacing w:after="0" w:line="269" w:lineRule="auto"/>
        <w:rPr>
          <w:sz w:val="20"/>
          <w:szCs w:val="20"/>
          <w:color w:val="auto"/>
        </w:rPr>
      </w:pPr>
      <w:r>
        <w:rPr>
          <w:rFonts w:ascii="Times New Roman" w:cs="Times New Roman" w:eastAsia="Times New Roman" w:hAnsi="Times New Roman"/>
          <w:sz w:val="20"/>
          <w:szCs w:val="20"/>
          <w:color w:val="auto"/>
        </w:rPr>
        <w:t>consequential, indirect, punitive, special or incidental damages arising out of any act or failure to act hereunder even if the Company has been advised of or has foreseen the possibility of such damages.</w:t>
      </w:r>
    </w:p>
    <w:p>
      <w:pPr>
        <w:spacing w:after="0" w:line="159"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 xml:space="preserve">7.4.5 </w:t>
      </w:r>
      <w:r>
        <w:rPr>
          <w:rFonts w:ascii="Times New Roman" w:cs="Times New Roman" w:eastAsia="Times New Roman" w:hAnsi="Times New Roman"/>
          <w:sz w:val="20"/>
          <w:szCs w:val="20"/>
          <w:u w:val="single" w:color="auto"/>
          <w:color w:val="auto"/>
        </w:rPr>
        <w:t>Exclusions.</w:t>
      </w:r>
      <w:r>
        <w:rPr>
          <w:rFonts w:ascii="Times New Roman" w:cs="Times New Roman" w:eastAsia="Times New Roman" w:hAnsi="Times New Roman"/>
          <w:sz w:val="20"/>
          <w:szCs w:val="20"/>
          <w:color w:val="auto"/>
        </w:rPr>
        <w:t xml:space="preserve"> The Warrant Agent shall have no responsibility with respect to the validity of this Agreement or with respect to the validity or execution of any Warrant (except its countersignature thereof); nor shall it be responsible for any breach by the Company of any covenant or condition contained in this Agreement or in any Warrant; nor shall it be responsible to make any adjustments required under the provisions of Section 4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Agreement or any Warrant or as to whether any shares of Common Stock will when issued be valid and fully paid and nonassessable.</w:t>
      </w:r>
    </w:p>
    <w:p>
      <w:pPr>
        <w:spacing w:after="0" w:line="18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7.5 </w:t>
      </w:r>
      <w:r>
        <w:rPr>
          <w:rFonts w:ascii="Times New Roman" w:cs="Times New Roman" w:eastAsia="Times New Roman" w:hAnsi="Times New Roman"/>
          <w:sz w:val="20"/>
          <w:szCs w:val="20"/>
          <w:u w:val="single" w:color="auto"/>
          <w:color w:val="auto"/>
        </w:rPr>
        <w:t>Acceptance of Agency</w:t>
      </w:r>
      <w:r>
        <w:rPr>
          <w:rFonts w:ascii="Times New Roman" w:cs="Times New Roman" w:eastAsia="Times New Roman" w:hAnsi="Times New Roman"/>
          <w:sz w:val="20"/>
          <w:szCs w:val="20"/>
          <w:color w:val="auto"/>
        </w:rPr>
        <w:t>. The Warrant Agent hereby accepts the agency established by this Agreement and agrees to perform the same upon the terms and conditions herein set forth and, among other things, shall account soon as practicable to the Company with respect to Warrants exercised and concurrently account for, and pay to the Company, all monies received by the Warrant Agent for the purchase of shares of Common Stock through the exercise of the Warrants.</w:t>
      </w:r>
    </w:p>
    <w:p>
      <w:pPr>
        <w:spacing w:after="0" w:line="180" w:lineRule="exact"/>
        <w:rPr>
          <w:sz w:val="20"/>
          <w:szCs w:val="20"/>
          <w:color w:val="auto"/>
        </w:rPr>
      </w:pPr>
    </w:p>
    <w:p>
      <w:pPr>
        <w:ind w:left="1160" w:hanging="403"/>
        <w:spacing w:after="0"/>
        <w:tabs>
          <w:tab w:leader="none" w:pos="11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of the Warrant Agent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u w:val="single" w:color="auto"/>
          <w:color w:val="auto"/>
        </w:rPr>
        <w:t>Counsel</w:t>
      </w:r>
      <w:r>
        <w:rPr>
          <w:rFonts w:ascii="Times New Roman" w:cs="Times New Roman" w:eastAsia="Times New Roman" w:hAnsi="Times New Roman"/>
          <w:sz w:val="20"/>
          <w:szCs w:val="20"/>
          <w:color w:val="auto"/>
        </w:rPr>
        <w:t>. The Warrant Agent may consult with legal counsel selected by it (who may be legal counsel for the Company), and the opinion or advice of such counsel shall be full and complete authorization and protection to the Warrant Agent as to any action taken or omitted by it in accordance with such opinion or advice.</w:t>
      </w:r>
    </w:p>
    <w:p>
      <w:pPr>
        <w:spacing w:after="0" w:line="17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u w:val="single" w:color="auto"/>
          <w:color w:val="auto"/>
        </w:rPr>
        <w:t>Company Instructions</w:t>
      </w:r>
      <w:r>
        <w:rPr>
          <w:rFonts w:ascii="Times New Roman" w:cs="Times New Roman" w:eastAsia="Times New Roman" w:hAnsi="Times New Roman"/>
          <w:sz w:val="20"/>
          <w:szCs w:val="20"/>
          <w:color w:val="auto"/>
        </w:rPr>
        <w:t>. From time to time, Company may provide Warrant Agent with instructions concerning the services performed by the Warrant Agent hereunder. In addition, at any time Warrant Agent may apply to any officer of Company for instruction and may consult with legal counsel for Warrant Agent or Company with respect to any matter arising in connection with the services to be performed by the Warrant Agent under this Agreement. Warrant Agent and its agents and subcontractors shall not be liable and shall be indemnified by Company for any action taken or omitted by Warrant Agent in reliance upon any Company instructions or upon the advice or opinion of such counsel. Warrant Agent shall not be held to have notice of any change of authority of any person, until receipt of written notice thereof from the Company. The Warrant Agent may rely on and shall be held harmless and protected and shall incur no liability for or in respect of any action taken, suffered or omitted to be taken by it in reliance upon any certificate, statement, instrument, opinion, notice, letter, facsimile transmission, or other document, or any security delivered to it, and believed by it to be genuine and to have been made or signed by the proper party or parties, or upon any written instructions or statements from the Company with respect to any matter relating to its acting as Warrant Agent hereunder.</w:t>
      </w:r>
    </w:p>
    <w:p>
      <w:pPr>
        <w:spacing w:after="0" w:line="19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u w:val="single" w:color="auto"/>
          <w:color w:val="auto"/>
        </w:rPr>
        <w:t>No Risk of Own Funds</w:t>
      </w:r>
      <w:r>
        <w:rPr>
          <w:rFonts w:ascii="Times New Roman" w:cs="Times New Roman" w:eastAsia="Times New Roman" w:hAnsi="Times New Roman"/>
          <w:sz w:val="20"/>
          <w:szCs w:val="20"/>
          <w:color w:val="auto"/>
        </w:rPr>
        <w:t>. The Warrant Agent shall not be obligated to expend or risk its own funds or to take any action that it believes would expose or subject it to expense or liability or to a risk of incurring expense or liability, unless it has been furnished with assurances of repayment or indemnity satisfactory to it.</w:t>
      </w:r>
    </w:p>
    <w:p>
      <w:pPr>
        <w:spacing w:after="0" w:line="174"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 xml:space="preserve">8.4 </w:t>
      </w:r>
      <w:r>
        <w:rPr>
          <w:rFonts w:ascii="Times New Roman" w:cs="Times New Roman" w:eastAsia="Times New Roman" w:hAnsi="Times New Roman"/>
          <w:sz w:val="20"/>
          <w:szCs w:val="20"/>
          <w:u w:val="single" w:color="auto"/>
          <w:color w:val="auto"/>
        </w:rPr>
        <w:t>Delivery of Exercise Price</w:t>
      </w:r>
      <w:r>
        <w:rPr>
          <w:rFonts w:ascii="Times New Roman" w:cs="Times New Roman" w:eastAsia="Times New Roman" w:hAnsi="Times New Roman"/>
          <w:sz w:val="20"/>
          <w:szCs w:val="20"/>
          <w:color w:val="auto"/>
        </w:rPr>
        <w:t>. The Warrant Agent shall forward funds received for warrant exercises in a given month by the 5th business day of the following month by wire transfer to an account designated by the Company; provided that, upon written request by the Company, the Warrant Agent shall use commercially reasonable efforts to forward funds, by wire transfer to an account designated by the</w:t>
      </w:r>
    </w:p>
    <w:p>
      <w:pPr>
        <w:spacing w:after="0" w:line="200" w:lineRule="exact"/>
        <w:rPr>
          <w:sz w:val="20"/>
          <w:szCs w:val="20"/>
          <w:color w:val="auto"/>
        </w:rPr>
      </w:pP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0"/>
          <w:szCs w:val="20"/>
          <w:color w:val="auto"/>
        </w:rPr>
        <w:t>Company, no later than the 5th business day after the next occurring 1st or 15th of any month following such request.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8.5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The obligations of the Company under Section 7, and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shall survive the termination of this Agreement, the resignation, replacement or removal of the Warrant Agent and the exercise, termination and expiration of the Warrant. Furthermore, the rights, immunities, and protections afforded to the Warrant Agent under Section 7, and this Section 8, shall survive the termination of this Agreement, the resignation, replacement or removal of the Warrant Agent and the exercise, termination and expiration of the Warrant.</w:t>
      </w:r>
    </w:p>
    <w:p>
      <w:pPr>
        <w:spacing w:after="0" w:line="180" w:lineRule="exact"/>
        <w:rPr>
          <w:sz w:val="20"/>
          <w:szCs w:val="20"/>
          <w:color w:val="auto"/>
        </w:rPr>
      </w:pPr>
    </w:p>
    <w:p>
      <w:pPr>
        <w:ind w:left="1160" w:hanging="403"/>
        <w:spacing w:after="0"/>
        <w:tabs>
          <w:tab w:leader="none" w:pos="11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 Provisions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All the covenants and provisions of this Agreement by or for the benefit of the Company or the Warrant Agent shall bind and inure to the benefit of their respective successors and assigns.</w:t>
      </w:r>
    </w:p>
    <w:p>
      <w:pPr>
        <w:spacing w:after="0" w:line="15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9.2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statement or demand authorized by this Agreement shall be in writing and deemed given and effective on the earliest of (i) the time of transmission, if such notice or communication is delivered via facsimile or e-mail prior to 5:30 P.M., New York City time, on a Trading Day so long as the sender of an e-mail has not received an automated notice of delivery failure from the proposed recipient’s computer server, (ii) the next Trading Day after the date of transmission, if such notice or communication is delivered via facsimile or e-mail on a day that is not a Trading Day or later than 5:30 P.M., New York City time, on any Trading Day so long as the sender of an e-mail has not received an automated notice of delivery failure from the proposed recipient’s computer server, (iii) the Trading Day following the date of mailing, if sent by nationally recognized overnight courier service specifying next business day delivery, or (iv) upon actual receipt by the party to whom such notice is required to be given, if by hand delivery; provided, that, email notices will not be applicable to the Warrant Agent except to the extent required in Section 3 hereof. The addresses, facsimile numbers and e-mail addresses for such notices or communications shall be: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If to the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Tenaya Therapeutics,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171 Oyster Point Blvd., Suite 500</w:t>
      </w:r>
    </w:p>
    <w:p>
      <w:pPr>
        <w:jc w:val="center"/>
        <w:spacing w:after="0"/>
        <w:rPr>
          <w:sz w:val="20"/>
          <w:szCs w:val="20"/>
          <w:color w:val="auto"/>
        </w:rPr>
      </w:pPr>
      <w:r>
        <w:rPr>
          <w:rFonts w:ascii="Times New Roman" w:cs="Times New Roman" w:eastAsia="Times New Roman" w:hAnsi="Times New Roman"/>
          <w:sz w:val="20"/>
          <w:szCs w:val="20"/>
          <w:color w:val="auto"/>
        </w:rPr>
        <w:t>South San Francisco, CA 94080</w:t>
      </w:r>
    </w:p>
    <w:p>
      <w:pPr>
        <w:jc w:val="center"/>
        <w:spacing w:after="0"/>
        <w:rPr>
          <w:sz w:val="20"/>
          <w:szCs w:val="20"/>
          <w:color w:val="auto"/>
        </w:rPr>
      </w:pPr>
      <w:r>
        <w:rPr>
          <w:rFonts w:ascii="Times New Roman" w:cs="Times New Roman" w:eastAsia="Times New Roman" w:hAnsi="Times New Roman"/>
          <w:sz w:val="20"/>
          <w:szCs w:val="20"/>
          <w:color w:val="auto"/>
        </w:rPr>
        <w:t>Attn: General Counsel</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If to the Warrant Agent:</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Computershare,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Computershare Trust Company, N.A.</w:t>
      </w:r>
    </w:p>
    <w:p>
      <w:pPr>
        <w:jc w:val="center"/>
        <w:spacing w:after="0"/>
        <w:rPr>
          <w:sz w:val="20"/>
          <w:szCs w:val="20"/>
          <w:color w:val="auto"/>
        </w:rPr>
      </w:pPr>
      <w:r>
        <w:rPr>
          <w:rFonts w:ascii="Times New Roman" w:cs="Times New Roman" w:eastAsia="Times New Roman" w:hAnsi="Times New Roman"/>
          <w:sz w:val="20"/>
          <w:szCs w:val="20"/>
          <w:color w:val="auto"/>
        </w:rPr>
        <w:t>150 Royall Street</w:t>
      </w:r>
    </w:p>
    <w:p>
      <w:pPr>
        <w:jc w:val="center"/>
        <w:spacing w:after="0"/>
        <w:rPr>
          <w:sz w:val="20"/>
          <w:szCs w:val="20"/>
          <w:color w:val="auto"/>
        </w:rPr>
      </w:pPr>
      <w:r>
        <w:rPr>
          <w:rFonts w:ascii="Times New Roman" w:cs="Times New Roman" w:eastAsia="Times New Roman" w:hAnsi="Times New Roman"/>
          <w:sz w:val="20"/>
          <w:szCs w:val="20"/>
          <w:color w:val="auto"/>
        </w:rPr>
        <w:t>Canton, Massachusetts 02021</w:t>
      </w:r>
    </w:p>
    <w:p>
      <w:pPr>
        <w:jc w:val="center"/>
        <w:spacing w:after="0"/>
        <w:rPr>
          <w:sz w:val="20"/>
          <w:szCs w:val="20"/>
          <w:color w:val="auto"/>
        </w:rPr>
      </w:pPr>
      <w:r>
        <w:rPr>
          <w:rFonts w:ascii="Times New Roman" w:cs="Times New Roman" w:eastAsia="Times New Roman" w:hAnsi="Times New Roman"/>
          <w:sz w:val="20"/>
          <w:szCs w:val="20"/>
          <w:color w:val="auto"/>
        </w:rPr>
        <w:t>Attention: Client Services</w:t>
      </w:r>
    </w:p>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Or, in each of the above instances, to such other address, facsimile number or e-mail address as the recipient party has specified by written notice given to each other party at least five (5) days prior to the effectiveness of such change.</w:t>
      </w: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0" w:name="page101"/>
    <w:bookmarkEnd w:id="100"/>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u w:val="single" w:color="auto"/>
          <w:color w:val="auto"/>
        </w:rPr>
        <w:t>Governing Law; Jurisdiction</w:t>
      </w:r>
      <w:r>
        <w:rPr>
          <w:rFonts w:ascii="Times New Roman" w:cs="Times New Roman" w:eastAsia="Times New Roman" w:hAnsi="Times New Roman"/>
          <w:sz w:val="20"/>
          <w:szCs w:val="20"/>
          <w:color w:val="auto"/>
        </w:rPr>
        <w:t>. All questions concerning the construction, validity, enforcement and interpretation of this Agreement shall be governed by and construed and enforced in accordance with the laws of the State of Delaware without regard to the principles of conflicts of law thereof. Each of the Company and the Warrant Agent hereby irrevocably submits to the exclusive jurisdiction of the state and federal courts sitting in the State of Delaware, for the adjudication of any dispute hereunder or in connection herewith or with any transaction contemplated hereby or discussed herein (including with respect to the enforcement of the Warrants), and hereby irrevocably waives, and agrees not to assert in any suit, action or proceeding, any claim that is not personally subject to the jurisdiction of any such court. Each of the company and the Warrant Agent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Warrant Agent hereby waives all rights to a trial by jury.</w:t>
      </w:r>
    </w:p>
    <w:p>
      <w:pPr>
        <w:spacing w:after="0" w:line="19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9.4 </w:t>
      </w: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The Warrant Agent and the Company agree that all books, records, information and data pertaining to the business of the other party, including inter alia, personal, non-public warrant holder information, which are exchanged or received pursuant to the negotiation or the carrying out of this Agreement including the fees for services set forth in the attached schedule shall remain confidential, and shall not be voluntarily disclosed to any other person, except as may be required by law, including, without limitation, pursuant to the laws or regulations of any securities exchange or pursuant to subpoenas from state or federal government authorities (e.g., in divorce and criminal actions). However, each party may disclose relevant aspects of the other party’s confidential information to its officers, affiliates, agents, subcontractors and employees to the extent reasonably necessary to perform its duties and obligations under this Agreement and such disclosure is not prohibited by applicable law.</w:t>
      </w:r>
    </w:p>
    <w:p>
      <w:pPr>
        <w:spacing w:after="0" w:line="18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9.5 </w:t>
      </w:r>
      <w:r>
        <w:rPr>
          <w:rFonts w:ascii="Times New Roman" w:cs="Times New Roman" w:eastAsia="Times New Roman" w:hAnsi="Times New Roman"/>
          <w:sz w:val="20"/>
          <w:szCs w:val="20"/>
          <w:u w:val="single" w:color="auto"/>
          <w:color w:val="auto"/>
        </w:rPr>
        <w:t>Persons Having Rights under this Agreement</w:t>
      </w:r>
      <w:r>
        <w:rPr>
          <w:rFonts w:ascii="Times New Roman" w:cs="Times New Roman" w:eastAsia="Times New Roman" w:hAnsi="Times New Roman"/>
          <w:sz w:val="20"/>
          <w:szCs w:val="20"/>
          <w:color w:val="auto"/>
        </w:rPr>
        <w:t>. Nothing in this Agreement shall be construed to confer upon, or give to, any person, corporation or other entity other than the parties hereto, and the Registered Holders,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9.6 </w:t>
      </w:r>
      <w:r>
        <w:rPr>
          <w:rFonts w:ascii="Times New Roman" w:cs="Times New Roman" w:eastAsia="Times New Roman" w:hAnsi="Times New Roman"/>
          <w:sz w:val="20"/>
          <w:szCs w:val="20"/>
          <w:u w:val="single" w:color="auto"/>
          <w:color w:val="auto"/>
        </w:rPr>
        <w:t>Examination of the Warrant Agent Agreement</w:t>
      </w:r>
      <w:r>
        <w:rPr>
          <w:rFonts w:ascii="Times New Roman" w:cs="Times New Roman" w:eastAsia="Times New Roman" w:hAnsi="Times New Roman"/>
          <w:sz w:val="20"/>
          <w:szCs w:val="20"/>
          <w:color w:val="auto"/>
        </w:rPr>
        <w:t>. A copy of this Agreement shall be available at all reasonable times at the office or offices of the Warrant Agent designated for such purpose for inspection by the Registered Holder of any Warrant. The Warrant Agent may require any such holder to submit such holder’s Warrant for inspection by the Warrant Agent.</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9.7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any number of counterparts (including facsimile and PDF counterparts) and each of such counterparts shall for all purposes be deemed to be an original, and all such counterparts shall together constitute but one and the same instrument. A signature to this Agreement transmitted electronically shall have the same authority, effect, and enforceability as an original signature.</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9.8 </w:t>
      </w:r>
      <w:r>
        <w:rPr>
          <w:rFonts w:ascii="Times New Roman" w:cs="Times New Roman" w:eastAsia="Times New Roman" w:hAnsi="Times New Roman"/>
          <w:sz w:val="20"/>
          <w:szCs w:val="20"/>
          <w:u w:val="single" w:color="auto"/>
          <w:color w:val="auto"/>
        </w:rPr>
        <w:t>Effect of Headings</w:t>
      </w:r>
      <w:r>
        <w:rPr>
          <w:rFonts w:ascii="Times New Roman" w:cs="Times New Roman" w:eastAsia="Times New Roman" w:hAnsi="Times New Roman"/>
          <w:sz w:val="20"/>
          <w:szCs w:val="20"/>
          <w:color w:val="auto"/>
        </w:rPr>
        <w:t>. The section headings herein are for convenience only and are not part of this Agreement and shall not affect the interpretation thereof.</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9.9 </w:t>
      </w: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 This Agreement may be amended by the parties hereto without the consent of any Registered Holder for the purpose of curing any ambiguity, or curing, correcting or supplementing any defective provision contained herein or adding or changing any other provisions with respect to matters</w:t>
      </w:r>
    </w:p>
    <w:p>
      <w:pPr>
        <w:spacing w:after="0" w:line="200" w:lineRule="exact"/>
        <w:rPr>
          <w:sz w:val="20"/>
          <w:szCs w:val="20"/>
          <w:color w:val="auto"/>
        </w:rPr>
      </w:pP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1" w:name="page102"/>
    <w:bookmarkEnd w:id="101"/>
    <w:p>
      <w:pPr>
        <w:jc w:val="both"/>
        <w:spacing w:after="0" w:line="243" w:lineRule="auto"/>
        <w:rPr>
          <w:sz w:val="20"/>
          <w:szCs w:val="20"/>
          <w:color w:val="auto"/>
        </w:rPr>
      </w:pPr>
      <w:r>
        <w:rPr>
          <w:rFonts w:ascii="Times New Roman" w:cs="Times New Roman" w:eastAsia="Times New Roman" w:hAnsi="Times New Roman"/>
          <w:sz w:val="20"/>
          <w:szCs w:val="20"/>
          <w:color w:val="auto"/>
        </w:rPr>
        <w:t>or questions arising under this Agreement as the parties may deem necessary or desirable and that the parties deem shall not adversely affect the interest of the Registered Holders. Except as expressly provided herein, neither this Agreement nor any term hereof may be amended, waived, discharged or terminated other than by a written instrument signed by both the Company and the Warrant Agent. No supplement or amendment to this Agreement shall be effective unless duly executed by the Warrant Agent and the Company. As a condition precedent to the Warrant Agent’s execution of any amendment, the Company shall deliver to the Warrant Agent a certificate from a duly authorized officer of the Company that states that the proposed amendment is in compliance with the terms of this Section 9. Notwithstanding anything in this Agreement to the contrary, the Warrant Agent may, but shall not be obligated to, enter into any supplement or amendment that adversely affects the Warrant Agent’s own rights, duties, immunities or obligations under this Agreement.</w:t>
      </w:r>
    </w:p>
    <w:p>
      <w:pPr>
        <w:spacing w:after="0" w:line="18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9.10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this Agreement; provided that if such excluded provision shall affect the rights, immunities, liabilities, duties or obligations of the Warrant Agent, the Warrant Agent shall be entitled to resign immediately upon written notice to the Company.</w:t>
      </w:r>
    </w:p>
    <w:p>
      <w:pPr>
        <w:spacing w:after="0" w:line="18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9.11 </w:t>
      </w:r>
      <w:r>
        <w:rPr>
          <w:rFonts w:ascii="Times New Roman" w:cs="Times New Roman" w:eastAsia="Times New Roman" w:hAnsi="Times New Roman"/>
          <w:sz w:val="20"/>
          <w:szCs w:val="20"/>
          <w:u w:val="single" w:color="auto"/>
          <w:color w:val="auto"/>
        </w:rPr>
        <w:t>Force Majeure</w:t>
      </w:r>
      <w:r>
        <w:rPr>
          <w:rFonts w:ascii="Times New Roman" w:cs="Times New Roman" w:eastAsia="Times New Roman" w:hAnsi="Times New Roman"/>
          <w:sz w:val="20"/>
          <w:szCs w:val="20"/>
          <w:color w:val="auto"/>
        </w:rPr>
        <w:t>. Notwithstanding anything to the contrary contained herein, the Warrant Agent will not be liable for any delays or failures in performance resulting from acts beyond its reasonable control including, without limitation, acts of God, epidemic, pandemic, terrorist acts, shortage of supply, breakdowns or malfunctions, interruptions or malfunction of computer facilities, or loss of data due to power failures or mechanical difficulties with information storage or retrieval systems, labor difficulties, war, or civil unrest.</w:t>
      </w:r>
    </w:p>
    <w:p>
      <w:pPr>
        <w:spacing w:after="0" w:line="180"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20"/>
          <w:szCs w:val="20"/>
          <w:color w:val="auto"/>
        </w:rPr>
        <w:t xml:space="preserve">9.12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contains the entire agreement and understanding among the parties hereto with respect to the subject matter hereof, and supersedes all prior and contemporaneous agreements, understandings, inducements and conditions, express or implied, oral or written, of any nature whatsoever with respect to the subject matter hereof. Notwithstanding anything to the contrary contained in this Agreement, in the event of inconsistency between any provision in this Agreement and any provision in a Warrant , as it may from time to time be amended, this Agreement shall prevail. The Company shall not amend any provisions of the Warrant without the prior consent of the Warrant Agent, not to be unreasonably withheld or delayed. The Warrant Agent shall have no duty or responsibility with regard to any provision of the Form of Series A Warrant or the Form of Series B Warrant that is inconsistent with this Agreement.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2" w:name="page103"/>
    <w:bookmarkEnd w:id="102"/>
    <w:p>
      <w:pPr>
        <w:jc w:val="center"/>
        <w:ind w:right="40"/>
        <w:spacing w:after="0"/>
        <w:rPr>
          <w:sz w:val="20"/>
          <w:szCs w:val="20"/>
          <w:color w:val="auto"/>
        </w:rPr>
      </w:pPr>
      <w:r>
        <w:rPr>
          <w:rFonts w:ascii="Times New Roman" w:cs="Times New Roman" w:eastAsia="Times New Roman" w:hAnsi="Times New Roman"/>
          <w:sz w:val="19"/>
          <w:szCs w:val="19"/>
          <w:color w:val="auto"/>
        </w:rPr>
        <w:t>IN WITNESS WHEREOF, this Agreement has been duly executed by the parties hereto as of the day and year first above written.</w:t>
      </w: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TENAYA THERAPEUTICS, INC.</w:t>
      </w:r>
    </w:p>
    <w:p>
      <w:pPr>
        <w:spacing w:after="0" w:line="200" w:lineRule="exact"/>
        <w:rPr>
          <w:sz w:val="20"/>
          <w:szCs w:val="20"/>
          <w:color w:val="auto"/>
        </w:rPr>
      </w:pPr>
    </w:p>
    <w:p>
      <w:pPr>
        <w:spacing w:after="0" w:line="23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By: /s/ Jennifer Drimmer Rokovich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2588260</wp:posOffset>
            </wp:positionH>
            <wp:positionV relativeFrom="paragraph">
              <wp:posOffset>-10795</wp:posOffset>
            </wp:positionV>
            <wp:extent cx="179705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1797050" cy="8890"/>
                    </a:xfrm>
                    <a:prstGeom prst="rect">
                      <a:avLst/>
                    </a:prstGeom>
                    <a:noFill/>
                  </pic:spPr>
                </pic:pic>
              </a:graphicData>
            </a:graphic>
          </wp:anchor>
        </w:drawing>
      </w:r>
    </w:p>
    <w:p>
      <w:pPr>
        <w:spacing w:after="0" w:line="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Name: Jennifer Drimmer Rokovich</w:t>
      </w:r>
    </w:p>
    <w:p>
      <w:pPr>
        <w:ind w:left="3740"/>
        <w:spacing w:after="0"/>
        <w:rPr>
          <w:sz w:val="20"/>
          <w:szCs w:val="20"/>
          <w:color w:val="auto"/>
        </w:rPr>
      </w:pPr>
      <w:r>
        <w:rPr>
          <w:rFonts w:ascii="Times New Roman" w:cs="Times New Roman" w:eastAsia="Times New Roman" w:hAnsi="Times New Roman"/>
          <w:sz w:val="20"/>
          <w:szCs w:val="20"/>
          <w:color w:val="auto"/>
        </w:rPr>
        <w:t>Title: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auto"/>
        </w:rPr>
        <w:t>COMPUTERSHARE, INC., and</w:t>
      </w:r>
    </w:p>
    <w:p>
      <w:pPr>
        <w:spacing w:after="0" w:line="2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b w:val="1"/>
          <w:bCs w:val="1"/>
          <w:color w:val="auto"/>
        </w:rPr>
        <w:t>COMPUTERSHARE TRUST COMPANY, N.A., collectively, AS WARRANT</w:t>
      </w:r>
    </w:p>
    <w:p>
      <w:pPr>
        <w:spacing w:after="0" w:line="1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auto"/>
        </w:rPr>
        <w:t>AGENT</w:t>
      </w:r>
    </w:p>
    <w:p>
      <w:pPr>
        <w:spacing w:after="0" w:line="200" w:lineRule="exact"/>
        <w:rPr>
          <w:sz w:val="20"/>
          <w:szCs w:val="20"/>
          <w:color w:val="auto"/>
        </w:rPr>
      </w:pPr>
    </w:p>
    <w:p>
      <w:pPr>
        <w:spacing w:after="0" w:line="21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By: /s/ Collin Ekeogu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2588260</wp:posOffset>
            </wp:positionH>
            <wp:positionV relativeFrom="paragraph">
              <wp:posOffset>-10795</wp:posOffset>
            </wp:positionV>
            <wp:extent cx="104330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1043305" cy="8890"/>
                    </a:xfrm>
                    <a:prstGeom prst="rect">
                      <a:avLst/>
                    </a:prstGeom>
                    <a:noFill/>
                  </pic:spPr>
                </pic:pic>
              </a:graphicData>
            </a:graphic>
          </wp:anchor>
        </w:drawing>
      </w:r>
    </w:p>
    <w:p>
      <w:pPr>
        <w:spacing w:after="0" w:line="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Name: Collin Ekeogu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-24765</wp:posOffset>
            </wp:positionV>
            <wp:extent cx="8902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890270" cy="8255"/>
                    </a:xfrm>
                    <a:prstGeom prst="rect">
                      <a:avLst/>
                    </a:prstGeom>
                    <a:noFill/>
                  </pic:spPr>
                </pic:pic>
              </a:graphicData>
            </a:graphic>
          </wp:anchor>
        </w:drawing>
      </w:r>
    </w:p>
    <w:p>
      <w:pPr>
        <w:ind w:left="3740"/>
        <w:spacing w:after="0"/>
        <w:rPr>
          <w:sz w:val="20"/>
          <w:szCs w:val="20"/>
          <w:color w:val="auto"/>
        </w:rPr>
      </w:pPr>
      <w:r>
        <w:rPr>
          <w:rFonts w:ascii="Times New Roman" w:cs="Times New Roman" w:eastAsia="Times New Roman" w:hAnsi="Times New Roman"/>
          <w:sz w:val="20"/>
          <w:szCs w:val="20"/>
          <w:color w:val="auto"/>
        </w:rPr>
        <w:t>Title: Senior Manager, Corporate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1016000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-24765</wp:posOffset>
            </wp:positionV>
            <wp:extent cx="195770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1957705" cy="8890"/>
                    </a:xfrm>
                    <a:prstGeom prst="rect">
                      <a:avLst/>
                    </a:prstGeom>
                    <a:noFill/>
                  </pic:spPr>
                </pic:pic>
              </a:graphicData>
            </a:graphic>
          </wp:anchor>
        </w:drawing>
      </w:r>
    </w:p>
    <w:p>
      <w:pPr>
        <w:sectPr>
          <w:pgSz w:w="11900" w:h="16838" w:orient="portrait"/>
          <w:cols w:equalWidth="0" w:num="1">
            <w:col w:w="10340"/>
          </w:cols>
          <w:pgMar w:left="1080" w:top="1413" w:right="479" w:bottom="1440" w:gutter="0" w:footer="0" w:header="0"/>
        </w:sectPr>
      </w:pPr>
    </w:p>
    <w:bookmarkStart w:id="103" w:name="page104"/>
    <w:bookmarkEnd w:id="103"/>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Faraz Ali, M.B.A., certify that:</w:t>
      </w:r>
    </w:p>
    <w:p>
      <w:pPr>
        <w:spacing w:after="0" w:line="225" w:lineRule="exact"/>
        <w:rPr>
          <w:sz w:val="20"/>
          <w:szCs w:val="20"/>
          <w:color w:val="auto"/>
        </w:rPr>
      </w:pPr>
    </w:p>
    <w:p>
      <w:pPr>
        <w:ind w:left="380" w:hanging="372"/>
        <w:spacing w:after="0"/>
        <w:tabs>
          <w:tab w:leader="none" w:pos="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Tenaya Therapeutics, Inc.;</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60" w:hanging="372"/>
        <w:spacing w:after="0" w:line="282" w:lineRule="auto"/>
        <w:tabs>
          <w:tab w:leader="none" w:pos="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jc w:val="both"/>
        <w:ind w:left="760" w:right="280" w:hanging="378"/>
        <w:spacing w:after="0" w:line="266" w:lineRule="auto"/>
        <w:tabs>
          <w:tab w:leader="none" w:pos="7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60" w:right="260" w:hanging="378"/>
        <w:spacing w:after="0" w:line="266" w:lineRule="auto"/>
        <w:tabs>
          <w:tab w:leader="none" w:pos="7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180" w:hanging="372"/>
        <w:spacing w:after="0" w:line="282" w:lineRule="auto"/>
        <w:tabs>
          <w:tab w:leader="none" w:pos="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2025</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Faraz Ali, M.B.A.</w:t>
            </w:r>
          </w:p>
        </w:tc>
      </w:tr>
      <w:tr>
        <w:trPr>
          <w:trHeight w:val="191"/>
        </w:trPr>
        <w:tc>
          <w:tcPr>
            <w:tcW w:w="6780" w:type="dxa"/>
            <w:vAlign w:val="bottom"/>
          </w:tcPr>
          <w:p>
            <w:pPr>
              <w:ind w:left="6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6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Faraz Ali, M.B.A.</w:t>
            </w:r>
          </w:p>
        </w:tc>
      </w:tr>
      <w:tr>
        <w:trPr>
          <w:trHeight w:val="214"/>
        </w:trPr>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6780" w:type="dxa"/>
            <w:vAlign w:val="bottom"/>
          </w:tcPr>
          <w:p>
            <w:pPr>
              <w:spacing w:after="0"/>
              <w:rPr>
                <w:sz w:val="18"/>
                <w:szCs w:val="18"/>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(Principal Executive Officer and Interim Principal</w:t>
            </w:r>
          </w:p>
        </w:tc>
      </w:tr>
      <w:tr>
        <w:trPr>
          <w:trHeight w:val="236"/>
        </w:trPr>
        <w:tc>
          <w:tcPr>
            <w:tcW w:w="678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Financial Officer)</w:t>
            </w:r>
          </w:p>
        </w:tc>
      </w:tr>
      <w:tr>
        <w:trPr>
          <w:trHeight w:val="722"/>
        </w:trPr>
        <w:tc>
          <w:tcPr>
            <w:tcW w:w="678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 AND PRINCIPAL FINANCIAL OFFICER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Faraz Ali, M.B.A., certify, pursuant to 18 U.S.C. Section 1350 as adopted pursuant to Section 906 of the Sarbanes-Oxley Act of 2002, that, (1) the Quarterly Report on Form 10-Q of Tenaya Therapeutics, Inc. (the “Company”) for the quarterly period ended September 30, 2025, as filed with the Securities and Exchange Commission on the date hereof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10"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 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Faraz Ali, M.B.A.</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i w:val="1"/>
          <w:iCs w:val="1"/>
          <w:color w:val="auto"/>
        </w:rPr>
        <w:t>(Principal Executive Officer and Interim Principal Financial</w:t>
      </w:r>
    </w:p>
    <w:p>
      <w:pPr>
        <w:spacing w:after="0" w:line="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1381760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05" w:name="page106"/>
    <w:bookmarkEnd w:id="10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1."/>
      <w:numFmt w:val="decimal"/>
      <w:start w:val="2"/>
    </w:lvl>
  </w:abstractNum>
  <w:abstractNum w:abstractNumId="6">
    <w:nsid w:val="22221A70"/>
    <w:multiLevelType w:val="hybridMultilevel"/>
    <w:lvl w:ilvl="0">
      <w:lvlJc w:val="left"/>
      <w:lvlText w:val="%1."/>
      <w:numFmt w:val="decimal"/>
      <w:start w:val="4"/>
    </w:lvl>
  </w:abstractNum>
  <w:abstractNum w:abstractNumId="7">
    <w:nsid w:val="4516DDE9"/>
    <w:multiLevelType w:val="hybridMultilevel"/>
    <w:lvl w:ilvl="0">
      <w:lvlJc w:val="left"/>
      <w:lvlText w:val="%1."/>
      <w:numFmt w:val="decimal"/>
      <w:start w:val="5"/>
    </w:lvl>
  </w:abstractNum>
  <w:abstractNum w:abstractNumId="8">
    <w:nsid w:val="3006C83E"/>
    <w:multiLevelType w:val="hybridMultilevel"/>
    <w:lvl w:ilvl="0">
      <w:lvlJc w:val="left"/>
      <w:lvlText w:val="%1."/>
      <w:numFmt w:val="decimal"/>
      <w:start w:val="6"/>
    </w:lvl>
  </w:abstractNum>
  <w:abstractNum w:abstractNumId="9">
    <w:nsid w:val="614FD4A1"/>
    <w:multiLevelType w:val="hybridMultilevel"/>
    <w:lvl w:ilvl="0">
      <w:lvlJc w:val="left"/>
      <w:lvlText w:val="%1."/>
      <w:numFmt w:val="decimal"/>
      <w:start w:val="7"/>
    </w:lvl>
  </w:abstractNum>
  <w:abstractNum w:abstractNumId="10">
    <w:nsid w:val="419AC241"/>
    <w:multiLevelType w:val="hybridMultilevel"/>
    <w:lvl w:ilvl="0">
      <w:lvlJc w:val="left"/>
      <w:lvlText w:val="%1."/>
      <w:numFmt w:val="decimal"/>
      <w:start w:val="8"/>
    </w:lvl>
  </w:abstractNum>
  <w:abstractNum w:abstractNumId="11">
    <w:nsid w:val="5577F8E1"/>
    <w:multiLevelType w:val="hybridMultilevel"/>
    <w:lvl w:ilvl="0">
      <w:lvlJc w:val="left"/>
      <w:lvlText w:val="%1."/>
      <w:numFmt w:val="decimal"/>
      <w:start w:val="9"/>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1)"/>
      <w:numFmt w:val="decimal"/>
      <w:start w:val="2"/>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1)"/>
      <w:numFmt w:val="lowerLetter"/>
      <w:start w:val="1"/>
    </w:lvl>
  </w:abstractNum>
  <w:abstractNum w:abstractNumId="46">
    <w:nsid w:val="12E685FB"/>
    <w:multiLevelType w:val="hybridMultilevel"/>
    <w:lvl w:ilvl="0">
      <w:lvlJc w:val="left"/>
      <w:lvlText w:val="(%1)"/>
      <w:numFmt w:val="lowerLetter"/>
      <w:start w:val="2"/>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1)"/>
      <w:numFmt w:val="lowerRoman"/>
      <w:start w:val="2"/>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1."/>
      <w:numFmt w:val="decimal"/>
      <w:start w:val="3"/>
    </w:lvl>
  </w:abstractNum>
  <w:abstractNum w:abstractNumId="51">
    <w:nsid w:val="23F9C13C"/>
    <w:multiLevelType w:val="hybridMultilevel"/>
    <w:lvl w:ilvl="0">
      <w:lvlJc w:val="left"/>
      <w:lvlText w:val="%1."/>
      <w:numFmt w:val="decimal"/>
      <w:start w:val="4"/>
    </w:lvl>
  </w:abstractNum>
  <w:abstractNum w:abstractNumId="52">
    <w:nsid w:val="649BB77C"/>
    <w:multiLevelType w:val="hybridMultilevel"/>
    <w:lvl w:ilvl="0">
      <w:lvlJc w:val="left"/>
      <w:lvlText w:val="%1."/>
      <w:numFmt w:val="decimal"/>
      <w:start w:val="5"/>
    </w:lvl>
  </w:abstractNum>
  <w:abstractNum w:abstractNumId="53">
    <w:nsid w:val="275AC794"/>
    <w:multiLevelType w:val="hybridMultilevel"/>
    <w:lvl w:ilvl="0">
      <w:lvlJc w:val="left"/>
      <w:lvlText w:val="%1."/>
      <w:numFmt w:val="decimal"/>
      <w:start w:val="6"/>
    </w:lvl>
  </w:abstractNum>
  <w:abstractNum w:abstractNumId="54">
    <w:nsid w:val="39386575"/>
    <w:multiLevelType w:val="hybridMultilevel"/>
    <w:lvl w:ilvl="0">
      <w:lvlJc w:val="left"/>
      <w:lvlText w:val="%1."/>
      <w:numFmt w:val="decimal"/>
      <w:start w:val="7"/>
    </w:lvl>
  </w:abstractNum>
  <w:abstractNum w:abstractNumId="55">
    <w:nsid w:val="1CF10FD8"/>
    <w:multiLevelType w:val="hybridMultilevel"/>
    <w:lvl w:ilvl="0">
      <w:lvlJc w:val="left"/>
      <w:lvlText w:val="%1."/>
      <w:numFmt w:val="decimal"/>
      <w:start w:val="8"/>
    </w:lvl>
  </w:abstractNum>
  <w:abstractNum w:abstractNumId="56">
    <w:nsid w:val="180115BE"/>
    <w:multiLevelType w:val="hybridMultilevel"/>
    <w:lvl w:ilvl="0">
      <w:lvlJc w:val="left"/>
      <w:lvlText w:val="%1."/>
      <w:numFmt w:val="decimal"/>
      <w:start w:val="9"/>
    </w:lvl>
  </w:abstractNum>
  <w:abstractNum w:abstractNumId="57">
    <w:nsid w:val="235BA86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280" Type="http://schemas.openxmlformats.org/officeDocument/2006/relationships/hyperlink" Target="https://www.sec.gov/Archives/edgar/data/1858848/000095017023040651/tnya-ex3_1.htm" TargetMode="External"/><Relationship Id="rId281" Type="http://schemas.openxmlformats.org/officeDocument/2006/relationships/hyperlink" Target="https://www.sec.gov/Archives/edgar/data/1858848/000095017023008934/tnya-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2025-11-10T06:24:27Z</dcterms:created>
  <dcterms:modified xsi:type="dcterms:W3CDTF">2025-11-10T06:24:27Z</dcterms:modified>
</cp:coreProperties>
</file>