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nya-20260331.htm"/>
      <w:bookmarkStart w:id="1" w:name="kstnya20260331"/>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quarterly period ended March 31, 2026</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transition period from ________ to _________</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Commission File Number: 001-40656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TENAYA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3886"/>
        <w:gridCol w:w="1306"/>
      </w:tblGrid>
      <w:tr>
        <w:trPr/>
        <w:tc>
          <w:tcPr>
            <w:tcW w:w="38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81-3789973</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8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171 Oyster Point Boulevard, Suite 500</w:t>
            </w:r>
          </w:p>
          <w:p>
            <w:pPr>
              <w:pStyle w:val="TableContents"/>
              <w:bidi w:val="0"/>
              <w:spacing w:before="0" w:after="15"/>
              <w:jc w:val="center"/>
              <w:rPr>
                <w:rFonts w:ascii="Times New Roman" w:hAnsi="Times New Roman"/>
                <w:sz w:val="22"/>
              </w:rPr>
            </w:pPr>
            <w:r>
              <w:rPr>
                <w:rFonts w:ascii="Times New Roman" w:hAnsi="Times New Roman"/>
                <w:b/>
                <w:color w:val="000000"/>
                <w:sz w:val="22"/>
              </w:rPr>
              <w:t>South</w:t>
            </w:r>
            <w:r>
              <w:rPr>
                <w:rFonts w:ascii="Times New Roman" w:hAnsi="Times New Roman"/>
                <w:color w:val="000000"/>
                <w:sz w:val="22"/>
              </w:rPr>
              <w:t xml:space="preserve"> </w:t>
            </w:r>
            <w:r>
              <w:rPr>
                <w:rFonts w:ascii="Times New Roman" w:hAnsi="Times New Roman"/>
                <w:b/>
                <w:color w:val="000000"/>
                <w:sz w:val="22"/>
              </w:rPr>
              <w:t>San Francisco, CA</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94080</w:t>
            </w:r>
          </w:p>
        </w:tc>
      </w:tr>
      <w:tr>
        <w:trPr/>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(650) 825-6990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TNYA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May 1, 2026, the registrant had 216,998,876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
        <w:gridCol w:w="636"/>
        <w:gridCol w:w="8259"/>
        <w:gridCol w:w="572"/>
      </w:tblGrid>
      <w:tr>
        <w:trPr/>
        <w:tc>
          <w:tcPr>
            <w:tcW w:w="73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balance_sheets">
              <w:r>
                <w:rPr>
                  <w:rStyle w:val="InternetLink"/>
                  <w:rFonts w:ascii="Times New Roman" w:hAnsi="Times New Roman"/>
                  <w:color w:val="0000FF"/>
                  <w:sz w:val="20"/>
                  <w:u w:val="single"/>
                </w:rPr>
                <w:t>Condensed Balance Sheets as of March 31, 2026 and December 31, 2025</w:t>
              </w:r>
            </w:hyperlink>
            <w:r>
              <w:rPr>
                <w:rFonts w:ascii="Times New Roman" w:hAnsi="Times New Roman"/>
                <w:color w:val="000000"/>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months ended March 31, 2026 and 2025</w:t>
              </w:r>
            </w:hyperlink>
            <w:hyperlink w:anchor="condensed_statements_operations_comprehe">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convertible_preferr">
              <w:r>
                <w:rPr>
                  <w:rStyle w:val="InternetLink"/>
                  <w:rFonts w:ascii="Times New Roman" w:hAnsi="Times New Roman"/>
                  <w:color w:val="000080"/>
                  <w:sz w:val="20"/>
                  <w:u w:val="single"/>
                </w:rPr>
                <w:t>Condensed Statements of Stockholders’ Equity</w:t>
              </w:r>
            </w:hyperlink>
            <w:r>
              <w:rPr>
                <w:rFonts w:ascii="Times New Roman" w:hAnsi="Times New Roman"/>
                <w:color w:val="0000FF"/>
                <w:sz w:val="20"/>
                <w:u w:val="single"/>
              </w:rPr>
              <w:t> for the three months ended March 31, 2026 and 2025</w:t>
            </w:r>
            <w:r>
              <w:rPr>
                <w:rFonts w:ascii="Times New Roman" w:hAnsi="Times New Roman"/>
                <w:color w:val="0000FF"/>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cash_flows">
              <w:r>
                <w:rPr>
                  <w:rStyle w:val="InternetLink"/>
                  <w:rFonts w:ascii="Times New Roman" w:hAnsi="Times New Roman"/>
                  <w:color w:val="0000FF"/>
                  <w:sz w:val="20"/>
                  <w:u w:val="single"/>
                </w:rPr>
                <w:t>Condensed Statements of Cash Flows for the three months ended March 31, 2026 and 2025</w:t>
              </w:r>
            </w:hyperlink>
            <w:hyperlink w:anchor="condensed_statements_cash_flows">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9"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unaudited_condensed_financial_s">
              <w:r>
                <w:rPr>
                  <w:rStyle w:val="InternetLink"/>
                  <w:rFonts w:ascii="Times New Roman" w:hAnsi="Times New Roman"/>
                  <w:color w:val="0000FF"/>
                  <w:sz w:val="20"/>
                  <w:u w:val="single"/>
                </w:rPr>
                <w:t>Notes to Unaudited Condensed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This Quarterly Report on Form 10-Q (Quarterly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vision to change the treatment paradigm for heart disease;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of our ongoing preclinical studies and ongoing or planned clinical trials to demonstrate safety and efficacy of our product candidates, and other positive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scope and likelihood of regulatory filings, approvals, and alignment, including timing of investigational new drugs (INDs), clinical trial applications (CTAs), U.S. Food and Drug Administration (FDA) approvals, and final regulatory approval of our current product candidates and any other future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develop and advance our current product candidates and programs into, and successfully complete,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manufacturing, commercialization, and marketing capabilities and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competitive position, potential advantages of our products compared to our competitors, and the success of competing therapies that are or may become available;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plans relating to the further development of our product candidates, including additional indications and targets we may pursue, and our belief in the potential applications of our current product candidates to additional indications and targets;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collaboration with Alnylam, including potential targets, research and development strategy, the timing and duration of the collaboration, expected payments, and the achievement of milestones;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existing laws and regulations and regulatory developments in the United States (U.S.), Europe and other jurisdictions;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rate and degree of market acceptance and clinical utility of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financial performance;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critical accounting policies on investors’ ability to understand our financial performance; and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our expectations regarding the period during which we will remain an emerging growth company under the </w:t>
      </w:r>
      <w:r>
        <w:rPr>
          <w:rFonts w:ascii="Times New Roman" w:hAnsi="Times New Roman"/>
          <w:color w:val="000000"/>
          <w:sz w:val="20"/>
        </w:rPr>
        <w:t>Jumpstart Our Business Startups Act of 2012 (</w:t>
      </w:r>
      <w:r>
        <w:rPr>
          <w:rFonts w:ascii="Times New Roman" w:hAnsi="Times New Roman"/>
          <w:color w:val="231F20"/>
          <w:sz w:val="20"/>
        </w:rPr>
        <w:t>JOBS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aps/>
          <w:color w:val="000000"/>
          <w:sz w:val="20"/>
        </w:rPr>
      </w:pPr>
      <w:bookmarkStart w:id="2" w:name="part_i_financial_information"/>
      <w:bookmarkEnd w:id="2"/>
      <w:r>
        <w:rPr>
          <w:rFonts w:ascii="Times New Roman" w:hAnsi="Times New Roman"/>
          <w:b/>
          <w:caps/>
          <w:color w:val="000000"/>
          <w:sz w:val="20"/>
        </w:rPr>
        <w:t>PART I – FINANCIAL INFORMATION</w:t>
      </w:r>
    </w:p>
    <w:p>
      <w:pPr>
        <w:pStyle w:val="TextBody"/>
        <w:bidi w:val="0"/>
        <w:spacing w:before="240" w:after="283"/>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8"/>
        <w:gridCol w:w="146"/>
        <w:gridCol w:w="211"/>
        <w:gridCol w:w="841"/>
        <w:gridCol w:w="166"/>
        <w:gridCol w:w="146"/>
        <w:gridCol w:w="213"/>
        <w:gridCol w:w="851"/>
        <w:gridCol w:w="393"/>
      </w:tblGrid>
      <w:tr>
        <w:trPr/>
        <w:tc>
          <w:tcPr>
            <w:tcW w:w="7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200,000,000 shares authorized as of March 31, 2026 and December 31, 2025; no 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1,000,000,000 shares authorized as of March 31, 2026 and December 31, 2025; 216,998,876 and 216,760,283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both"/>
        <w:rPr/>
      </w:pPr>
      <w:r>
        <w:rPr/>
        <w:t> </w:t>
      </w:r>
    </w:p>
    <w:tbl>
      <w:tblPr>
        <w:tblW w:w="8924" w:type="dxa"/>
        <w:jc w:val="left"/>
        <w:tblInd w:w="0" w:type="dxa"/>
        <w:tblLayout w:type="fixed"/>
        <w:tblCellMar>
          <w:top w:w="28" w:type="dxa"/>
          <w:left w:w="28" w:type="dxa"/>
          <w:bottom w:w="28" w:type="dxa"/>
          <w:right w:w="28" w:type="dxa"/>
        </w:tblCellMar>
      </w:tblPr>
      <w:tblGrid>
        <w:gridCol w:w="5671"/>
        <w:gridCol w:w="146"/>
        <w:gridCol w:w="196"/>
        <w:gridCol w:w="1006"/>
        <w:gridCol w:w="166"/>
        <w:gridCol w:w="146"/>
        <w:gridCol w:w="196"/>
        <w:gridCol w:w="1006"/>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216,883,164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109,869,278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1"/>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TENAYA THERAPEUTICS, INC.</w:t>
      </w:r>
    </w:p>
    <w:p>
      <w:pPr>
        <w:pStyle w:val="TextBody"/>
        <w:bidi w:val="0"/>
        <w:spacing w:before="240" w:after="283"/>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84"/>
        <w:gridCol w:w="146"/>
        <w:gridCol w:w="146"/>
        <w:gridCol w:w="146"/>
        <w:gridCol w:w="1006"/>
        <w:gridCol w:w="146"/>
        <w:gridCol w:w="146"/>
        <w:gridCol w:w="249"/>
        <w:gridCol w:w="442"/>
        <w:gridCol w:w="146"/>
        <w:gridCol w:w="146"/>
        <w:gridCol w:w="196"/>
        <w:gridCol w:w="691"/>
        <w:gridCol w:w="146"/>
        <w:gridCol w:w="146"/>
        <w:gridCol w:w="499"/>
        <w:gridCol w:w="884"/>
        <w:gridCol w:w="146"/>
        <w:gridCol w:w="146"/>
        <w:gridCol w:w="217"/>
        <w:gridCol w:w="834"/>
        <w:gridCol w:w="166"/>
        <w:gridCol w:w="146"/>
        <w:gridCol w:w="240"/>
        <w:gridCol w:w="852"/>
        <w:gridCol w:w="393"/>
      </w:tblGrid>
      <w:tr>
        <w:trPr/>
        <w:tc>
          <w:tcPr>
            <w:tcW w:w="1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216,760,283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216,998,876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106,189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19"/>
        <w:gridCol w:w="146"/>
        <w:gridCol w:w="146"/>
        <w:gridCol w:w="146"/>
        <w:gridCol w:w="1006"/>
        <w:gridCol w:w="146"/>
        <w:gridCol w:w="146"/>
        <w:gridCol w:w="249"/>
        <w:gridCol w:w="442"/>
        <w:gridCol w:w="146"/>
        <w:gridCol w:w="146"/>
        <w:gridCol w:w="196"/>
        <w:gridCol w:w="691"/>
        <w:gridCol w:w="146"/>
        <w:gridCol w:w="146"/>
        <w:gridCol w:w="479"/>
        <w:gridCol w:w="848"/>
        <w:gridCol w:w="166"/>
        <w:gridCol w:w="146"/>
        <w:gridCol w:w="217"/>
        <w:gridCol w:w="834"/>
        <w:gridCol w:w="166"/>
        <w:gridCol w:w="146"/>
        <w:gridCol w:w="236"/>
        <w:gridCol w:w="837"/>
        <w:gridCol w:w="413"/>
      </w:tblGrid>
      <w:tr>
        <w:trPr/>
        <w:tc>
          <w:tcPr>
            <w:tcW w:w="1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86,542,340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warrants in follow-on offering, net of issuance costs of $3,699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at-the market sales, net of issuance costs of $280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162,660,097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119,396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8"/>
        <w:gridCol w:w="146"/>
        <w:gridCol w:w="220"/>
        <w:gridCol w:w="780"/>
        <w:gridCol w:w="186"/>
        <w:gridCol w:w="164"/>
        <w:gridCol w:w="220"/>
        <w:gridCol w:w="746"/>
        <w:gridCol w:w="715"/>
      </w:tblGrid>
      <w:tr>
        <w:trPr/>
        <w:tc>
          <w:tcPr>
            <w:tcW w:w="7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(26,864</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3,731</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(19,234</w:t>
            </w:r>
          </w:p>
        </w:tc>
        <w:tc>
          <w:tcPr>
            <w:tcW w:w="1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(23,112</w:t>
            </w:r>
          </w:p>
        </w:tc>
        <w:tc>
          <w:tcPr>
            <w:tcW w:w="7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11,727</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22,302</w:t>
            </w:r>
          </w:p>
        </w:tc>
        <w:tc>
          <w:tcPr>
            <w:tcW w:w="7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pre-funded warrants, and warrants in follow-on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49,345</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at-the-market sales,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accrued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50,259</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49,449</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100,966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4,742</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81,306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54,191</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Components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53,772</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included in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81,306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54,191</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included in accounts payable and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Offering cost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Heading1"/>
        <w:bidi w:val="0"/>
        <w:spacing w:before="240" w:after="283"/>
        <w:jc w:val="center"/>
        <w:rPr>
          <w:rFonts w:ascii="Times New Roman" w:hAnsi="Times New Roman"/>
          <w:color w:val="000000"/>
          <w:sz w:val="20"/>
        </w:rPr>
      </w:pPr>
      <w:bookmarkStart w:id="8" w:name="notes_to_unaudited_condensed_financial_s"/>
      <w:bookmarkEnd w:id="8"/>
      <w:r>
        <w:rPr>
          <w:rFonts w:ascii="Times New Roman" w:hAnsi="Times New Roman"/>
          <w:color w:val="000000"/>
          <w:sz w:val="20"/>
        </w:rPr>
        <w:t xml:space="preserve">Notes to Unaudited Condensed Financial Statements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Description of the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with potential clinical utility in cardiac, metabolic and muscular conditions, including heart failure with preserved ejection fraction and Duchenne’s muscular dystrophy.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net losses since inception and expects such losses to continue in the future as it conducts research and development activities. As of March 31, 2026, the Company had an accumulated deficit of $624.3 million. The Company incurred a net loss of $19.3 million and $26.9 million during the three months ended March 31, 2026 and 2025, respectively. The Company had $80.9 million of cash and cash equivalents as of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and cash equivalents as of March 31, 2026, will be sufficient to fund the Company’s operations for at least the next twelve months following the date these financial statements are filed with the Securities and Exchange Commission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condensed balance sheet as of March 31, 2026, the interim condensed statements of operations and comprehensive loss, stockholders’ equity and cash flows for the three months ended March 31, 2026 and 2025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three months ended March 31, 2026, are not necessarily indicative of the results to be expected for the full year or for any other future annual or interim period. The condensed balance sheet as of December 31, 2025, included herein was derived from the audited financial statements as of that date. These condensed financial statements should be read in conjunction with the Company’s audited financial statements and the related notes thereto for the year ended December 31, 2025, included in the Company’s Annual Report on Form 10-K, filed with the SEC on March 11,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and revenue recognition related to collaboration agreements. The Company bases its estimates on historical experience, the current economic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environment, and on various other assumptions that are believed to be reasonable under the circumstances. Actual results may differ from those estimates or assumptions.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revisions to the Company’s significant accounting policies described in Note 2, </w:t>
      </w:r>
      <w:r>
        <w:rPr>
          <w:rFonts w:ascii="Times New Roman" w:hAnsi="Times New Roman"/>
          <w:i/>
          <w:color w:val="000000"/>
          <w:sz w:val="20"/>
        </w:rPr>
        <w:t>Summary of Significant Accounting Policies</w:t>
      </w:r>
      <w:r>
        <w:rPr>
          <w:rFonts w:ascii="Times New Roman" w:hAnsi="Times New Roman"/>
          <w:color w:val="000000"/>
          <w:sz w:val="20"/>
        </w:rPr>
        <w:t>, to the financial statements included in the Company’s Annual Report on Form 10-K for the year ended December 31, 2025, except for the accounts receivable, revenue recognition and contract liability policies related to the collaboration agreements entered into during the three months ended March 31, 2026, as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accounts receivable relates to licensing and collaboration arrangements. These accounts receivable are short-term in nature. The Company estimates expected credit losses over the life of the financial assets as of the reporting date based on relevant information about past events, current conditions, and reasonable and supportable forecasts. For the three months ended March 31, 2026 and 2025, the Company had no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in accordance with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w:t>
      </w:r>
      <w:r>
        <w:rPr>
          <w:rFonts w:ascii="Times New Roman" w:hAnsi="Times New Roman"/>
          <w:i/>
          <w:color w:val="000000"/>
          <w:sz w:val="20"/>
        </w:rPr>
        <w:t>.</w:t>
      </w:r>
      <w:r>
        <w:rPr>
          <w:rFonts w:ascii="Times New Roman" w:hAnsi="Times New Roman"/>
          <w:color w:val="000000"/>
          <w:sz w:val="20"/>
        </w:rPr>
        <w:t xml:space="preserve"> Revenue is recognized when promised goods or services are transferred to a customer in an amount that reflects the consideration to which the Company expects to be entitled. To determine the appropriate amount of revenue to be recognized for arrangements determined to be within the scope of ASC 606, the Company performs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the Company satisfies the performance obligations. At contract inception, once the contract is determined to be within the scope of ASC 606, the Company assesses the goods or services promised within each contract and determines those that are performance obligations, and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Collaborative Frameworks and Assessment Under ASC 808 and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arrangements that may include elements of collaboration with counterparties, such as joint steering committees or shared development activities. The Company evaluates each arrangement to determine whether the counterparty is acting in the capacity of a customer.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the extent that the Company transfers goods or services to a counterparty in its capacity as a customer, the Company accounts for such transactions under ASC 606 and presents the related amounts as revenue. Amounts that do not represent transactions with a customer are accounted for under ASC Topic 808, </w:t>
      </w:r>
      <w:r>
        <w:rPr>
          <w:rFonts w:ascii="Times New Roman" w:hAnsi="Times New Roman"/>
          <w:i/>
          <w:color w:val="000000"/>
          <w:sz w:val="20"/>
        </w:rPr>
        <w:t xml:space="preserve">Collaborative Arrangements </w:t>
      </w:r>
      <w:r>
        <w:rPr>
          <w:rFonts w:ascii="Times New Roman" w:hAnsi="Times New Roman"/>
          <w:color w:val="000000"/>
          <w:sz w:val="20"/>
        </w:rPr>
        <w:t>(ASC 808), and presented within the appropriate operating expense line item.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Licensing and Collaboration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licensing and collaboration arrangements that may include licenses to intellectual property, as well as research, development, or technical support services necessary to enable the licensee to utilize the underlying technology.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Identification of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the nature of its promises in these arrangements to determine whether they are distinct or should be combined. A license of intellectual property is combined with other promised services when the license is not distinct within the context of the contract, such as when the Company’s ongoing research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activities significantly affect the utility of the licensed intellectual property. When a license and related services are not distinct, they are accounted for as a single combined performance obligation.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Recognition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either at a point in time or over time, depending on the nature of the underlying performance obligations. Revenue is recognized at a point in time when control of a promised good or service transfers to the customer and the performance obligation is satisfied. Revenue is recognized over time when the Company satisfies a performance obligation over time, including when the Company’s performance does not create an asset with an alternative use and the Company has an enforceable right to payment for performance completed to date, or when the customer simultaneously receives and consumes the benefits of the Company’s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performance obligations satisfied over time, the Company measures progress using an appropriate method that faithfully depicts the transfer of control of the underlying services. Depending on the nature of the arrangement, the Company may use an input method, such as costs incurred relative to total estimated costs (cost-to-cost method), when such method best reflects the Company’s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arrangements that provide access to intellectual property or other rights over a defined period without additional performance obligations, revenue is recognized ratably over the contractual term.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Upfront 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license to the Company’s intellectual property is determined to be distinct from the other performance obligations identified in the arrangement, the Company will recognize revenue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regulatory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Sales-Based Royalties and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arrangements that include sales-based royalties, including milestone payments based on the volume of sales, the Company will determine whether the license is deemed to be the predominant item to which the royalties or sales-based milestones relate and if such is the case, the Company will recognize revenue at the later of (i) when the related sales occur, or (ii) when the performance obligation to which some or all of the royalty has been allocated has been satisfied (or partially satisfied).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consist primarily of upfront non-refundable payments received under collaboration agreements for which the related performance obligations have not yet been fully satisfied. The Company classifies amounts expected to be recognized as revenue within the next twelve months as contract liabilities, current, with the remainder classified as contract liabilities, noncurrent based on the estimated timing of revenue recognition.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No. 2025-05 (ASU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(ASU 2025-05),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The Company adopted this ASU on a prospective basis during the first quarter of 2026. The adoption did not have a material impact on the Company's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 xml:space="preserve">(ASU 2023-09), which requires disaggregated information about a reporting entity’s effective tax rate reconciliation as well as information on income taxes paid. ASU 2023-09 is effective for annual periods beginning after December 15, 2024. The Company adopted this ASU on a prospective basis during the fourth quarter of 2025 and updated its annual disclosures accordingly. The adoption of ASU 2023-09 did not have any effect on the Company's financial statements.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which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is effective for interim periods within annual reporting periods beginning after December 15, 2027, with early adoption permitted. ASU 2025-11 may be applied either prospectively or retrospectively for all prior periods presented. The Company is evaluating the impact of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 xml:space="preserve">Government Grants (Topic 832): Accounting for Government Grants Received by Business Entities </w:t>
      </w:r>
      <w:r>
        <w:rPr>
          <w:rFonts w:ascii="Times New Roman" w:hAnsi="Times New Roman"/>
          <w:color w:val="000000"/>
          <w:sz w:val="20"/>
        </w:rPr>
        <w:t>(ASU 2025-10), which adds guidance to Accounting Standards Codification (ASC) 832 on the recognition, measurement, and presentation of government grants. The guidance establishes a framework for accounting for government grants, including grants related to assets and grants related to income. ASU 2025-10 is effective for the Company for annual periods beginning after December 15, 2028, and interim periods within those annual periods. Early adoption is permitted. The Company is evaluating the impact of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(Topic 220): Reporting Comprehensive Income - Expense Disaggregation Disclosures, Disaggregation of Income Statement Expenses </w:t>
      </w:r>
      <w:r>
        <w:rPr>
          <w:rFonts w:ascii="Times New Roman" w:hAnsi="Times New Roman"/>
          <w:color w:val="000000"/>
          <w:sz w:val="20"/>
        </w:rPr>
        <w:t>(ASU 2024-03), which requires public companies to disclose, in interim and 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Collaboration Revenue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Alnylam Collaboration Agreement</w:t>
      </w:r>
    </w:p>
    <w:p>
      <w:pPr>
        <w:pStyle w:val="TextBody"/>
        <w:bidi w:val="0"/>
        <w:jc w:val="left"/>
        <w:rPr>
          <w:rFonts w:ascii="Times New Roman" w:hAnsi="Times New Roman"/>
          <w:color w:val="000000"/>
          <w:sz w:val="20"/>
        </w:rPr>
      </w:pPr>
      <w:r>
        <w:rPr>
          <w:rFonts w:ascii="Times New Roman" w:hAnsi="Times New Roman"/>
          <w:color w:val="000000"/>
          <w:sz w:val="20"/>
        </w:rPr>
        <w:t>In March 2026, the Company entered into a collaboration agreement with Alnylam Pharmaceuticals, Inc. (Alnylam), pursuant to which both parties agreed to a research collaboration to discover and validate novel gene targets for the potential treatment of cardiovascular disease.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Under the agreement, both parties nominated and aligned on a set of collaboration targets to move forward into the collaboration in late March 2026. Following such alignment, the parties will conduct in vitro and in vivo validation activities under a mutually agreed research plan and budget for a period of twenty-four (24) months (which may be extended for completion of the work). The Company expects to take primary responsibility for the performance of all in vitro and in vivo validation activities throughout the validation term; Alnylam will reimburse the Company for full-time employees and out-of-pocket costs and expenses incurred by the Company in accordance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with the agreed-upon research budget. After completion of the validation activities, Alnylam will be solely responsible, at its own expense, for all development, manufacture, regulatory and commercialization activities for any products directed to a collaboration target. The Company is also entitled to a non-refundable upfront platform access fee of up to $10.0 million. The upfront platform access fee was initially subject to variability based on the number of collaboration targets selected and became fixed at $10.0 million upon finalization of the collaboration target list. Reimbursement of research costs represents variable consideration and is excluded from the transaction price at contract inception as such amounts are fully constrained. These amounts are recognized as revenue as the related costs are incurred.</w:t>
      </w:r>
    </w:p>
    <w:p>
      <w:pPr>
        <w:pStyle w:val="TextBody"/>
        <w:bidi w:val="0"/>
        <w:jc w:val="left"/>
        <w:rPr>
          <w:rFonts w:ascii="Times New Roman" w:hAnsi="Times New Roman"/>
          <w:color w:val="000000"/>
          <w:sz w:val="20"/>
        </w:rPr>
      </w:pPr>
      <w:r>
        <w:rPr>
          <w:rFonts w:ascii="Times New Roman" w:hAnsi="Times New Roman"/>
          <w:color w:val="000000"/>
          <w:sz w:val="20"/>
        </w:rPr>
        <w:t>The Company concluded that the license and research activities represent a single performance obligation that is satisfied over time. Revenue is recognized using a cost-to-cost input method, which measures progress based on costs incurred relative to total estimated costs under the research plan. For the three months ended March 31, 2026, the Company recognized immaterial collaboration revenue related to the upfront platform access fee and reimbursable research costs incurred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remaining portion of the upfront payment is recorded as a contract liability and will be recognized as revenue over the remaining validation term as the underlying research services are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also receive future milestone payments of up to an aggregate of $1.1 billion under the agreement. Development and regulatory milestones will be recognized when the underlying milestone event is achieved and it becomes probable that a significant reversal of cumulative revenue recognized will not occur. Sales-based milestones will be recognized when the related sales occur. As of March 31, 2026, the Company is unable to predict or reasonably estimate the amount or timing of such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aggregate amount of the transaction price allocated to the remaining performance obligation under the collaboration agreement was approximately $10.0 million, which the Company expects to recognize over the remaining validation term of approximately 24 months. The transaction price allocated to the remaining performance obligation does not include variable consideration related to reimbursable research costs as they are contingent on actual qualifying costs incurred. Milestone payments were considered variable consideration and were also not included in the transaction price as they are fully constrained. The Company will reassess the transaction price at each reporting period as uncertainties are resolved.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activity in the Company’s total contract liabilities for the three months ended March 31, 2026. Additions to contract liabilities include $0.6 million of upfront payments from an additional immaterial collaboration arrangement. </w:t>
      </w:r>
    </w:p>
    <w:tbl>
      <w:tblPr>
        <w:tblW w:w="6098" w:type="dxa"/>
        <w:jc w:val="left"/>
        <w:tblInd w:w="0" w:type="dxa"/>
        <w:tblLayout w:type="fixed"/>
        <w:tblCellMar>
          <w:top w:w="28" w:type="dxa"/>
          <w:left w:w="28" w:type="dxa"/>
          <w:bottom w:w="28" w:type="dxa"/>
          <w:right w:w="28" w:type="dxa"/>
        </w:tblCellMar>
      </w:tblPr>
      <w:tblGrid>
        <w:gridCol w:w="4126"/>
        <w:gridCol w:w="246"/>
        <w:gridCol w:w="360"/>
        <w:gridCol w:w="1155"/>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revenue recognized from contract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as of March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consists of the following:</w:t>
      </w:r>
    </w:p>
    <w:tbl>
      <w:tblPr>
        <w:tblW w:w="6922"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44"/>
        <w:gridCol w:w="851"/>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months ended March 31, 2026 and 2025 was $1.8 million and $2.7 million,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and other current liabilities consist of the following:</w:t>
      </w:r>
    </w:p>
    <w:tbl>
      <w:tblPr>
        <w:tblW w:w="6415" w:type="dxa"/>
        <w:jc w:val="left"/>
        <w:tblInd w:w="0" w:type="dxa"/>
        <w:tblLayout w:type="fixed"/>
        <w:tblCellMar>
          <w:top w:w="28" w:type="dxa"/>
          <w:left w:w="28" w:type="dxa"/>
          <w:bottom w:w="28" w:type="dxa"/>
          <w:right w:w="28" w:type="dxa"/>
        </w:tblCellMar>
      </w:tblPr>
      <w:tblGrid>
        <w:gridCol w:w="3736"/>
        <w:gridCol w:w="146"/>
        <w:gridCol w:w="230"/>
        <w:gridCol w:w="625"/>
        <w:gridCol w:w="146"/>
        <w:gridCol w:w="146"/>
        <w:gridCol w:w="294"/>
        <w:gridCol w:w="801"/>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7010" w:type="dxa"/>
        <w:jc w:val="left"/>
        <w:tblInd w:w="0" w:type="dxa"/>
        <w:tblLayout w:type="fixed"/>
        <w:tblCellMar>
          <w:top w:w="28" w:type="dxa"/>
          <w:left w:w="28" w:type="dxa"/>
          <w:bottom w:w="28" w:type="dxa"/>
          <w:right w:w="28" w:type="dxa"/>
        </w:tblCellMar>
      </w:tblPr>
      <w:tblGrid>
        <w:gridCol w:w="4031"/>
        <w:gridCol w:w="246"/>
        <w:gridCol w:w="230"/>
        <w:gridCol w:w="625"/>
        <w:gridCol w:w="246"/>
        <w:gridCol w:w="246"/>
        <w:gridCol w:w="294"/>
        <w:gridCol w:w="801"/>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for office and manufacturing space in Union City, California. The lease commenced in May 2021 and has a ten-year term with one five-year renewal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operating lease activity during the three months ended March 31, 2026 was as follows (in thousands):</w:t>
      </w:r>
    </w:p>
    <w:tbl>
      <w:tblPr>
        <w:tblW w:w="8739" w:type="dxa"/>
        <w:jc w:val="left"/>
        <w:tblInd w:w="0" w:type="dxa"/>
        <w:tblLayout w:type="fixed"/>
        <w:tblCellMar>
          <w:top w:w="28" w:type="dxa"/>
          <w:left w:w="28" w:type="dxa"/>
          <w:bottom w:w="28" w:type="dxa"/>
          <w:right w:w="28" w:type="dxa"/>
        </w:tblCellMar>
      </w:tblPr>
      <w:tblGrid>
        <w:gridCol w:w="5806"/>
        <w:gridCol w:w="146"/>
        <w:gridCol w:w="272"/>
        <w:gridCol w:w="738"/>
        <w:gridCol w:w="188"/>
        <w:gridCol w:w="188"/>
        <w:gridCol w:w="272"/>
        <w:gridCol w:w="738"/>
        <w:gridCol w:w="3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2026, the Company’s operating leases had a weighted average remaining lease term of 3.9 years and a weighted average discount rate of 9.1%. As of December 31, 2025, the Company’s operating leases had a weighted average remaining lease term of 4.1 years and a weighted average discount rate of 9.1%. Future minimum lease payments under the Company’s operating leases as of March 31, 2026 were as follows: </w:t>
      </w:r>
    </w:p>
    <w:tbl>
      <w:tblPr>
        <w:tblW w:w="6113" w:type="dxa"/>
        <w:jc w:val="left"/>
        <w:tblInd w:w="0" w:type="dxa"/>
        <w:tblLayout w:type="fixed"/>
        <w:tblCellMar>
          <w:top w:w="28" w:type="dxa"/>
          <w:left w:w="28" w:type="dxa"/>
          <w:bottom w:w="28" w:type="dxa"/>
          <w:right w:w="28" w:type="dxa"/>
        </w:tblCellMar>
      </w:tblPr>
      <w:tblGrid>
        <w:gridCol w:w="4436"/>
        <w:gridCol w:w="146"/>
        <w:gridCol w:w="271"/>
        <w:gridCol w:w="869"/>
        <w:gridCol w:w="3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(nine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up to the time of termination.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March 31, 2026 and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officers. As of March 31, 2026 and December 31, 2025, the Company did not have any material indemnification claims that were probable or reasonably possible and, consequently, has not recorded any related liabilities.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Inducement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 On January 26, 2026, the Board approved an increase of 2,161,000 shares to the number of shares reserved under the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shares reserved and available for grant under the Inducement Plan as of March 31, 2026, was 2,686,000.</w:t>
      </w:r>
    </w:p>
    <w:p>
      <w:pPr>
        <w:pStyle w:val="TextBody"/>
        <w:bidi w:val="0"/>
        <w:spacing w:before="240" w:after="283"/>
        <w:jc w:val="left"/>
        <w:rPr>
          <w:rFonts w:ascii="Times New Roman" w:hAnsi="Times New Roman"/>
          <w:sz w:val="20"/>
        </w:rPr>
      </w:pPr>
      <w:r>
        <w:rPr>
          <w:rFonts w:ascii="Times New Roman" w:hAnsi="Times New Roman"/>
          <w:b/>
          <w:i/>
          <w:color w:val="000000"/>
          <w:sz w:val="20"/>
        </w:rPr>
        <w:t>Repricing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22, 2025, the Compensation Committee of the Company's Board approved a repricing of certain outstanding vested and unvested stock option awards under the Amended and Restated 2016 Equity Incentive Plan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repricing resulted in a total incremental stock-based compensation expense of $1.3 million, which was calculated using the Black-Scholes option pricing model, of which $1.0 million is associated with vested repriced options as of the Retention Date and were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three months ended March 31, 2026 and 2025, the Company recognized an immaterial amount and $0.4 million, respectively, of incremental stock-based compensation expense,.</w:t>
      </w:r>
    </w:p>
    <w:p>
      <w:pPr>
        <w:pStyle w:val="TextBody"/>
        <w:bidi w:val="0"/>
        <w:spacing w:before="24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Equity Incentive Plan (the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reserved and available for grant under the 2021 Plan as of March 31, 2026 was 1,513,435.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6097"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281"/>
        <w:gridCol w:w="619"/>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15,318,132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Stock option awards granted to employees generally vest over a four-year period. The contractual term of stock option awards is generally 10 years from the grant date. </w:t>
      </w:r>
    </w:p>
    <w:p>
      <w:pPr>
        <w:pStyle w:val="TextBody"/>
        <w:bidi w:val="0"/>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fair value of the Company’s stock option awards is estimated on the date of grant using the Black-Scholes option pricing model using the following assumptions: </w:t>
      </w:r>
    </w:p>
    <w:tbl>
      <w:tblPr>
        <w:tblW w:w="4135" w:type="dxa"/>
        <w:jc w:val="left"/>
        <w:tblInd w:w="0" w:type="dxa"/>
        <w:tblLayout w:type="fixed"/>
        <w:tblCellMar>
          <w:top w:w="28" w:type="dxa"/>
          <w:left w:w="28" w:type="dxa"/>
          <w:bottom w:w="28" w:type="dxa"/>
          <w:right w:w="28" w:type="dxa"/>
        </w:tblCellMar>
      </w:tblPr>
      <w:tblGrid>
        <w:gridCol w:w="2131"/>
        <w:gridCol w:w="146"/>
        <w:gridCol w:w="526"/>
        <w:gridCol w:w="146"/>
        <w:gridCol w:w="118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 – 4.5%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tbl>
      <w:tblPr>
        <w:tblW w:w="5597"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294"/>
        <w:gridCol w:w="65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Grant Date</w:t>
              <w:br/>
              <w:t xml:space="preserve">Fair Value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Company's 2021 Employee Stock Purchase Plan (the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March 31, 2026, 3,074,594 shares were reserved for future issuance under the ESPP. Under the Company’s ESPP,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six months. The ESPP permits eligible employees to purchase common stock through payroll deductions for up to 15% of qualified compensation, up to an annual limit of $25,000 per the Internal Revenue Service. For the three months ended March 31, 2026 and 2025, the stock-based compensation expense for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stock-based compensation recognized in the Company’s condensed statements of operations and comprehensive loss:</w:t>
      </w:r>
    </w:p>
    <w:tbl>
      <w:tblPr>
        <w:tblW w:w="5059"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 xml:space="preserve">Term Loan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Loan Agreement</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On August 6, 2024, the Company entered into the Loan Agreement with Silicon Valley Bank (SVB). </w:t>
      </w:r>
      <w:r>
        <w:rPr>
          <w:rFonts w:ascii="Times New Roman" w:hAnsi="Times New Roman"/>
          <w:color w:val="000000"/>
          <w:sz w:val="20"/>
        </w:rPr>
        <w:t>As of December 31, 2025, all of the term loan commitments expired under the Loan Agreement and no term loans were outstanding. The Loan Agreement provides that an additional loan of $20.0 million may be available at SVB’s discretion, subject to specified conditions.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Lender Warrant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Loan Agreement, the Company issued to SVB a warrant to purchase up to 171,848 shares of common stock (the Lender Warrant). </w:t>
      </w:r>
      <w:r>
        <w:rPr>
          <w:rFonts w:ascii="Times New Roman" w:hAnsi="Times New Roman"/>
          <w:color w:val="212529"/>
          <w:sz w:val="20"/>
        </w:rPr>
        <w:t>The Lender Warrant became exercisable for 73,649 shares upon closing (the Initial Lender Warrant)</w:t>
      </w:r>
      <w:r>
        <w:rPr>
          <w:rFonts w:ascii="Times New Roman" w:hAnsi="Times New Roman"/>
          <w:color w:val="000000"/>
          <w:sz w:val="20"/>
        </w:rPr>
        <w:t xml:space="preserve"> at an exercise price of $2.55 per share. The Initial Lender Warrant was classified as equity and its fair value was recorded in the stockholders’ equity section of the balance sheet. The Lender Warrant expires on August 6, 2034.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Lender Warrant was eligible to become exercisable for up to an additional 98,199 shares pro-rated based on amounts actually advanced for the various tranches under the Loan Agreement (the Remaining Lender Warrant). Following the expiration of the tranches under the Loan Agreement described in Note 7, </w:t>
      </w:r>
      <w:r>
        <w:rPr>
          <w:rFonts w:ascii="Times New Roman" w:hAnsi="Times New Roman"/>
          <w:i/>
          <w:color w:val="000000"/>
          <w:sz w:val="20"/>
        </w:rPr>
        <w:t>Term Loan</w:t>
      </w:r>
      <w:r>
        <w:rPr>
          <w:rFonts w:ascii="Times New Roman" w:hAnsi="Times New Roman"/>
          <w:color w:val="000000"/>
          <w:sz w:val="20"/>
        </w:rPr>
        <w:t xml:space="preserve">, the Remaining Lender Warrant expired as of December 31, 2025. </w:t>
      </w:r>
    </w:p>
    <w:p>
      <w:pPr>
        <w:pStyle w:val="TextBody"/>
        <w:bidi w:val="0"/>
        <w:spacing w:before="240" w:after="283"/>
        <w:jc w:val="left"/>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common stock under the ATM offering for net proceeds of $0.9 million, after deducting commissions and offering costs of $0.3 million. As of March 31, 2026, the Company may issue and sell up to approximately $69.8 million of common stock under the ATM offering.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15, 2025, the Company completed an underwritten public offering of 50,000,000 units, priced at a public offering price of $1.20 per unit, with each unit consisting of one share of its common stock and a warrant to purchase one share of its common stock at an exercise price of $1.50 per share, which will be immediately exercisable and will expire five years from the date of issuance (December 2025 Warrants), under its registration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 on Form S-3 (File No. 333-286005). The Company received net proceeds of $55.8 million, after deducting underwriting discounts and commissions of $3.6 million and other offering expenses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$0.70 per share, which will be immediately exercisable and expire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analyzed the December 2025, Series A, and Series B Warrants under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815-40, </w:t>
      </w:r>
      <w:r>
        <w:rPr>
          <w:rFonts w:ascii="Times New Roman" w:hAnsi="Times New Roman"/>
          <w:i/>
          <w:color w:val="000000"/>
          <w:sz w:val="20"/>
        </w:rPr>
        <w:t>Derivatives and Hedging - Contracts in Entity's Own Equity</w:t>
      </w:r>
      <w:r>
        <w:rPr>
          <w:rFonts w:ascii="Times New Roman" w:hAnsi="Times New Roman"/>
          <w:color w:val="000000"/>
          <w:sz w:val="20"/>
        </w:rPr>
        <w:t xml:space="preserve">, and concluded that they were not liabilities, were indexed to its own stock and met all other conditions for equity classification. Accordingly, the Company has classified them as permanent equity.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2026, total shares of common stock reserved for issuance, on an as-if converted basis, are as follows:</w:t>
      </w:r>
    </w:p>
    <w:tbl>
      <w:tblPr>
        <w:tblW w:w="8850" w:type="dxa"/>
        <w:jc w:val="left"/>
        <w:tblInd w:w="0" w:type="dxa"/>
        <w:tblLayout w:type="fixed"/>
        <w:tblCellMar>
          <w:top w:w="28" w:type="dxa"/>
          <w:left w:w="28" w:type="dxa"/>
          <w:bottom w:w="28" w:type="dxa"/>
          <w:right w:w="28" w:type="dxa"/>
        </w:tblCellMar>
      </w:tblPr>
      <w:tblGrid>
        <w:gridCol w:w="7126"/>
        <w:gridCol w:w="146"/>
        <w:gridCol w:w="146"/>
        <w:gridCol w:w="1141"/>
        <w:gridCol w:w="291"/>
      </w:tblGrid>
      <w:tr>
        <w:trP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17,836,069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Lender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Series A and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109,231,250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2024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1,513,435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3,074,594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184,414,997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w:t>
      </w:r>
    </w:p>
    <w:tbl>
      <w:tblPr>
        <w:tblW w:w="7762" w:type="dxa"/>
        <w:jc w:val="left"/>
        <w:tblInd w:w="0" w:type="dxa"/>
        <w:tblLayout w:type="fixed"/>
        <w:tblCellMar>
          <w:top w:w="28" w:type="dxa"/>
          <w:left w:w="28" w:type="dxa"/>
          <w:bottom w:w="28" w:type="dxa"/>
          <w:right w:w="28" w:type="dxa"/>
        </w:tblCellMar>
      </w:tblPr>
      <w:tblGrid>
        <w:gridCol w:w="1901"/>
        <w:gridCol w:w="146"/>
        <w:gridCol w:w="856"/>
        <w:gridCol w:w="146"/>
        <w:gridCol w:w="211"/>
        <w:gridCol w:w="676"/>
        <w:gridCol w:w="146"/>
        <w:gridCol w:w="146"/>
        <w:gridCol w:w="335"/>
        <w:gridCol w:w="551"/>
        <w:gridCol w:w="146"/>
        <w:gridCol w:w="146"/>
        <w:gridCol w:w="335"/>
        <w:gridCol w:w="551"/>
        <w:gridCol w:w="146"/>
        <w:gridCol w:w="146"/>
        <w:gridCol w:w="211"/>
        <w:gridCol w:w="67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62" w:type="dxa"/>
        <w:jc w:val="left"/>
        <w:tblInd w:w="0" w:type="dxa"/>
        <w:tblLayout w:type="fixed"/>
        <w:tblCellMar>
          <w:top w:w="28" w:type="dxa"/>
          <w:left w:w="28" w:type="dxa"/>
          <w:bottom w:w="28" w:type="dxa"/>
          <w:right w:w="28" w:type="dxa"/>
        </w:tblCellMar>
      </w:tblPr>
      <w:tblGrid>
        <w:gridCol w:w="1901"/>
        <w:gridCol w:w="146"/>
        <w:gridCol w:w="856"/>
        <w:gridCol w:w="146"/>
        <w:gridCol w:w="211"/>
        <w:gridCol w:w="676"/>
        <w:gridCol w:w="146"/>
        <w:gridCol w:w="146"/>
        <w:gridCol w:w="335"/>
        <w:gridCol w:w="551"/>
        <w:gridCol w:w="146"/>
        <w:gridCol w:w="146"/>
        <w:gridCol w:w="335"/>
        <w:gridCol w:w="551"/>
        <w:gridCol w:w="146"/>
        <w:gridCol w:w="146"/>
        <w:gridCol w:w="211"/>
        <w:gridCol w:w="67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Money market funds are classified as Level 1 because they are valued using quoted market prices in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the Company’s remaining financial assets and liabilities, which include cash, receivables and payables, approximate their fair values due to their short-term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The Company maintains a significant majority of its cash balances with a single financial institution, with the remainder held at other financial institutions. The Company’s cash balances exceed federally insured limits. The Company has not experienced any losses on its cash balances and management monitors the creditworthiness of these institutions and believes the Company is not exposed to significant credit risk related to these balances.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2025, the Company did not record any income tax expense or benefit. The Company has recorded a full valuation allowance against its U.S. federal and state deferred tax assets as the Company believes it is more likely than not that the benefit will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tbl>
      <w:tblPr>
        <w:tblW w:w="7539" w:type="dxa"/>
        <w:jc w:val="left"/>
        <w:tblInd w:w="0" w:type="dxa"/>
        <w:tblLayout w:type="fixed"/>
        <w:tblCellMar>
          <w:top w:w="28" w:type="dxa"/>
          <w:left w:w="28" w:type="dxa"/>
          <w:bottom w:w="28" w:type="dxa"/>
          <w:right w:w="28" w:type="dxa"/>
        </w:tblCellMar>
      </w:tblPr>
      <w:tblGrid>
        <w:gridCol w:w="4336"/>
        <w:gridCol w:w="146"/>
        <w:gridCol w:w="146"/>
        <w:gridCol w:w="1141"/>
        <w:gridCol w:w="146"/>
        <w:gridCol w:w="146"/>
        <w:gridCol w:w="146"/>
        <w:gridCol w:w="114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Lender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Series A and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177,140,968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126,088,894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Workforce Reduction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During the three months ended March 31, 2026, the Company recognized $0.2 million of additional charges related to its workforce reduction implemented in March 2025, primarily related to employee cash severance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continuing health benefits. The Company expects to incur substantially all of the remaining charges of $0.5 million by the end of the second quarter of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is a clinical-stage biotechnology company focused on discovering, developing and delivering curative therapies that address the underlying drivers of heart disease and has one operating and reportable segment. The Company’s chief operating decision maker (CODM) is the chief executive officer.</w:t>
      </w:r>
    </w:p>
    <w:p>
      <w:pPr>
        <w:pStyle w:val="TextBody"/>
        <w:bidi w:val="0"/>
        <w:jc w:val="left"/>
        <w:rPr>
          <w:rFonts w:ascii="Times New Roman" w:hAnsi="Times New Roman"/>
          <w:color w:val="000000"/>
          <w:sz w:val="20"/>
        </w:rPr>
      </w:pPr>
      <w:r>
        <w:rPr>
          <w:rFonts w:ascii="Times New Roman" w:hAnsi="Times New Roman"/>
          <w:color w:val="000000"/>
          <w:sz w:val="20"/>
        </w:rPr>
        <w:t xml:space="preserve">The statement of operations includes research and development expenses, general and administrative costs, interest income, and income taxes; the Company has not generated any product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the Company’s operating expenses by function and includes a reconciliation to net loss.</w:t>
      </w:r>
    </w:p>
    <w:tbl>
      <w:tblPr>
        <w:tblW w:w="6051" w:type="dxa"/>
        <w:jc w:val="left"/>
        <w:tblInd w:w="0" w:type="dxa"/>
        <w:tblLayout w:type="fixed"/>
        <w:tblCellMar>
          <w:top w:w="28" w:type="dxa"/>
          <w:left w:w="28" w:type="dxa"/>
          <w:bottom w:w="28" w:type="dxa"/>
          <w:right w:w="28" w:type="dxa"/>
        </w:tblCellMar>
      </w:tblPr>
      <w:tblGrid>
        <w:gridCol w:w="3016"/>
        <w:gridCol w:w="146"/>
        <w:gridCol w:w="229"/>
        <w:gridCol w:w="801"/>
        <w:gridCol w:w="180"/>
        <w:gridCol w:w="158"/>
        <w:gridCol w:w="229"/>
        <w:gridCol w:w="801"/>
        <w:gridCol w:w="4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(19,272</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2025, included in our Annual Report on Form 10-K filed with the Securities and Exchange Commission on March 11,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discovering, developing and delivering potentially curative therapies that address the underlying drivers of heart disease. Heart disease remains a leading cause of death in the world. We believe the emerging insights into the genetic causes of cardiovascular conditions and increased recognition for precision medicine approaches has created an opportunity to change the treatment paradigm for heart disease, and in doing so improve and extend the lives of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Early on in our company history, we invested in differentiated capabilities to enable modality-agnostic target identification and validation, anchored in human genetics and the use of human disease models. To support our initial focus on gene therapy candidates, we also internalized expertise in capsid engineering, novel promoter constructs and manufacturing anchored on the use of adeno-associated viruses (AAVs) as the method of delivery to the heart. That proprietary expertise has directly informed the discovery, design, optimization and production of our pipeline.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primarily focused on advancing our clinical-stage gene therapy candidates, TN-201 for </w:t>
      </w:r>
      <w:r>
        <w:rPr>
          <w:rFonts w:ascii="Times New Roman" w:hAnsi="Times New Roman"/>
          <w:i/>
          <w:color w:val="000000"/>
          <w:sz w:val="20"/>
        </w:rPr>
        <w:t>MYBPC3</w:t>
      </w:r>
      <w:r>
        <w:rPr>
          <w:rFonts w:ascii="Times New Roman" w:hAnsi="Times New Roman"/>
          <w:color w:val="000000"/>
          <w:sz w:val="20"/>
        </w:rPr>
        <w:t xml:space="preserve">-associated hypertrophic cardiomyopathy (HCM), and TN-401 for </w:t>
      </w:r>
      <w:r>
        <w:rPr>
          <w:rFonts w:ascii="Times New Roman" w:hAnsi="Times New Roman"/>
          <w:i/>
          <w:color w:val="000000"/>
          <w:sz w:val="20"/>
        </w:rPr>
        <w:t>PKP2</w:t>
      </w:r>
      <w:r>
        <w:rPr>
          <w:rFonts w:ascii="Times New Roman" w:hAnsi="Times New Roman"/>
          <w:color w:val="000000"/>
          <w:sz w:val="20"/>
        </w:rPr>
        <w:t>-associated arrhythmogenic right ventricular cardiomyopathy (ARVC). Each candidate is currently in Phase 1b/2 trials to establish the safety profile of two different doses in adults with disease due to pathogenic/likely pathogenic mutations. We anticipate that data generated to date and over the course of 2026 will support our pursuit of regulatory alignment on late-stage development for these gene therapy product candidates. A third internally discovered clinical-stage candidate, TN-301, is a highly specific small molecule inhibitor of histone deacetylase 6 (HDAC6) with potentially broad utility in heart failure with preserved ejection fraction (HFpEF) and other cardiac, metabolic, muscular and pulmonary diseases, including but not limited to Duchenne muscular dystrophy (DMD), genetic dilated cardiomyopathy (DCM) and pulmonary arterial hypertension (PAH).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programs arising out of our modality agnostic drug discovery platform that address relatively rare conditions our strategy is to develop, manufacture and commercialize at least some of these programs on our own, although we may selectively consider partnerships to access technology, accelerate our progress, or improve our global reach to patients. For example, in March 2026, we entered into a multi-target research collaboration with Alnylam Pharmaceuticals, Inc. (Alnylam), to identify and validate novel gene targets for the potential treatment of cardiovascular disease. Importantly, this agreement takes advantage of our modality agnostic discovery know-how and provides reimbursement for research efforts. Where our discovery efforts lead to product candidates intended for relatively prevalent indications, our strategy is to out-license or partner such programs.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TN-201 is our investigational gene therapy for individuals with HCM due to </w:t>
      </w:r>
      <w:r>
        <w:rPr>
          <w:rFonts w:ascii="Times New Roman" w:hAnsi="Times New Roman"/>
          <w:i/>
          <w:color w:val="000000"/>
          <w:sz w:val="20"/>
        </w:rPr>
        <w:t>MYBPC3</w:t>
      </w:r>
      <w:r>
        <w:rPr>
          <w:rFonts w:ascii="Times New Roman" w:hAnsi="Times New Roman"/>
          <w:color w:val="000000"/>
          <w:sz w:val="20"/>
        </w:rPr>
        <w:t xml:space="preserve"> gene mutations. These mutations result in a deficiency of myosin-binding protein C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AAV9 capsid and is designed to deliver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working </w:t>
      </w:r>
      <w:r>
        <w:rPr>
          <w:rFonts w:ascii="Times New Roman" w:hAnsi="Times New Roman"/>
          <w:i/>
          <w:color w:val="000000"/>
          <w:sz w:val="20"/>
        </w:rPr>
        <w:t xml:space="preserve">MYBPC3 </w:t>
      </w:r>
      <w:r>
        <w:rPr>
          <w:rFonts w:ascii="Times New Roman" w:hAnsi="Times New Roman"/>
          <w:color w:val="000000"/>
          <w:sz w:val="20"/>
        </w:rPr>
        <w:t xml:space="preserve">gene to specific cells of the heart in order to produce MyBP-C and thereby potentially slow or even reverse the course of </w:t>
      </w:r>
      <w:r>
        <w:rPr>
          <w:rFonts w:ascii="Times New Roman" w:hAnsi="Times New Roman"/>
          <w:i/>
          <w:color w:val="000000"/>
          <w:sz w:val="20"/>
        </w:rPr>
        <w:t>MYBPC3</w:t>
      </w:r>
      <w:r>
        <w:rPr>
          <w:rFonts w:ascii="Times New Roman" w:hAnsi="Times New Roman"/>
          <w:color w:val="000000"/>
          <w:sz w:val="20"/>
        </w:rPr>
        <w:t>-associated HCM following a single infusion.</w:t>
      </w:r>
    </w:p>
    <w:p>
      <w:pPr>
        <w:pStyle w:val="TextBody"/>
        <w:bidi w:val="0"/>
        <w:spacing w:before="120" w:after="283"/>
        <w:jc w:val="left"/>
        <w:rPr>
          <w:rFonts w:ascii="Times New Roman" w:hAnsi="Times New Roman"/>
          <w:sz w:val="20"/>
        </w:rPr>
      </w:pPr>
      <w:r>
        <w:rPr>
          <w:rFonts w:ascii="Times New Roman" w:hAnsi="Times New Roman"/>
          <w:color w:val="000000"/>
          <w:sz w:val="20"/>
        </w:rPr>
        <w:t>MyPEAK</w:t>
      </w:r>
      <w:r>
        <w:rPr>
          <w:rFonts w:ascii="Times New Roman" w:hAnsi="Times New Roman"/>
          <w:color w:val="000000"/>
          <w:sz w:val="13"/>
        </w:rPr>
        <w:t>TM</w:t>
      </w:r>
      <w:r>
        <w:rPr>
          <w:rFonts w:ascii="Times New Roman" w:hAnsi="Times New Roman"/>
          <w:color w:val="000000"/>
          <w:sz w:val="20"/>
        </w:rPr>
        <w:t xml:space="preserve">-1 is our Phase 1b/2 multi-center, open-label clinical trial, designed to assess the safety, tolerability and efficacy of a one-time intravenous infusion of TN-201. Enrollment and dosing in both the 3E13 vg/kg dose (Cohort 1) and 6E13 vg/kg dose (Cohort 2) cohorts are complete. A per protocol review by the independent data safety monitoring board (DSMB) of all available data from the first six patients dosed determined that TN-201 had an acceptable safety profile to proceed with dosing expansion cohorts at either dose level. We are enrolling additional patients in MyPEAK-1 to further characterize dose response and inform dose selection for late-stage clinical trials.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2025, we presented interim data from MyPEAK-1 at the American Heart Association’s Scientific Sessions 2025, with simultaneous publication in </w:t>
      </w:r>
      <w:r>
        <w:rPr>
          <w:rFonts w:ascii="Times New Roman" w:hAnsi="Times New Roman"/>
          <w:i/>
          <w:color w:val="000000"/>
          <w:sz w:val="20"/>
        </w:rPr>
        <w:t>Cardiovascular Research</w:t>
      </w:r>
      <w:r>
        <w:rPr>
          <w:rFonts w:ascii="Times New Roman" w:hAnsi="Times New Roman"/>
          <w:color w:val="000000"/>
          <w:sz w:val="20"/>
        </w:rPr>
        <w:t>. Interim data presented included safety, biopsy and efficacy results for the three patients enrolled in Cohort 1 with follow-up ranging from Week 52-78, and safety and available assessments for the patients in Cohort 2 who had post-dose assessments ranging from Week 12-26 as of the July 2025 data cut-off. Patient 5 was lost to further follow-up after week 12. TN-201 was generally well tolerated across both dose cohorts and no dose-limiting toxicities were observed. Reversible, asymptomatic liver enzyme elevations (Grade 1-3) were the most common treatment-related adverse events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DNA and RNA analyses of cardiac biopsy samples from all three patients in Cohort 1 showed evidence of sustained presence of TN-201 DNA in the heart and increasing mRNA expression over time. The first patient in Cohort 2 with serial biopsy data (Patient 6) had a greater than 2-fold increase in cardiac transduction and RNA expression at Week 12 relative to the average for these measures observed across Cohort 1 patients. MyBP-C protein levels across Cohort 1 increased over time by an average of 4% from the first biopsy taken to Week 52. The first evaluable patient in Cohort 2 (Patient 6) demonstrated a clear dose response, and early MyBP-C expression increased by 14% after only 12 weeks post-dose.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patients with greater than 26 weeks of follow-up demonstrated improvement in at least one parameter of disease, across biomarkers, hypertrophy and heart failure symptoms. Cardiac troponin I, a predictive risk factor of adverse cardiac outcomes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All three patients in Cohort 1 showed evidence of significant improvement in one or more measures of hypertrophy at Week 52, with notable reductions in left ventricular posterior wall thickness (LVPWT) of between 21% and 39%. Greater LVPWT is an independent risk factor for reduced long-term survival after septal myectomy. Two out of three Cohort 1 patients saw reductions from baseline in left ventricular mass index (LVMI) of between 12% and 22% at Week 52. In the first Cohort 2 patient for whom Week 26 data were available (Patient 4), cardiac troponin I remained within the normal range and NT-proBNP remained stable. LVPWT and LVMI also remained stable at Week 26. New York Heart Association (NYHA) classification, a measure of the impact of heart failure symptoms on activities of daily living, improved in all patients by at least one class by Week 26, and all Cohort 1 patients were NYHA Class I (asymptomatic) as of the data cutoff date. Longer-term follow-up for all patients is required to further inform our understanding of TN-201’s potential as a treatment for </w:t>
      </w:r>
      <w:r>
        <w:rPr>
          <w:rFonts w:ascii="Times New Roman" w:hAnsi="Times New Roman"/>
          <w:i/>
          <w:color w:val="000000"/>
          <w:sz w:val="20"/>
        </w:rPr>
        <w:t>MYBPC3</w:t>
      </w:r>
      <w:r>
        <w:rPr>
          <w:rFonts w:ascii="Times New Roman" w:hAnsi="Times New Roman"/>
          <w:color w:val="000000"/>
          <w:sz w:val="20"/>
        </w:rPr>
        <w:t>-associated HCM.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present longer-term Cohort 1 and interim Cohort 2 data in the second quarter of 2026. In the second half of 2026, one-year Cohort 2 data and two-year Cohort 1 data from MyPEAK-1 are anticipated. We are also pursuing alignment with regulatory authorities on pivotal trial plans for TN-201 and plan to provide an update on progress by year end.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advances in the treatment of the obstructive HCM in recent years with the approval of cardiac myosin inhibitors, there are no approved treatments for those with the non-obstructive form of disease or those diagnosed before the age of 18. Recognizing the urgent medical need among pediatric patients, we initiated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support and expedite the development of TN-201 in the pediatric patient population. MyClimb completed enrollment of more than 200 individuals and is believed to be the largest study of pediatric individuals with </w:t>
      </w:r>
      <w:r>
        <w:rPr>
          <w:rFonts w:ascii="Times New Roman" w:hAnsi="Times New Roman"/>
          <w:i/>
          <w:color w:val="000000"/>
          <w:sz w:val="20"/>
        </w:rPr>
        <w:t>MYBPC3</w:t>
      </w:r>
      <w:r>
        <w:rPr>
          <w:rFonts w:ascii="Times New Roman" w:hAnsi="Times New Roman"/>
          <w:color w:val="000000"/>
          <w:sz w:val="20"/>
        </w:rPr>
        <w:t>-associated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granted TN-201 Fast Track, Orphan Drug and Rare Pediatric Drug Designations. TN-201 has also received orphan medicinal product designation from the European Commission (EC).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TN-401 is our AAV9-based gene therapy for the treatment of ARVC due to disease-causing variants in the </w:t>
      </w:r>
      <w:r>
        <w:rPr>
          <w:rFonts w:ascii="Times New Roman" w:hAnsi="Times New Roman"/>
          <w:i/>
          <w:color w:val="000000"/>
          <w:sz w:val="20"/>
        </w:rPr>
        <w:t xml:space="preserve">PKP2 </w:t>
      </w:r>
      <w:r>
        <w:rPr>
          <w:rFonts w:ascii="Times New Roman" w:hAnsi="Times New Roman"/>
          <w:color w:val="000000"/>
          <w:sz w:val="20"/>
        </w:rPr>
        <w:t xml:space="preserve">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hAnsi="Times New Roman"/>
          <w:i/>
          <w:color w:val="000000"/>
          <w:sz w:val="20"/>
        </w:rPr>
        <w:t>PKP2</w:t>
      </w:r>
      <w:r>
        <w:rPr>
          <w:rFonts w:ascii="Times New Roman" w:hAnsi="Times New Roman"/>
          <w:color w:val="000000"/>
          <w:sz w:val="20"/>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hAnsi="Times New Roman"/>
          <w:i/>
          <w:color w:val="000000"/>
          <w:sz w:val="20"/>
        </w:rPr>
        <w:t xml:space="preserve">PKP2 </w:t>
      </w:r>
      <w:r>
        <w:rPr>
          <w:rFonts w:ascii="Times New Roman" w:hAnsi="Times New Roman"/>
          <w:color w:val="000000"/>
          <w:sz w:val="20"/>
        </w:rPr>
        <w:t xml:space="preserve">gene to specific cells of the heart in order to produce plakophilin protein and thereby potentially slow or even reverse the course of </w:t>
      </w:r>
      <w:r>
        <w:rPr>
          <w:rFonts w:ascii="Times New Roman" w:hAnsi="Times New Roman"/>
          <w:i/>
          <w:color w:val="000000"/>
          <w:sz w:val="20"/>
        </w:rPr>
        <w:t>PKP2</w:t>
      </w:r>
      <w:r>
        <w:rPr>
          <w:rFonts w:ascii="Times New Roman" w:hAnsi="Times New Roman"/>
          <w:color w:val="000000"/>
          <w:sz w:val="20"/>
        </w:rPr>
        <w:t>-associated ARVC following a single infusion.</w:t>
      </w:r>
    </w:p>
    <w:p>
      <w:pPr>
        <w:pStyle w:val="TextBody"/>
        <w:bidi w:val="0"/>
        <w:spacing w:before="120" w:after="283"/>
        <w:jc w:val="left"/>
        <w:rPr>
          <w:rFonts w:ascii="Times New Roman" w:hAnsi="Times New Roman"/>
          <w:sz w:val="20"/>
        </w:rPr>
      </w:pPr>
      <w:r>
        <w:rPr>
          <w:rFonts w:ascii="Times New Roman" w:hAnsi="Times New Roman"/>
          <w:color w:val="000000"/>
          <w:sz w:val="20"/>
        </w:rPr>
        <w:t>RIDGE</w:t>
      </w:r>
      <w:r>
        <w:rPr>
          <w:rFonts w:ascii="Times New Roman" w:hAnsi="Times New Roman"/>
          <w:color w:val="000000"/>
          <w:sz w:val="13"/>
        </w:rPr>
        <w:t>TM</w:t>
      </w:r>
      <w:r>
        <w:rPr>
          <w:rFonts w:ascii="Times New Roman" w:hAnsi="Times New Roman"/>
          <w:color w:val="000000"/>
          <w:sz w:val="20"/>
        </w:rPr>
        <w:t>-1 is our Phase 1b/2 multi-center, open-label clinical trial, designed to assess the safety, tolerability and efficacy of a one-time intravenous infusion of TN-401. Enrollment and dosing in both the 3E13 vg/kg dose (Cohort 1) and 6E13 vg/kg dose (Cohort 2) cohorts are complete. In January 2026, the DSMB for RIDGE-1 reviewed all available data from Cohort 1 and Cohort 2, determined that TN-401 had an acceptable safety profile and endorsed proceeding into expansion cohorts at either dose level, per protocol. We are enrolling additional patients in RIDGE-1 to inform dose selection for late-stage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presented interim data from RIDGE-1, including safety, biopsy and arrhythmia results as of the October 2025 data cut-off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Additionally, no Cohort 1 patients had experienced an implantable cardioverter defibrillator (ICD) shock post-treatment and all had tapered off prophylactic immunosuppressive medicines.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Serial biopsies taken at baseline and Week 8 post dose for Patients 1 and 2 provided consistent evidence of TN-401 transduction and expression. At Week 8, TN-401 robust mRNA expression was observed across all three patients. Post-treatment protein levels of PKP2 increased significantly in Patients 1 and 2 by a mean of 10% from baseline to Week 8 as measured by liquid chromatography–mass spectrometry normalized to myosin heavy chain, a motor protein in the sarcomere found exclusively in cardiomyocytes. Change in PKP2 protein levels for Patient 3 appeared slightly lower than baseline despite having the highest levels of TN-401 mRNA expression across Cohort 1. This confounding result for PKP2 protein level falls within the standard deviation of these methods and may be due to the inherent variability in sampling biopsies. A second post-dose biopsy will be collected and analyzed from Week 52 per protocol for all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three patients in Cohort 1 had severe electrical instability with a history of ventricular arrhythmias and had undergone a catheter ablation procedure, an elective procedure to reduce ventricular tachycardia recurrence. At baseline, each Cohort 1 patient met the enrollment criteria of greater than 500 premature ventricular contractions per 24 hours as measured over a seven-day monitoring period prior to dosing. Two of three patients experienced significant and clinically meaningful improvements in electrical instability, as measured by seven-day ambulatory monitoring of premature ventricular contractions (PVCs) following dosing. Patient 1 experienced a decrease in PVCs by 46% as of their most recent (Week 40) visit, while Patient 2 experienced a decrease in PVCs of 89% as of their most recent (Week 32) visit. Non-sustained ventricular tachycardia (NSVT) burden was eliminated or stable six months after treatment with TN-401. Patient 1 had a low NSVT count at baseline, which remained low at their most recent visit (Week 40). Patient 2 also had a substantial NSVT burden of 78 counts per 24-hour period at baseline that dropped to zero and remained stable by Week 32. Meaningful changes in PVCs or NSVTs were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nor observed for Patient 3 as of the data cut off, which was less than six months following treatment with TN-401. Other potential measures of clinical response including QRS duration, T wave inversions, heart function and NYHA class were in the normal range or remained stable for all three Cohort 1 patients during the post-dose follow-up period. We expect to present one-year Cohort 1 data and initial Cohort 2 data in the first half of 2026, with interim Cohort 2 results anticipated in the second half of the year. We are also pursuing alignment with regulatory authorities on pivotal trial plans for TN-401 and plan to provide an update on progress by year end.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were awarded a Clinical Grant (Clin2) of $8.0 million from CIRM, a state of California Agency that funds regenerative medicine, stem cell, and gene therapy research. Proceeds from the grant will help fund clinical trial costs for our ongoing Phase 1b/2 RIDGE-1 clinical trial of TN-401 gene therapy. RIDGE-1 is being conducted at multiple clinical trial sites with ARVC expertise at leading cardiology centers in the U.S. and United Kingdom.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support our development efforts for TN-401, we have initiated RIDGE, a global noninterventional study to collect treatment history and seroprevalence to AAV9 antibodies data among ARVC patients who carry pathogenic or likely pathogenic </w:t>
      </w:r>
      <w:r>
        <w:rPr>
          <w:rFonts w:ascii="Times New Roman" w:hAnsi="Times New Roman"/>
          <w:i/>
          <w:color w:val="000000"/>
          <w:sz w:val="20"/>
        </w:rPr>
        <w:t xml:space="preserve">PKP2 </w:t>
      </w:r>
      <w:r>
        <w:rPr>
          <w:rFonts w:ascii="Times New Roman" w:hAnsi="Times New Roman"/>
          <w:color w:val="000000"/>
          <w:sz w:val="20"/>
        </w:rPr>
        <w:t xml:space="preserve">gene mutations. Interim data from RIDGE, believed to be the largest natural history study of adults with </w:t>
      </w:r>
      <w:r>
        <w:rPr>
          <w:rFonts w:ascii="Times New Roman" w:hAnsi="Times New Roman"/>
          <w:i/>
          <w:color w:val="000000"/>
          <w:sz w:val="20"/>
        </w:rPr>
        <w:t>PKP2</w:t>
      </w:r>
      <w:r>
        <w:rPr>
          <w:rFonts w:ascii="Times New Roman" w:hAnsi="Times New Roman"/>
          <w:color w:val="000000"/>
          <w:sz w:val="20"/>
        </w:rPr>
        <w:t xml:space="preserve">-associated ARVC, was presented at Heart Rhythm Society’s annual meeting in April 2025. Adults with </w:t>
      </w:r>
      <w:r>
        <w:rPr>
          <w:rFonts w:ascii="Times New Roman" w:hAnsi="Times New Roman"/>
          <w:i/>
          <w:color w:val="000000"/>
          <w:sz w:val="20"/>
        </w:rPr>
        <w:t>PKP2</w:t>
      </w:r>
      <w:r>
        <w:rPr>
          <w:rFonts w:ascii="Times New Roman" w:hAnsi="Times New Roman"/>
          <w:color w:val="000000"/>
          <w:sz w:val="20"/>
        </w:rPr>
        <w:t xml:space="preserve">-associated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w:t>
      </w:r>
      <w:r>
        <w:rPr>
          <w:rFonts w:ascii="Times New Roman" w:hAnsi="Times New Roman"/>
          <w:i/>
          <w:color w:val="000000"/>
          <w:sz w:val="20"/>
        </w:rPr>
        <w:t>PKP2</w:t>
      </w:r>
      <w:r>
        <w:rPr>
          <w:rFonts w:ascii="Times New Roman" w:hAnsi="Times New Roman"/>
          <w:color w:val="000000"/>
          <w:sz w:val="20"/>
        </w:rPr>
        <w:t xml:space="preserve"> mutations. A large majority of adults with </w:t>
      </w:r>
      <w:r>
        <w:rPr>
          <w:rFonts w:ascii="Times New Roman" w:hAnsi="Times New Roman"/>
          <w:i/>
          <w:color w:val="000000"/>
          <w:sz w:val="20"/>
        </w:rPr>
        <w:t>PKP2</w:t>
      </w:r>
      <w:r>
        <w:rPr>
          <w:rFonts w:ascii="Times New Roman" w:hAnsi="Times New Roman"/>
          <w:color w:val="000000"/>
          <w:sz w:val="20"/>
        </w:rPr>
        <w:t>-associated ARVC would be eligible to participate in RIDGE-1 based on low levels of pre-existing antibodies to AAV9.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TN-401 has received Orphan Drug and Fast Track designation from the FDA and orphan medicinal product designation from the EC.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also advancing TN-301, a highly specific HDAC6 inhibitor that has potential utility in HFpEF and other cardiac, metabolic, muscular and pulmonary diseases. TN-301 was initially discovered and validated as having cardioprotective qualities in preclinical studies of a rapidly worsening mouse model of </w:t>
      </w:r>
      <w:r>
        <w:rPr>
          <w:rFonts w:ascii="Times New Roman" w:hAnsi="Times New Roman"/>
          <w:i/>
          <w:color w:val="000000"/>
          <w:sz w:val="20"/>
        </w:rPr>
        <w:t xml:space="preserve">BAG3 </w:t>
      </w:r>
      <w:r>
        <w:rPr>
          <w:rFonts w:ascii="Times New Roman" w:hAnsi="Times New Roman"/>
          <w:color w:val="000000"/>
          <w:sz w:val="20"/>
        </w:rPr>
        <w:t xml:space="preserve">mutant DCM. HDAC6 is a cytoplasmic enzyme known to regulate diverse cellular processes. Based on TN-301’s multi-modal mechanism of action, that includes reductions in inflammation, oxidative stress, fibrosis, and metabolic dysregulation, as well as improvements in autophagy, protein quality control, mitochondrial metabolism, and lipid metabolism, TN-301 may be well suited to the treatment of HFpEF, as well as other cardiac, metabolic, muscular and pulmonary disorders where there is strong alignment between TN-301’s mechanism and the pathophysiology of disease.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Extensive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 xml:space="preserve">in vivo </w:t>
      </w:r>
      <w:r>
        <w:rPr>
          <w:rFonts w:ascii="Times New Roman" w:hAnsi="Times New Roman"/>
          <w:color w:val="000000"/>
          <w:sz w:val="20"/>
        </w:rPr>
        <w:t>studies have also shown that TN-301 addresses diverse pathological processes with direct and systemic benefits in models of HFpEF. In comparative studies, selective HDAC6 inhibition as a single agent has been shown to have similar efficacy to empagliflozin, an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including those outside of cardiology in which inflammation, fibrosis and metabolic dysregulation may be implicated.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Based on our observations of TN-301’s mechanism and evidence of efficacy for an approved pan-HDAC agent, we are also exploring the development of TN-301 for DMD, a condition caused by genetic mutations in the </w:t>
      </w:r>
      <w:r>
        <w:rPr>
          <w:rFonts w:ascii="Times New Roman" w:hAnsi="Times New Roman"/>
          <w:i/>
          <w:color w:val="000000"/>
          <w:sz w:val="20"/>
        </w:rPr>
        <w:t>dystrophin</w:t>
      </w:r>
      <w:r>
        <w:rPr>
          <w:rFonts w:ascii="Times New Roman" w:hAnsi="Times New Roman"/>
          <w:color w:val="000000"/>
          <w:sz w:val="20"/>
        </w:rPr>
        <w:t xml:space="preserve"> gene, leading to absence of functional dystrophin protein in the heart and skeletal muscle. The muscle pathologies that underlie muscle wasting in the absence of dystrophin include inflammation, fibrosis, altered regeneration, mitochondrial dysfunction and disrupted autophagic flux – all processes that can be improved by HDAC6 inhibition.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Muscular Dystrophy Association Clinical &amp; Scientific Congress 2026, we presented results from preclinical studies comparing TN-301 with the FDA-approved pan HDAC inhibitor, givinostat, in a well-established mouse model of DMD, and in human induced Pluripotent Stem Cell (iPSC)-derived cardiomyocytes from DMD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patients. After five weeks of once-daily oral dosing, TN-301 showed a statistically significant increase in forelimb grip strength in </w:t>
      </w:r>
      <w:r>
        <w:rPr>
          <w:rFonts w:ascii="Times New Roman" w:hAnsi="Times New Roman"/>
          <w:i/>
          <w:color w:val="000000"/>
          <w:sz w:val="20"/>
        </w:rPr>
        <w:t>mdx</w:t>
      </w:r>
      <w:r>
        <w:rPr>
          <w:rFonts w:ascii="Times New Roman" w:hAnsi="Times New Roman"/>
          <w:color w:val="000000"/>
          <w:sz w:val="20"/>
        </w:rPr>
        <w:t xml:space="preserve"> mice at both 3 mg/kg and 30 mg/kg compared to vehicle with both doses of TN-301 achieving wildtype levels of grip strength after five 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 Taken together, these data support advancement of TN-301 as a potential DMD therapy with benefits for both skeletal and cardiac muscle and reduced liabilities compared to pan-HDAC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advance TN-301 toward clinical trials in patients in order to generate proof-of-activity data, with HFpEF and DMD being among the most promising potential indications identified to date. Consistent with our strategy, we believe that TN-301’s late-stage development and commercialization in large indications would best be led by a strategic pharmaceutical partner with global resources to explore the full potential of the molecule.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granted both Orphan Drug and Rare Pediatric Drug Designations to TN-301 as a treatment for DMD.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clinical-stage candidates, we have multiple early-stage programs using various therapeutic approaches, including gene addition, gene editing, gene silencing, and cellular regeneration to address other forms of rare and/or prevalent forms of heart disease. We do not have any products approve for sale and have not generated any product revenue to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7365" w:type="dxa"/>
        <w:jc w:val="left"/>
        <w:tblInd w:w="0" w:type="dxa"/>
        <w:tblLayout w:type="fixed"/>
        <w:tblCellMar>
          <w:top w:w="28" w:type="dxa"/>
          <w:left w:w="28" w:type="dxa"/>
          <w:bottom w:w="28" w:type="dxa"/>
          <w:right w:w="28" w:type="dxa"/>
        </w:tblCellMar>
      </w:tblPr>
      <w:tblGrid>
        <w:gridCol w:w="2596"/>
        <w:gridCol w:w="146"/>
        <w:gridCol w:w="211"/>
        <w:gridCol w:w="736"/>
        <w:gridCol w:w="166"/>
        <w:gridCol w:w="146"/>
        <w:gridCol w:w="211"/>
        <w:gridCol w:w="736"/>
        <w:gridCol w:w="166"/>
        <w:gridCol w:w="146"/>
        <w:gridCol w:w="211"/>
        <w:gridCol w:w="631"/>
        <w:gridCol w:w="166"/>
        <w:gridCol w:w="146"/>
        <w:gridCol w:w="95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(30%)</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(26%)</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(100%)</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NM -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for the three months ended March 31, 2026 was $0.2 million, compared to none in the prior year period. The increase was primarily driven by the amortization of upfront fees associated with collaboration arrangements entered into during the first quarter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of certain research and development activities are recognized based on estimates derived from a number of factors, including an evaluation of the progress of the activities, as well as input from external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made following data generated from our MyPEAK-1 and RIDGE-1 clinical trials and our ability to achieve regulatory alignment on our pivotal trial plans for our TN-201 and TN-401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820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84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(19%)</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$14.8 million and $21.1 million for the three months ended March 31, 2026 and 2025, respectively. The year-over-year decrease of $6.2 million, or 30%,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$3.0 million decrease in research expenses, reflecting lower employee-related costs driven by the workforce reduction implemented in March 2025 (the 2025 Workforce Reduction) and reduced lab supply and service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$2.0 million in manufacturing costs reflecting lower employee-related costs driven by the 2025 Workforce Reduction and lower facility maintenance fees and depreciation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 and our ability to achieve regulatory alignment on our pivotal trial plans for our TN-201 and TN-401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$5.4 million and $6.5 million for the three months ended March 31, 2026 and 2025, respectively. The year-over-year decrease of $1.0 million, or 16%, was primarily due to decreases in employee-related costs driven by the 2025 Workforce Reduction and lower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and cash equivalents balances. In prior period, interest income also included amounts earned on marketable securities. Interest income was $0.8 million and $0.6 million for the three months ended March 31, 2026 and 2025, respectively. The year-over-year increase of $0.2 million was primarily due to average higher cash and cash equivalents balances.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three months ended March 31, 2026, was $19.3 million, compared to a net loss of $26.9 million for the three months ended March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generated limited collaboration revenue and no product revenue, and we have incurred significant net losses and negative cash flows from operations. From our inception through March 31, 2026, we have funded our operations primarily from the sale and issuance of our equity securities. As of March 31, 2026, we had cash and cash equivalents of $80.9 million and an accumulated deficit of $624.3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CIRM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announced we were awarded an $8.0 million grant from the CIRM to support RIDGE-1. The award is payable to us upon achievement of certain clinical milestones. We expect this grant to provide funding for a portion of our research and development activities, subject to the achievement of applicable milestones and compliance with the grant terms.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Agreement</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On August 6, 2024, we entered into a </w:t>
      </w:r>
      <w:r>
        <w:rPr>
          <w:rFonts w:ascii="Times New Roman" w:hAnsi="Times New Roman"/>
          <w:color w:val="000000"/>
          <w:sz w:val="20"/>
        </w:rPr>
        <w:t>Loan Agreement with Silicon Valley Bank (SVB)</w:t>
      </w:r>
      <w:r>
        <w:rPr>
          <w:rFonts w:ascii="Times New Roman" w:hAnsi="Times New Roman"/>
          <w:color w:val="212529"/>
          <w:sz w:val="20"/>
        </w:rPr>
        <w:t xml:space="preserve">. </w:t>
      </w:r>
      <w:r>
        <w:rPr>
          <w:rFonts w:ascii="Times New Roman" w:hAnsi="Times New Roman"/>
          <w:color w:val="000000"/>
          <w:sz w:val="20"/>
        </w:rPr>
        <w:t xml:space="preserve">As of December 31, 2025, all of the term loan commitments expired under the Loan Agreement and no term loans were outstanding. </w:t>
      </w:r>
      <w:r>
        <w:rPr>
          <w:rFonts w:ascii="Times New Roman" w:hAnsi="Times New Roman"/>
          <w:color w:val="212529"/>
          <w:sz w:val="20"/>
        </w:rPr>
        <w:t>The Loan Agreement provides that an additional loan of $20.0 million may be available at SVB’s discretion, subject to specified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continue to incur operating losses over the foreseeable future. Our operating expenses may increase in the future,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advance our lead product candidates, TN-201, TN-401 and TN-301;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the scope of our existing clinical trials and transition into late-stage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of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commercial-scale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information systems and personnel to support our future product development and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studies and clinical trials for any additional product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future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develop, expand, enforce, defend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cash and cash equivalents will be sufficient to meet our working capital and capital expenditure needs through at least the next twelve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tbl>
      <w:tblPr>
        <w:tblW w:w="7579" w:type="dxa"/>
        <w:jc w:val="left"/>
        <w:tblInd w:w="0" w:type="dxa"/>
        <w:tblLayout w:type="fixed"/>
        <w:tblCellMar>
          <w:top w:w="28" w:type="dxa"/>
          <w:left w:w="28" w:type="dxa"/>
          <w:bottom w:w="28" w:type="dxa"/>
          <w:right w:w="28" w:type="dxa"/>
        </w:tblCellMar>
      </w:tblPr>
      <w:tblGrid>
        <w:gridCol w:w="4836"/>
        <w:gridCol w:w="146"/>
        <w:gridCol w:w="211"/>
        <w:gridCol w:w="736"/>
        <w:gridCol w:w="166"/>
        <w:gridCol w:w="146"/>
        <w:gridCol w:w="211"/>
        <w:gridCol w:w="736"/>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2026 was $19.2 million, which consisted primarily of a net loss of $19.3 million and a net change in operating assets and liabilities of $4.6 million, partially offset by $4.6 million in non-cash charges. The change in net operating assets and liabilities was primarily due to a decrease in accounts payable and accrued expenses and other current liabilities of $4.1 million. Cash flows from operations are generally impacted by the timing of payments to vendors and vendor payment terms. The non-cash charges primarily consisted of stock-based compensation of $2.2 million and depreciation and amortization of $1.8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2025 was $23.1 million, which consisted primarily of a net loss of $26.9 million and a net change in operating assets and liabilities of $3.4 million, partially offset by $6.9 million in non-cash charges. The change in net operating assets and liabilities was primarily due to a decrease in accounts payable and accrued expenses and other current liabilities of $2.3 million and a decrease in operating lease liabilities of $0.7 million, an increase in prepaid expenses and other current assets of $0.5 million. Cash flows from operations are generally impacted by the timing of payments to vendors and vendor payment terms. The non-cash charges primarily consisted of stock-based compensation of $3.7 million and depreciation and amortization of $2.7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2026 was immaterial and consisted of purchases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2025 was $22.2 million, which consisted primarily of proceeds from maturities of marketable securities of $11.7 million and sales of marketable securities of $11.0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for the three months ended March 31, 2026 was approximately $0.4 million, which consisted of payments of accrued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three months ended March 31, 2025 was $50.3 million, which primarily consisted of net proceeds from our March 2025 follow-on offering of $49.3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contractual obligations and commitments previously disclosed in our Annual Report on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not engaged in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critical accounting policies and estimates is presented in Part II, Item 7 of our Annual Report on Form 10-K for the year ended December 31, 2025. There were no material changes to our critical accounting policies and estimates during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to our unaudited interim condensed financial statements for more information about recent accounting pronouncements, the timing of their adoption, and our assessment, to the extent we have made one yet, of their potential impact on our financial condition or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 smaller reporting company, as defined by Rule 12b-2 under the Securities Exchange Act of 1934 and in Item 10(f)(1) of Regulation S-K, and are not required to provide the information under this item.</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who is also serving as our interim Principal Financial Officer, has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interim Principal Financial Officer has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March 31,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 Factors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not generated any product revenue to date, have incurred significant net losses since our inception, and expect to continue to incur significant net losses for the foreseeable future.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experience delays in completing, or ultimately be unable to complete, the development and commercialization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Financial Position, Need for Additional Capital and Limited Operating History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may be more difficult for investors to accurately predict our likelihood of success and viability than it would be if we had a longer operating history.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TextBody"/>
        <w:bidi w:val="0"/>
        <w:spacing w:before="240" w:after="283"/>
        <w:jc w:val="left"/>
        <w:rPr>
          <w:rFonts w:ascii="Times New Roman" w:hAnsi="Times New Roman"/>
          <w:sz w:val="20"/>
        </w:rPr>
      </w:pPr>
      <w:r>
        <w:rPr>
          <w:rFonts w:ascii="Times New Roman" w:hAnsi="Times New Roman"/>
          <w:b/>
          <w:i/>
          <w:color w:val="231F20"/>
          <w:sz w:val="20"/>
        </w:rPr>
        <w:t>We have not generated any product revenue to date, have incurred significant net losses since our inception, and expect to continue to incur significant net losses for the foreseeable future.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incurred significant net losses since our inception, have not generated any product revenue to date and have financed our operations principally through issuances of our stock. As of March 31, 2026, we had an accumulated deficit of $624.3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relationships with contract research organizations (CROs) and clinical sites for the clinical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initiation and successful patient enrollment and completion of clinical trials on a timely basis;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acceptable frequency and severity of adverse events in the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efficacy and safety profiles that are satisfactory to the FDA or any comparable foreign regulatory authority for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timely receipt of marketing approvals from applicable regulatory authorities for any product candidates for which we successfully complete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complying with any required post-marketing approval commitments to applicable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achievement of development, regulatory and sales-based milestones under our collaboration agreement with Alnylam;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outputs from our capsid engineering and promoter and regulatory elements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continued acceptable safety profile following any marketing approval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actual market-size, ability to identify patients and the demographics of patients eligible for our product candidates, which may be different than expected;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distribute our products to certain segments of the patient population only accessible through restricted or closed distribution channels;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satisfying any required post-marketing approval commitments to applicable regulatory authorities;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maintaining consistent quality, purity, and potency across clinical supplies and commercial supplies for any approved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identifying, assessing and developing new product candidates, and our ability to expand into multiple indications;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maintaining, and expanding patent and other intellectual property protection, trade secret protection and regulatory exclusivity, both in the U.S. and internationally;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protecting and enforcing our rights in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defending against third-party infringement, misappropriation, or other claims,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entering into, on favorable terms, any collaboration, licensing or other arrangements that may be necessary or desirable to develop, manufacture or commercialize our product candidates and to meet our obligations set forth under such arrangements;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coverage and adequate reimbursement by third-party payors for our products and patients’ willingness to pay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additional funding to develop, manufacture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addressing any competing therapies and technological and market developments;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managing costs, including any unforeseen costs, that we may incur as a result of nonclinical study or clinical trial delays;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attracting, hiring and retaining qualified and key personnel including clinical, scientific, management and administrative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value and could impair our ability to maintain or further our research and development efforts, raise additional necessary capital, grow our business and continue our operations.</w:t>
      </w:r>
    </w:p>
    <w:p>
      <w:pPr>
        <w:pStyle w:val="TextBody"/>
        <w:bidi w:val="0"/>
        <w:spacing w:before="240" w:after="283"/>
        <w:jc w:val="left"/>
        <w:rPr>
          <w:rFonts w:ascii="Times New Roman" w:hAnsi="Times New Roman"/>
          <w:sz w:val="20"/>
        </w:rPr>
      </w:pPr>
      <w:r>
        <w:rPr>
          <w:rFonts w:ascii="Times New Roman" w:hAnsi="Times New Roman"/>
          <w:b/>
          <w:i/>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over the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March 31, 2026, we had $80.9 million in cash and cash equivalents.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For example, under our collaboration agreement with Alnylam, we are not permitted to </w:t>
      </w:r>
      <w:r>
        <w:rPr>
          <w:rFonts w:ascii="Times New Roman" w:hAnsi="Times New Roman"/>
          <w:color w:val="000000"/>
          <w:sz w:val="20"/>
        </w:rPr>
        <w:t xml:space="preserve">conduct any research or development activities with respect to certain collaboration targets or any therapeutic products designed to be directed to such targets, for as long as the target remains a collaboration target. </w:t>
      </w:r>
      <w:r>
        <w:rPr>
          <w:rFonts w:ascii="Times New Roman" w:hAnsi="Times New Roman"/>
          <w:color w:val="231F20"/>
          <w:sz w:val="20"/>
        </w:rPr>
        <w:t>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Our Loan Agreement requires us to comply with specified operating covenants and places restrictions on our operating and financial flexibility.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filing date of this periodic report, under our Loan Agreement, we have the right to draw down up to $20.0 million, subject to agreement on the terms and conditions thereof and SVB’s sole discretion. As security for our obligations under the Loan Agreement, we granted SVB a first priority security interest on substantially all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enacted a temporary suspension on the use of state NOLs in taxable years beginning in 2024, 2025 and 2026, which would adversely affect our company if we earn taxable income in 2026. Consequently, our ability to use our NOLs and certain other tax attributes may be limited.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Discovery, Development, Manufacturing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Before we are able to generate any revenue from product sales, each of our programs and product candidates will require additional preclinical and/or clinical development, expansion of manufacturing capabilities and expertise or successfully outsourcing manufacturing,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do not successfully initiate and complete our clinical trials in a timely manner, including the successful manufacturing of the relevant product candidate,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283"/>
        <w:jc w:val="left"/>
        <w:rPr>
          <w:rFonts w:ascii="Times New Roman" w:hAnsi="Times New Roman"/>
          <w:sz w:val="20"/>
        </w:rPr>
      </w:pPr>
      <w:r>
        <w:rPr>
          <w:rFonts w:ascii="Times New Roman" w:hAnsi="Times New Roman"/>
          <w:color w:val="231F20"/>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hAnsi="Times New Roman"/>
          <w:i/>
          <w:color w:val="231F20"/>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as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will need to meet safety and efficacy standards applicable to any new biologic under the regulatory framework administered by the FDA. In addition to FDA oversight and oversight by investigational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and </w:t>
      </w:r>
      <w:r>
        <w:rPr>
          <w:rFonts w:ascii="Times New Roman" w:hAnsi="Times New Roman"/>
          <w:color w:val="231F20"/>
          <w:sz w:val="20"/>
        </w:rPr>
        <w:t xml:space="preserve">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w:t>
      </w:r>
      <w:r>
        <w:rPr>
          <w:rFonts w:ascii="Times New Roman" w:hAnsi="Times New Roman"/>
          <w:color w:val="000000"/>
          <w:sz w:val="20"/>
        </w:rPr>
        <w:t xml:space="preserve">Failure can occur at any stage of testing. </w:t>
      </w:r>
      <w:r>
        <w:rPr>
          <w:rFonts w:ascii="Times New Roman" w:hAnsi="Times New Roman"/>
          <w:color w:val="231F20"/>
          <w:sz w:val="20"/>
        </w:rPr>
        <w:t xml:space="preserve">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clinical trial application, initiation of a clinical trial, receipt of marketing approval or our ability to commercialize our product candidates, or require us to suspended or terminate further development of our product candidates. Moreover,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color w:val="000000"/>
          <w:sz w:val="20"/>
        </w:rPr>
        <w:t xml:space="preserve"> </w:t>
      </w:r>
      <w:r>
        <w:rPr>
          <w:rFonts w:ascii="Times New Roman" w:hAnsi="Times New Roman"/>
          <w:color w:val="231F20"/>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 Compliance with the CTR and/or MHRA requirements by us, our collaborators and third-party service providers, such as CROs,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inability to generate sufficient preclinical, toxicology, or other </w:t>
      </w:r>
      <w:r>
        <w:rPr>
          <w:rFonts w:ascii="Times New Roman" w:hAnsi="Times New Roman"/>
          <w:i/>
          <w:color w:val="231F20"/>
          <w:sz w:val="20"/>
        </w:rPr>
        <w:t xml:space="preserve">in vivo </w:t>
      </w:r>
      <w:r>
        <w:rPr>
          <w:rFonts w:ascii="Times New Roman" w:hAnsi="Times New Roman"/>
          <w:color w:val="231F20"/>
          <w:sz w:val="20"/>
        </w:rPr>
        <w:t xml:space="preserve">or </w:t>
      </w:r>
      <w:r>
        <w:rPr>
          <w:rFonts w:ascii="Times New Roman" w:hAnsi="Times New Roman"/>
          <w:i/>
          <w:color w:val="231F20"/>
          <w:sz w:val="20"/>
        </w:rPr>
        <w:t xml:space="preserve">in vitro </w:t>
      </w:r>
      <w:r>
        <w:rPr>
          <w:rFonts w:ascii="Times New Roman" w:hAnsi="Times New Roman"/>
          <w:color w:val="231F20"/>
          <w:sz w:val="20"/>
        </w:rPr>
        <w:t>data to support the initiation of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sufficiently developing, characterizing or controlling a manufacturing process suitable for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receipt of feedback from regulatory authorities that requires us to modify the design of our preclinical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preclinical study or clinical trial observations or results that require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extended IRB, IBC and/or EC review process, or inability to obtain approval from one or more of these committees;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failure or delay in reaching an agreement with CROs and clinical trial sites;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suspension or termination of our clinical trials, as a result of </w:t>
      </w:r>
      <w:r>
        <w:rPr>
          <w:rFonts w:ascii="Times New Roman" w:hAnsi="Times New Roman"/>
          <w:color w:val="000000"/>
          <w:sz w:val="20"/>
        </w:rPr>
        <w:t>a clinical hold by regulatory authorities or a voluntary pause,</w:t>
      </w:r>
      <w:r>
        <w:rPr>
          <w:color w:val="231F20"/>
        </w:rPr>
        <w:t xml:space="preserve"> </w:t>
      </w:r>
      <w:r>
        <w:rPr>
          <w:rFonts w:ascii="Times New Roman" w:hAnsi="Times New Roman"/>
          <w:color w:val="231F20"/>
          <w:sz w:val="20"/>
        </w:rPr>
        <w:t>for various reasons, such as we experienced with MyPEAK-1;</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to clinical trial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sites deviating from trial protocol or dropping out of a trial;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and/or duration of preclinical studies or clinical trials being greater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supply or quality of our product candidates or other materials necessary to conduct clinical trials of our product candidates being insufficient or inadequate or slower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subjects experiencing serious, severe, unexpected or otherwise important drug-related or study-related adverse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selection of clinical end points that require prolonged periods of clinical observation or analysis of the resulting data;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inaccurate or untimely clinical data collection, entry, analysis or reporting by clinical sites, third-party contractors and/or CROs;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variability of efficacy assessments;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changes to our manufacturing process that may be necessary or desired;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regulators revising the requirements for approving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unsuccessful post-marketing study or failure to complete such a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absence in some countries of established groups with sufficient regulatory expertise for review of AAV gene therapy protocols;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hAnsi="Times New Roman"/>
          <w:color w:val="000000"/>
          <w:sz w:val="20"/>
        </w:rPr>
        <w:t>mitting an IND, initiating clinical trials or seek</w:t>
      </w:r>
      <w:r>
        <w:rPr>
          <w:rFonts w:ascii="Times New Roman" w:hAnsi="Times New Roman"/>
          <w:color w:val="231F20"/>
          <w:sz w:val="20"/>
        </w:rPr>
        <w:t xml:space="preserve">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Serious adverse events or other side effects observed in any of our clinical trials, through our expanded access program, or in similar trials by other sponsors, may result in difficulty recruiting patients to the clinical trials, cause patients to drop out of our trials, or require that we abandon the trials or our development efforts of that product candidate altogether.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For example, in November 2025, we announced that the FDA placed MyPEAK-1 on clinical hold to request a protocol amendment, primarily to standardize activities related to patient monitoring and management of the immunosuppressive regimen across trial sites. While the hold was lifted after swift and collaborative engagement with the FDA, there is no assurance that it or any future hold on our clinical trials would not have a material adverse effect on our business or our data milestones or development timelines for TN-201 or other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Enrollment may also be impacted by an IRB or ethics committee decision to pause or stop enrollment at a trial site, a DSMB recommendation to pause or stop trial enrollment, or a decision by a regulatory authority to pause or stop trial enrollment in a particular country. Additionally, the FDA, EMA or other comparable foreign regulatory authorities may require long-term follow-up assessments for a certain number of patients, which could delay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expect patient enrollment to be affected because our competitors have ongoing clinical trials for programs that are under development or are approved for the same indications as our product candidates, and patients who would otherwise be eligible for our clinical trials could instead enroll in clinical trials of our competitors’ programs or choose to take an approved medication. Patient enrollment for our clinical trials has been and may continue to be affected by other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size and nature of the patient population;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risks and benefits of novel, unproven approaches;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severity of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availability and efficacy of approved drugs for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ongoing clinical trials evaluating other product candidates in the same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eligibility criteria for the trial in question as defined in the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risks and benefits of the product candidate under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ongoing IRB and/or ethics committee decisions and DSMB recommendations;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public perception about the use of genetic medicines in human therapeutics or precision medicine;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referral practices of physicians;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associated with recruiting eligible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to monitor patients adequately during and after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limited staff and resources at clinical trial sites, including support for clinical trial enrollment and the availability of hospital beds;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activities of key opinion leaders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proximity and availability of clinical trial sites for prospective patients and the ability of patients to travel to these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practical and financial burden of the trial protocol on patients, including conflicts with their work, family and personal activities, as well as travel costs, lodging, lost wages and insufficient reimbursement or support;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site activation, contracting and budget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protocol amendments, reviews and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risk that patients enrolled in clinical trials will drop out of the trials before completion or, because they may have an advanced disease, will not survive the full terms of the clinical trials;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limitations on the rate of patient enrollment required by the clinical trial protocol, including those that may be requested by health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sz w:val="20"/>
        </w:rPr>
      </w:pPr>
      <w:r>
        <w:rPr>
          <w:rFonts w:ascii="Times New Roman" w:hAnsi="Times New Roman"/>
          <w:color w:val="231F20"/>
          <w:sz w:val="20"/>
        </w:rPr>
        <w:t>Due to the significant resources required for the development of product candidates, in particular our product candidates in clinical trials, we must decide which programs, product candidates and indications to pursue and advance the amount of resources to allocate to each.</w:t>
      </w:r>
      <w:r>
        <w:rPr>
          <w:rFonts w:ascii="Times New Roman" w:hAnsi="Times New Roman"/>
          <w:color w:val="000000"/>
          <w:sz w:val="20"/>
        </w:rPr>
        <w:t xml:space="preserve"> For example, in connection with our cost containment measures, we are prioritizing generating data from our MyPEAK-1 and RIDGE-1 clinical trials of TN-201 and TN-401, respectively. </w:t>
      </w:r>
      <w:r>
        <w:rPr>
          <w:rFonts w:ascii="Times New Roman" w:hAnsi="Times New Roman"/>
          <w:color w:val="231F20"/>
          <w:sz w:val="20"/>
        </w:rPr>
        <w:t>Our decisions concerning the allocation of research, development, 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Initial, interim and topline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trials,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ensure that the process works and the product candidate is made strictly and consistently in compliance with the process. Problems with the manufacturing process, even minor deviations from the normal process, including during the manufacture of drug substance, drug product, filling, labeling, packaging, storage, shipping, QC and testing and/or in connection with release assays, including potency assays, could result in product defects, lot failures, product recalls, product liability claims or insufficient inventory, and may ultimately disrupt or delay the supply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some of our employees have experience in the manufacturing of biopharmaceutical products from prior employment at other companies, we as a company have limited experience in manufacturing and oversight of CDMOs conducting manufacturing activities on our behalf. We may also encounter problems hiring and retaining the experienced personnel needed to manage our complex manufacturing operations, including those outsourced to CDMOs. If we experience unanticipated employee shortage or turnover in any of these areas, we may not be able to maintain oversight of our QC, conduct further process improvements or meet our product development timelines; we may also experience difficulties in maintaining compliance with applicable regulatory requirements, which would impair our product development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product candidates have been manufactured in quantities adequate for preclinical studies and our Phase 1b/2 clinical trials for our lead product candidates. We will need to manufacture product candidates in larger quantities for commercialization of the resulting product, if that product candidate is approved for sale, and we may need to manufacture more product to conduct later-stage clinical trials.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Moreover, if we choose to transfer manufacturing activities for our clinical-stage gene therapy programs to a CDMO, we may also be required to conduct additional studies to ensure comparability, notify and submit additional filings to regulatory authorities, and obtain regulatory authority approval for the new facilities, which may be delayed or never received. While the manufacturing process alone is complex, quality issues may also arise during drug product filling, labeling, packaging, storage, shipping and ongoing QC and testing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manufacture of our product candidates will be subject to significant government regulations and approvals, which are often costly and could result in adverse consequences to our business if we or our CDMO’s fail to comply with the regulations or maintain the approvals.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to comply with the FDA’s and applicable foreign regulatory authorities’ cGMP requirements for the production of product candidates for clinical trials and, if approved, commercial supply. We and our CDMOs will be subject to inspections by the FDA and comparable agencies in other jurisdictions to confirm compliance with applicable regulatory requirements. These requirements include the qualification and validation of manufacturing equipment and processes. Any failure to follow cGMP or other regulatory requirements or delay, interruption or other issues that arise in the manufacture of our product candidates as a result of a failure of our facilities or the facilities or operations of our CDMOs or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 as demonstrated in clinical trials compared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safety and efficacy profile and ease of use for pediatric patient population if approved for a pediatric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of market introduction of the product candidate as well as competitive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clinical indications for which a product candidate is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physicians, hospitals, treatment centers and patients considering our product candidates a safe, pure and effective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and perceived advantages of our product candidates over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of treatment in relation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relative convenience and ease of administration;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willingness of the target patient population or their caregivers to try new therapies and of physicians to prescribe these therapies;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coverage and adequate reimbursement by third-party payors, including government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patients’ willingness to pay for these therapies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effectiveness of sales and marketing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support from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public perception about the use of genetic medicines, whether related to our technology or our competitor’s technology;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unfavorable publicity relating to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of other new therapies for the same indications;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acceptance and use of genetic testing required to diagnose the disease and identify patients who qualify for treatment with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significant uncertainty related to third-party payor coverage and reimbursement of newly approved products. In the U.S., for example, principal decisions about reimbursement for new products are typically made by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sued if any of our product candidates or any medications, procedures or activities associated with our clinical trial protocols or our expanded access program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Regardless of the merits or eventual outcome, liability claims may result 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EMA or other regulatory authority investigation of the safety and effectiveness of our products, our manufacturing processes and the facilities used to manufacture our products or our marketing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decreased or interrupted demand for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injury to our reputation;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withdrawal of clinical trial participants and inability to continue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costs to defend the related litigation;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diversion of management’s time and our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substantial monetary awards to trial participants or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recalls, withdrawals or labeling, marketing, or promotional restrictions;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loss of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inability to raise capital or enter into strategic agreements for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exhaustion of any available insurance and our capital resources;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inability to commercialize any products.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120" w:after="283"/>
        <w:jc w:val="left"/>
        <w:rPr>
          <w:rFonts w:ascii="Times New Roman" w:hAnsi="Times New Roman"/>
          <w:sz w:val="20"/>
        </w:rPr>
      </w:pPr>
      <w:r>
        <w:rPr>
          <w:rFonts w:ascii="Times New Roman" w:hAnsi="Times New Roman"/>
          <w:b/>
          <w:i/>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the design, implementation or results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FDA, EMA or other comparable foreign regulatory authorities may require that we conduct additional preclinical studies or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the manufacturing processes, test procedures and specifications or facilities of CDMOs and or third-party manufacturers with which we contract for clinical and commercial supplies;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companion diagnostic tests required for commercialization of our product candidates;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This lengthy approval process, as well as the unpredictability of the results of clinical trials, may result in our failing to obtain regulatory approval to market any of our product candidates, which would significantly harm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 under the current leadership at the HHS, layoffs due to the reduction in force initiative and other measures implemented by the Department of Government Efficiency, agency staff departures, and lapse of government appropriations can impact the normal operations of the FDA as well as other federal agencies. The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addition, if the FDA, EMA or other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post-approval. Manufacturers of drug products and the facilities where the products are manufactured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or the rejection of product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our ability to conduct clinical trials, including full or partial clinical holds on ongoing or planned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products, manufacturers or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warning or untitled letters;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civil and criminal penalties;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injunctions;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suspension or withdrawal of regulatory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seizures, detentions or import bans;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voluntary or mandatory product recalls and publicity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or partial suspension of production;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imposition of restrictions on operations, including costly new manufacturing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hAnsi="Times New Roman"/>
          <w:i/>
          <w:color w:val="231F20"/>
          <w:sz w:val="20"/>
        </w:rPr>
        <w:t>Catalyst Pharms., Inc. v. Becerra</w:t>
      </w:r>
      <w:r>
        <w:rPr>
          <w:rFonts w:ascii="Times New Roman" w:hAnsi="Times New Roman"/>
          <w:color w:val="231F20"/>
          <w:sz w:val="20"/>
        </w:rPr>
        <w:t xml:space="preserve">, 14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F.4</w:t>
      </w:r>
      <w:r>
        <w:rPr>
          <w:rFonts w:ascii="Times New Roman" w:hAnsi="Times New Roman"/>
          <w:color w:val="231F20"/>
          <w:sz w:val="13"/>
        </w:rPr>
        <w:t>th</w:t>
      </w:r>
      <w:r>
        <w:rPr>
          <w:rFonts w:ascii="Times New Roman" w:hAnsi="Times New Roman"/>
          <w:color w:val="231F20"/>
          <w:sz w:val="20"/>
        </w:rPr>
        <w:t xml:space="preserve"> 1299 (11</w:t>
      </w:r>
      <w:r>
        <w:rPr>
          <w:rFonts w:ascii="Times New Roman" w:hAnsi="Times New Roman"/>
          <w:color w:val="231F20"/>
          <w:sz w:val="13"/>
        </w:rPr>
        <w:t xml:space="preserve">th </w:t>
      </w:r>
      <w:r>
        <w:rPr>
          <w:rFonts w:ascii="Times New Roman" w:hAnsi="Times New Roman"/>
          <w:color w:val="231F20"/>
          <w:sz w:val="20"/>
        </w:rPr>
        <w:t xml:space="preserve">Cir. 2021) case, in a January 2023 notice, the FDA clarified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 xml:space="preserve">Catalyst </w:t>
      </w:r>
      <w:r>
        <w:rPr>
          <w:rFonts w:ascii="Times New Roman" w:hAnsi="Times New Roman"/>
          <w:color w:val="231F20"/>
          <w:sz w:val="20"/>
        </w:rPr>
        <w:t>order. The Consolidated Appropriations Act of 2026, signed into law in February 2026, codified this longstanding FDA interpretation of the Orphan Drug Act, allowing the FDA to approve multiple versions of the same orphan drug for different subindications and subpopulations.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has been extended by Congress through September 2029 under the Consolidated Appropriations Act, 2026, which means the FDA may not award any priority review vouchers under this program after September 30, 2029. There is no guarantee that any of our product candidates will be approved by that date, or at all. We may not obtain a priority review voucher prior to expiration of the program, unless Congress further reauthorizes the program.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 from the FDA for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hAnsi="Times New Roman"/>
          <w:color w:val="231F20"/>
          <w:sz w:val="20"/>
        </w:rPr>
        <w:t>there can be no assurances that we will be able to obtain orphan drug designation for our other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face difficulties from changes to current FDA and healthcare regulations and future legislation.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also cannot predict the likelihood, nature or extent of government regulation that may arise from future legislation or administrative or executive action, either in the U.S. or abroad. For example, certain policies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the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 under the current U.S. presidential administration, agency reorganization, mass layoffs due to the reduction in force initiative and other measures implemented by the Department of Government Efficiency may impact the normal operations of the FDA as well as other federal agencies. The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the first agreements with two major pharmaceutical companies to bring American drug prices in line with the lowest paid by other developed nations, requiring the companies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transfer, security and other processing of personal information.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Outside of the U.S., we are subject to extensive legal requirements relating to privacy, data protection, security and the collection, distribution, use, disclosure, storage, transfer and other processing of personal data. For example, the collection and use of health data and other personal data, including personal data collected in clinical trials, is governed in the EU by the GDPR, which imposes substantial obligations upon companies and provides rights for individuals, and by certain EU member state-level legislation. </w:t>
      </w:r>
      <w:r>
        <w:rPr>
          <w:rFonts w:ascii="Times New Roman" w:hAnsi="Times New Roman"/>
          <w:color w:val="000000"/>
          <w:sz w:val="20"/>
        </w:rPr>
        <w:t xml:space="preserve">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hAnsi="Times New Roman"/>
          <w:color w:val="231F20"/>
          <w:sz w:val="20"/>
        </w:rPr>
        <w:t xml:space="preserve">Failure to comply with the GDPR or UK GDPR may result in fines up to €20,000,000 </w:t>
      </w:r>
      <w:r>
        <w:rPr>
          <w:rFonts w:ascii="Times New Roman" w:hAnsi="Times New Roman"/>
          <w:color w:val="000000"/>
          <w:sz w:val="20"/>
        </w:rPr>
        <w:t xml:space="preserve">(£17.5 million in the UK) </w:t>
      </w:r>
      <w:r>
        <w:rPr>
          <w:rFonts w:ascii="Times New Roman" w:hAnsi="Times New Roman"/>
          <w:color w:val="231F20"/>
          <w:sz w:val="20"/>
        </w:rPr>
        <w:t xml:space="preserve">or 4% of the total worldwide annual turnover of the preceding financial year, whichever is higher, and other administrative penalties. The GDPR or UK GDPR impose significant responsibility and expose us to potential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hAnsi="Times New Roman"/>
          <w:color w:val="000000"/>
          <w:sz w:val="20"/>
        </w:rPr>
        <w:t>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the U.S., a variety of laws, rules, regulations and standards relating to privacy, data protection, security, and the distribution, use, disclosure, storage, transfer and other processing of data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states have enacted laws relating to privacy and data security that either are in operation or slated to go into operation over the next several years. In many cases, these laws are comprehensive privacy laws similar to the CCPA, with potentially greater penalties and more rigorous compliance requirements.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States also are enacting laws addressing specific subject matter, such as Washington’s My Health, My Data Act, which includes a private right of action. Laws in all 50 states may require businesses to provide notice to individuals whose personal data has been disclosed as a result of a data breach. The U.S. government also has instituted rules, effective April 8, 2025, that prohibit or restrict transactions involving certain types and amounts of sensitive data between U.S. persons and foreign persons associated with specific countries of concern. Among other things, these new rules require U.S. businesses to seek assurances from certain foreign parties with which they share sensitive data (under certain types of agreements) that those parties will not further share that data with parties in countries of concern.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 the GDPR, PIPEDA, CCPA, and other laws, regulations and other obligations relating to privacy, data protection and security imposing new and relatively burdensome obligations, and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an effort to do so.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 </w:t>
      </w:r>
    </w:p>
    <w:p>
      <w:pPr>
        <w:pStyle w:val="TextBody"/>
        <w:bidi w:val="0"/>
        <w:spacing w:before="240" w:after="283"/>
        <w:jc w:val="left"/>
        <w:rPr>
          <w:rFonts w:ascii="Times New Roman" w:hAnsi="Times New Roman"/>
          <w:sz w:val="20"/>
        </w:rPr>
      </w:pPr>
      <w:r>
        <w:rPr>
          <w:rFonts w:ascii="Times New Roman" w:hAnsi="Times New Roman"/>
          <w:b/>
          <w:i/>
          <w:color w:val="231F2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w:t>
      </w:r>
      <w:r>
        <w:rPr>
          <w:rFonts w:ascii="Times New Roman" w:hAnsi="Times New Roman"/>
          <w:color w:val="231F2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federal consumer protection and unfair competition laws, which broadly regulate marketplace activities and activities that potentially harm consumers;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Other new regulations could affect the transfer of certain types of data abroad, including to China, and may add expenses or unforeseen burdens to the process of contracting with service providers. These regulations,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Increased tariffs on imports, trade sanctions, other trade restrictions, or a global trade war could increase our costs and materially and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negatively affected by tariffs, trade restrictions, and other governmental actions, any of which can be imposed suddenly and unpredictably. For example, there is currently significant uncertainty about the future relationship between the U.S. and various other countries with respect to trade policies, treaties, trade regulations, and tariffs. Beginning in 2025, the U.S. government imposed or announced various new tariffs on certain imports, including commodity-specific, reciprocal, and country-specific tariffs, and additional tariffs may be forthcoming. For example, in April 2025, the U.S. Department of Commerce initiated an investigation into potential tariffs on pharmaceuticals, pharmaceutical ingredients, and derivative products; when these investigations are complete, the U.S. government may decide to levy additional tariffs on these products. These or additional tariffs (and the uncertainty around their implementation) could affect inputs to our products, as well 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U.S. or other countries, our business, financial condition, and results of operations may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The ultimate impact of any tariffs or trade restrictions will depend on various factors, including the timing of implementation and the duration, amount, scope, and nature of the tariffs and trade restrictions and reactions from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trade restrictions or any resulting trade war could negatively affect the global market, including for pharmaceuticals, and could have a significant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tax law could increase the tax burden on our orphan drug programs and adversely affect our business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requirement to capitalize and amortize domestic research and development expenditures and permitting such deductions on a current basis. While we have </w:t>
      </w:r>
      <w:r>
        <w:rPr>
          <w:rFonts w:ascii="Times New Roman" w:hAnsi="Times New Roman"/>
          <w:color w:val="000000"/>
          <w:sz w:val="20"/>
        </w:rPr>
        <w:t>reflected the effects of the enactment of OBBB Act for the fiscal year ended December 31, 2025, w</w:t>
      </w:r>
      <w:r>
        <w:rPr>
          <w:rFonts w:ascii="Times New Roman" w:hAnsi="Times New Roman"/>
          <w:color w:val="231F20"/>
          <w:sz w:val="20"/>
        </w:rPr>
        <w:t>e will continue to evaluate the full impact of the legislation on us. These changes could affect our total U.S. federal tax liability when and if we become profitable.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sz w:val="20"/>
        </w:rPr>
      </w:pPr>
      <w:r>
        <w:rPr>
          <w:rFonts w:ascii="Times New Roman" w:hAnsi="Times New Roman"/>
          <w:color w:val="231F20"/>
          <w:sz w:val="20"/>
        </w:rPr>
        <w:t>We are highly dependent on the principal members of our management, our scientific and clinical advisors and consultants, and our scientific and medical staff.</w:t>
      </w:r>
      <w:r>
        <w:rPr>
          <w:rFonts w:ascii="Times New Roman" w:hAnsi="Times New Roman"/>
          <w:color w:val="000000"/>
          <w:sz w:val="20"/>
        </w:rPr>
        <w:t xml:space="preserve"> </w:t>
      </w:r>
      <w:r>
        <w:rPr>
          <w:rFonts w:ascii="Times New Roman" w:hAnsi="Times New Roman"/>
          <w:color w:val="231F20"/>
          <w:sz w:val="20"/>
        </w:rPr>
        <w:t>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advisors and consultants or if they provide services to our competitors, our development and commercialization efforts will be impaired and our business will be significantly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 order to successfully implement our long-term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order to successfully implement our development and commercialization plans and strategies, we expect to need additional managerial, operational, sales, marketing, financial and other personnel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sz w:val="20"/>
        </w:rPr>
      </w:pPr>
      <w:r>
        <w:rPr>
          <w:rFonts w:ascii="Times New Roman" w:hAnsi="Times New Roman"/>
          <w:color w:val="000000"/>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w:t>
      </w:r>
      <w:r>
        <w:rPr>
          <w:rFonts w:ascii="Times New Roman" w:hAnsi="Times New Roman"/>
          <w:color w:val="231F20"/>
          <w:sz w:val="20"/>
        </w:rPr>
        <w:t xml:space="preserve">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and cyber-attacks and other hacking attempts by malicious third parties, which may disrupt or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hAnsi="Times New Roman"/>
          <w:color w:val="000000"/>
          <w:sz w:val="20"/>
        </w:rPr>
        <w:t>to date, we and our third-party service providers have frequently been the target of threats of this nature and we expect these threats and attacks to continue.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delay of the development and commercialization of our product candidates.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While we maintain cybersecurity insurance that we believe to be reasonable for our business, our current cybersecurity insurance may not fully cover the damages arising from the assertion of one or more large claims against us in connection with a breach or other cybersecurity-related matter, which could adversely affect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differing regulatory requirements and reimbursement regimes;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unexpected changes in tariffs, trade barriers, price and exchange controls and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economic weakness, including inflation, or political instability in particular foreign economies and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compliance with tax, employment, immigration and labor laws for employees living or traveling abroad;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taxes, including withholding of payroll taxes;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difficulties staffing and managing foreign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workforce uncertainty in countries where labor unrest is more common than in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 liability under the FCPA or comparable foreign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production shortages resulting from any events affecting raw material supply or manufacturing capabilities abroad;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business interruptions resulting from geo-political actions, including war and terrorism.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hAnsi="Times New Roman"/>
          <w:color w:val="000000"/>
          <w:sz w:val="20"/>
        </w:rPr>
        <w:t xml:space="preserve">Additionally, recent reforms and changes at government agencies of the U.S. and those of non-U.S. jurisdictions could increase the uncertainties, timing and costs surrounding the prosecution or maintenance of our patent applications, and the maintenance, enforcement, or defense of our issued patents. </w:t>
      </w:r>
      <w:r>
        <w:rPr>
          <w:rFonts w:ascii="Times New Roman" w:hAnsi="Times New Roman"/>
          <w:color w:val="231F20"/>
          <w:sz w:val="20"/>
        </w:rPr>
        <w:t>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 applications may not result in any patents being issued;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may be challenged, invalidated, modified, revoked, circumvented, found to be unenforceable, narrowed in scope or otherwise may not provide any competitive advantage;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The issuance of a patent is not conclusive as to its inventorship, scope, validity or enforceability, and the inventorship, scope, validity or enforceability of our patents, potential future patents or the patents of our licensors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w:t>
      </w:r>
      <w:r>
        <w:rPr>
          <w:rFonts w:ascii="Times New Roman" w:hAnsi="Times New Roman"/>
          <w:color w:val="000000"/>
          <w:sz w:val="20"/>
        </w:rPr>
        <w:t xml:space="preserve"> </w:t>
      </w:r>
      <w:r>
        <w:rPr>
          <w:rFonts w:ascii="Times New Roman" w:hAnsi="Times New Roman"/>
          <w:color w:val="231F20"/>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the biotechnology industry expands and more patents are issued, the risk increases that our product candidates may be subject to claims of infringement, misappropriation or other violation of the patent or other intellectual property rights of third parties.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hAnsi="Times New Roman"/>
          <w:color w:val="000000"/>
          <w:sz w:val="20"/>
        </w:rPr>
        <w:t xml:space="preserve">For example, the U.S. Supreme Court 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hAnsi="Times New Roman"/>
          <w:color w:val="231F20"/>
          <w:sz w:val="20"/>
        </w:rPr>
        <w:t xml:space="preserve">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w:t>
      </w:r>
      <w:r>
        <w:rPr>
          <w:rFonts w:ascii="Times New Roman" w:hAnsi="Times New Roman"/>
          <w:color w:val="000000"/>
          <w:sz w:val="20"/>
        </w:rPr>
        <w:t>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w:t>
      </w:r>
      <w:r>
        <w:rPr>
          <w:rFonts w:ascii="Times New Roman" w:hAnsi="Times New Roman"/>
          <w:color w:val="231F20"/>
          <w:sz w:val="20"/>
        </w:rPr>
        <w:t xml:space="preserve">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challenging the inventorship or ownership of our owned patents, patent applications or in-licensed patent rights and other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although we are not aware of any inventorship disputes as of the date of this periodic report,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project or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that we or our employees, consultants, advisors or contractors have wrongfully used or disclosed alleged confidential information or trade secrets.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Dependence on Third Parties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termination or nonrenewal of arrangements or agreements by our third-party contractors at a time that is costly or inconvenient for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breach by the third-party contractors of our agreements with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third-party contractors to manufacture our product candidates according to our specifications or comply with applicable regulatory requirements, including cGMP;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infringement, misappropriation or other violation of our intellectual property or proprietary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increased operating expenses and cash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assumption of additional indebtedness or contingent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assimilation of operations, intellectual property and products of an acquired company, including difficulties associated with integrating new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diversion of our management’s attention from our existing programs and initiatives in pursuing such a strategic partnership or acquisition;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unauthorized use or disclosure of our confidential information accessed in connection with partnership activities;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loss of key personnel and uncertainties in our ability to maintain key business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realize anticipated efficiencies and strategic benefits from such acquisitions or strategic partnerships.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costly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reach a definitive agreement, we may have to curtail the development of a product candidate, reduce or delay its development program or one or more of our other development programs or technical capabilities,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reduce our planned capital expenditures across other areas of our business or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sz w:val="20"/>
        </w:rPr>
      </w:pPr>
      <w:r>
        <w:rPr>
          <w:rFonts w:ascii="Times New Roman" w:hAnsi="Times New Roman"/>
          <w:color w:val="231F20"/>
          <w:sz w:val="20"/>
        </w:rPr>
        <w:t>If we enter into any collaboration arrangements with any third parties, we will likely have limited control over the amount and timing of resources that our collaborators dedicate to the development or commercialization of our product candidates. For example, under our collaboration agreement with Alnylam, following the completion of the validation activities, Alnylam will have complete control of</w:t>
      </w:r>
      <w:r>
        <w:rPr>
          <w:rFonts w:ascii="Times New Roman" w:hAnsi="Times New Roman"/>
          <w:color w:val="000000"/>
          <w:sz w:val="20"/>
        </w:rPr>
        <w:t xml:space="preserve"> all development, manufacture, regulatory and commercialization activities for any products directed to a collaboration target. </w:t>
      </w:r>
      <w:r>
        <w:rPr>
          <w:rFonts w:ascii="Times New Roman" w:hAnsi="Times New Roman"/>
          <w:color w:val="231F20"/>
          <w:sz w:val="20"/>
        </w:rPr>
        <w:t>Our ability to generate revenues from these arrangements will depend on our collaborators’ abilities and efforts to successfully perform the functions assigned to them in these arrangements. Collaborations involving our product candidates or technical capabilities would pose numerous risks to us,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grant exclusive rights to our collaborators that would prevent us from collaborating with others;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 agreements may not lead to development or commercialization of product candidates in the most efficient manner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Securities Market and Ownership of Our Common Stock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price of our stock is volatile, and you could lose all or part of your investment.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timing of achievement of our research, clinical, regulatory and other milestones for our product candidates;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results of preclinical studies and clinical trials of our product candidates, those conducted by third parties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success of competitive products or announcements by potential competitors of their product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with respect to our product candidates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our growth rate relative to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or legal developments in the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application of new standards and practices applied by the FDA for review of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litigation, including developments or disputes concerning patent applications, issued patents or other intellectual property or proprietary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recruitment or departure of key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announcements by us or our competitors of significant acquisitions, strategic collaborations, joint ventures, licensing arrangements or capital commitments;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decision to terminate or dispose of any preclinical or clinical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level of research and development expenses incurred for our product candidates and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estimates as to financial results, development timelines or coverage and/or recommendations by securities analysts;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fluctuations in the valuation of companies perceived by investors to be comparable to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conditions in the pharmaceutical and biotechnology sector;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the structure of healthcare payment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 price and volume fluctuations attributable to inconsistent trading volume levels of our shares;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 or expectation of additional financing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our common stock by us, our insiders or our other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expiration of market stand-off or lock-up agreements;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natural disasters or public health emergencies;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fluctuations in interest rates and inflation rates;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 economic, political, industry and market conditions.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listing standards of the Nasdaq Global Select Market require, among other things, that the minimum price of a listed company’s stock be at or above $1.00. On January 28, 2026, we received a letter from the Staff of Nasdaq indicating that, based upon the closing bid price of shares of our common stock for the 30 consecutive business day period between December 12, 2025, through January 27, 2026, the Company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In the event we do not regain compliance by the end of the Compliance Period, we may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There can be no assurance that we will be eligible for the Second Compliance Period, if applicable, or that the Staff would grant our request for continued listing subsequent to any delisting notification and there can be no assurance that we will be able to regain or maintain compliance with the minimum bid price requirement or any other Nasdaq listing standards, if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regain compliance with or continue to satisfy the Nasdaq continued listing requirements,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or if the forecasts we provide to the market are below the expectations of analysts or investors, the price of our common stock could decline substantially.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March 31, 2026, our executive officers, directors, holders of 5% or more of our capital stock and their respective affiliates beneficially owned approximately 23%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Sales of a substantial number of shares of our common stock in the public market could occur at any time. For example, we filed (i) on March 4, 2025, a prospectus supplement to our shelf registration statement on Form S-3 that became effective on August 10, 2022 that covered the offering, issuance and sale of 75,000,000 shares of our common stock, Series A Warrants to purchase 75,000,000 shares of our common stock, and Series B warrants to purchase 37,500,000 shares of our common stock, (ii) </w:t>
      </w:r>
      <w:r>
        <w:rPr>
          <w:rFonts w:ascii="Times New Roman" w:hAnsi="Times New Roman"/>
          <w:color w:val="000000"/>
          <w:sz w:val="20"/>
        </w:rPr>
        <w:t>a new shelf registration statement on Form S-3 that became effective on March 31, 2025</w:t>
      </w:r>
      <w:r>
        <w:rPr>
          <w:rFonts w:ascii="Times New Roman" w:hAnsi="Times New Roman"/>
          <w:color w:val="231F20"/>
          <w:sz w:val="20"/>
        </w:rPr>
        <w:t>, which will allow us to undertake various equity and debt offerings up to $300.0 million (the 2025 Shelf Registration), and (iii) on December 12, 2025, a prospectus supplement to our 2025 Shelf Registration that covered the offering, issuance and sale of 50,000,000 shares of our common stock and warrants to purchase 50,000,000 shares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warrants are exercised and shares are sold, or if it is perceived that they will be sold, in the public market, the trading price of our common stock could decline.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rules governing the standards that must be met for management to assess our internal control over financial reporting are complex and require significant documentation, testing and possible remediation to meet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 classified board of directors so that not all members of our board are elected at one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permit only the board of directors to establish the number of directors and fill vacancies on the board;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provide that directors may only be removed “for cause”;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the issuance of “blank check” preferred stock that our board could use to implement a stockholder rights plan (also known as a poison pill);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eliminate the ability of our stockholders to call special meetings of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stockholder action by written consent, which requires all stockholder actions to be taken at a meeting of our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cumulative voting;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our board of directors to amend the bylaws;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 a super-majority vote of stockholders to amend or repeal specified provisions of our certificate of incorporation and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derivative action or proceeding brought on our behalf;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of breach of fiduciary duty;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arising under the DGCL, our certificate of incorporation or our bylaws;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that is governed by the internal-affairs doctrine.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exclusive-forum provisions may limit a stockholder’s ability to bring a claim in a judicial forum that it finds favorable for disputes with us or our directors, officers or other employees. In addition, these exclusive-forum provisions may impose additional litigation costs for stockholders who determine to pursue any such lawsuits against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pStyle w:val="TextBody"/>
        <w:bidi w:val="0"/>
        <w:spacing w:before="24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no sales of unregistered equity securities during the period covered by this report that were not previously reported in a Quarterly Report on Form 10-Q or a Current Report on Form 8-K.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2026,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53"/>
        <w:gridCol w:w="146"/>
        <w:gridCol w:w="6389"/>
        <w:gridCol w:w="586"/>
        <w:gridCol w:w="736"/>
        <w:gridCol w:w="736"/>
        <w:gridCol w:w="759"/>
      </w:tblGrid>
      <w:tr>
        <w:trPr/>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85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Filing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Composite Amended and Restated Certificate of Incorporation of Tenaya Therapeutics, Inc., as amended</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8-9-2023</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Tenaya Therapeutics,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3-21-2023</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2024 Inducement Equity Incentive Plan, as amended and forms of agreements thereunder</w:t>
              </w:r>
            </w:hyperlink>
            <w:r>
              <w:rPr>
                <w:rFonts w:ascii="Times New Roman" w:hAnsi="Times New Roman"/>
                <w:color w:val="000000"/>
                <w:sz w:val="20"/>
              </w:rPr>
              <w:t xml:space="preserve">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1-30-2026</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10_2.htm">
              <w:r>
                <w:rPr>
                  <w:rStyle w:val="InternetLink"/>
                  <w:rFonts w:ascii="Times New Roman" w:hAnsi="Times New Roman"/>
                  <w:color w:val="0000FF"/>
                  <w:sz w:val="20"/>
                  <w:u w:val="single"/>
                </w:rPr>
                <w:t>Collaboration Agreement by and between Alnylam Pharmaceuticals, Inc. and Tenaya Therapeutics,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1.htm">
              <w:r>
                <w:rPr>
                  <w:rStyle w:val="InternetLink"/>
                  <w:rFonts w:ascii="Times New Roman" w:hAnsi="Times New Roman"/>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as the registrant has determined that the omitted information is (1) immaterial and (2) the type the registrant treats as private or confidential.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1636"/>
        <w:gridCol w:w="109"/>
        <w:gridCol w:w="406"/>
        <w:gridCol w:w="564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64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Tenaya Therapeutics,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6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Interim 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1" w:name="tnya-ex10_2.htm"/>
      <w:bookmarkStart w:id="22" w:name="kstnyaex10_2"/>
      <w:bookmarkEnd w:id="21"/>
      <w:bookmarkEnd w:id="22"/>
      <w:r>
        <w:rPr>
          <w:rFonts w:ascii="Times New Roman" w:hAnsi="Times New Roman"/>
          <w:color w:val="000000"/>
          <w:sz w:val="22"/>
        </w:rPr>
        <w:t>Exhibit 10.2</w:t>
      </w:r>
      <w:r>
        <w:br w:type="page"/>
      </w:r>
    </w:p>
    <w:p>
      <w:pPr>
        <w:pStyle w:val="TextBody"/>
        <w:bidi w:val="0"/>
        <w:jc w:val="center"/>
        <w:rPr>
          <w:rFonts w:ascii="Times New Roman" w:hAnsi="Times New Roman"/>
          <w:sz w:val="20"/>
        </w:rPr>
      </w:pPr>
      <w:r>
        <w:rPr>
          <w:rFonts w:ascii="Times New Roman" w:hAnsi="Times New Roman"/>
          <w:b/>
          <w:color w:val="000000"/>
          <w:sz w:val="22"/>
        </w:rPr>
        <w:t>CERTAIN IDENTIFIED INFORMATION HAS BEEN EXCLUDED FROM THIS EXHIBIT BECAUSE IT IS (1) NOT MATERIAL AND (2) THE TYPE THAT THE REGISTRANT TREATS AS PRIVATE OR CONFIDENTIAL.</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 INDICATES THAT INFORMATION HAS BEEN REDACTED.</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COLLABORATION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by and between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ALNYLAM PHARMACEUTICALS,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TENAYA THERAPEUTICS, INC.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COLLABORATION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COLLABORATION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effective as of this 4</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March,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is entered into by and between Alnylam Pharmaceuticals, Inc., a corporation organized and existing under the laws of the State of Delaware having an office at 675 West Kendall Street, Cambridge, MA 02142 (“</w:t>
      </w:r>
      <w:r>
        <w:rPr>
          <w:rFonts w:ascii="Times New Roman" w:hAnsi="Times New Roman"/>
          <w:b/>
          <w:color w:val="000000"/>
          <w:sz w:val="22"/>
        </w:rPr>
        <w:t>Alnylam</w:t>
      </w:r>
      <w:r>
        <w:rPr>
          <w:rFonts w:ascii="Times New Roman" w:hAnsi="Times New Roman"/>
          <w:color w:val="000000"/>
          <w:sz w:val="20"/>
        </w:rPr>
        <w:t>”</w:t>
      </w:r>
      <w:r>
        <w:rPr>
          <w:rFonts w:ascii="Times New Roman" w:hAnsi="Times New Roman"/>
          <w:color w:val="000000"/>
          <w:sz w:val="22"/>
        </w:rPr>
        <w:t>), and Tenaya Therapeutics, Inc., a corporation organized and existing under the laws of the State of Delaware having an office at 171 Oyster Point Blvd, Suite 500, South San Francisco, CA 94080 (“</w:t>
      </w:r>
      <w:r>
        <w:rPr>
          <w:rFonts w:ascii="Times New Roman" w:hAnsi="Times New Roman"/>
          <w:b/>
          <w:color w:val="000000"/>
          <w:sz w:val="22"/>
        </w:rPr>
        <w:t>Tenaya</w:t>
      </w:r>
      <w:r>
        <w:rPr>
          <w:rFonts w:ascii="Times New Roman" w:hAnsi="Times New Roman"/>
          <w:color w:val="000000"/>
          <w:sz w:val="20"/>
        </w:rPr>
        <w:t>”</w:t>
      </w:r>
      <w:r>
        <w:rPr>
          <w:rFonts w:ascii="Times New Roman" w:hAnsi="Times New Roman"/>
          <w:color w:val="000000"/>
          <w:sz w:val="22"/>
        </w:rPr>
        <w:t>). Alnylam and Tenaya are referred to herein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Alnylam has scientific expertise and technology regarding the structure and use of therapeutic products that function through RNA interference;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Alnylam owns or controls certain fundamental intellectual property relating to RNA interference;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Tenaya is a biopharmaceutical company focused on the discovery and development of therapies for heart diseases;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Parties desire to collaborate to enable Tenaya to use its proprietary technology to identify and validate novel human gene target associations with the treatment, prevention, alteration, or cure of heart and cardiovascular diseases;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premises and the mutual covenants herein contained, the Parties hereby agree as follows: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b/>
          <w:color w:val="000000"/>
          <w:sz w:val="22"/>
        </w:rPr>
        <w:t>DEFINITIONS</w:t>
      </w:r>
      <w:r>
        <w:rPr>
          <w:rFonts w:ascii="Times New Roman" w:hAnsi="Times New Roman"/>
          <w:color w:val="000000"/>
          <w:sz w:val="22"/>
        </w:rPr>
        <w:t>. Unless specifically set forth to the contrary herein, the following terms, whether used in the singular or plural, and in addition to the terms defined elsewhere in this Agreement, will have the respective meanings set forth below:</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color w:val="000000"/>
        </w:rPr>
        <w:t>“</w:t>
      </w:r>
      <w:r>
        <w:rPr>
          <w:rFonts w:ascii="Times New Roman" w:hAnsi="Times New Roman"/>
          <w:b/>
          <w:color w:val="000000"/>
          <w:sz w:val="22"/>
        </w:rPr>
        <w:t>Acquirer</w:t>
      </w:r>
      <w:r>
        <w:rPr>
          <w:color w:val="000000"/>
        </w:rPr>
        <w:t xml:space="preserve">” </w:t>
      </w:r>
      <w:r>
        <w:rPr>
          <w:rFonts w:ascii="Times New Roman" w:hAnsi="Times New Roman"/>
          <w:color w:val="000000"/>
          <w:sz w:val="22"/>
        </w:rPr>
        <w:t>has the meaning set forth in Section 1.20.</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color w:val="000000"/>
        </w:rPr>
        <w:t>“</w:t>
      </w:r>
      <w:r>
        <w:rPr>
          <w:rFonts w:ascii="Times New Roman" w:hAnsi="Times New Roman"/>
          <w:b/>
          <w:color w:val="000000"/>
          <w:sz w:val="22"/>
        </w:rPr>
        <w:t>Affiliate</w:t>
      </w:r>
      <w:r>
        <w:rPr>
          <w:color w:val="000000"/>
        </w:rPr>
        <w:t xml:space="preserve">” </w:t>
      </w:r>
      <w:r>
        <w:rPr>
          <w:rFonts w:ascii="Times New Roman" w:hAnsi="Times New Roman"/>
          <w:color w:val="000000"/>
          <w:sz w:val="22"/>
        </w:rPr>
        <w:t>means, with respect to a Person, any Person that, directly or indirectly, through one or more intermediaries, controls, is controlled by or is under common control with such first Person but only for so long as such Person controls, is controlled by or is under common control with such first Person, regardless of whether such Affiliate is or becomes an Affiliate on or after the Effective Date. For purposes of this definition, “control” and, with correlative meanings, the terms “controlled by” and “under common control with” means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fifty percent (50%) of the voting securities or other ownership interest of a business entity (or, with respect to a 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will be substituted in the preceding sentence; provided that such foreign investor has the power to direct the management or policies of such entity.</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w:t>
      </w:r>
    </w:p>
    <w:p>
      <w:pPr>
        <w:pStyle w:val="TextBody"/>
        <w:bidi w:val="0"/>
        <w:jc w:val="both"/>
        <w:rPr/>
      </w:pPr>
      <w:r>
        <w:rPr>
          <w:color w:val="000000"/>
        </w:rPr>
        <w:t>“</w:t>
      </w:r>
      <w:r>
        <w:rPr>
          <w:rFonts w:ascii="Times New Roman" w:hAnsi="Times New Roman"/>
          <w:b/>
          <w:color w:val="000000"/>
          <w:sz w:val="22"/>
        </w:rPr>
        <w:t>Alliance Manager</w:t>
      </w:r>
      <w:r>
        <w:rPr>
          <w:color w:val="000000"/>
        </w:rPr>
        <w:t xml:space="preserve">” </w:t>
      </w:r>
      <w:r>
        <w:rPr>
          <w:rFonts w:ascii="Times New Roman" w:hAnsi="Times New Roman"/>
          <w:color w:val="000000"/>
          <w:sz w:val="22"/>
        </w:rPr>
        <w:t>has the meaning set forth in Section 5.7.</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w:t>
      </w:r>
    </w:p>
    <w:p>
      <w:pPr>
        <w:pStyle w:val="TextBody"/>
        <w:bidi w:val="0"/>
        <w:jc w:val="both"/>
        <w:rPr/>
      </w:pPr>
      <w:r>
        <w:rPr>
          <w:color w:val="000000"/>
        </w:rPr>
        <w:t>“</w:t>
      </w:r>
      <w:r>
        <w:rPr>
          <w:rFonts w:ascii="Times New Roman" w:hAnsi="Times New Roman"/>
          <w:b/>
          <w:color w:val="000000"/>
          <w:sz w:val="22"/>
        </w:rPr>
        <w:t>Alnylam Background Technology</w:t>
      </w:r>
      <w:r>
        <w:rPr>
          <w:color w:val="000000"/>
        </w:rPr>
        <w:t xml:space="preserve">” </w:t>
      </w:r>
      <w:r>
        <w:rPr>
          <w:rFonts w:ascii="Times New Roman" w:hAnsi="Times New Roman"/>
          <w:color w:val="000000"/>
          <w:sz w:val="22"/>
        </w:rPr>
        <w:t>means (a) Know-How that is necessary or reasonably useful for the performance of the Tenaya Research Activities and (b) Patent Rights that Cover the Know-How described in subsection (a), in each case ((a) and (b)), that are Controlled by Alnylam or its Affiliates as of the Effective Date or during the Term, but excluding the Alnylam Collaboration Technology.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w:t>
      </w:r>
    </w:p>
    <w:p>
      <w:pPr>
        <w:pStyle w:val="TextBody"/>
        <w:bidi w:val="0"/>
        <w:jc w:val="both"/>
        <w:rPr/>
      </w:pPr>
      <w:r>
        <w:rPr>
          <w:color w:val="000000"/>
        </w:rPr>
        <w:t>“</w:t>
      </w:r>
      <w:r>
        <w:rPr>
          <w:rFonts w:ascii="Times New Roman" w:hAnsi="Times New Roman"/>
          <w:b/>
          <w:color w:val="000000"/>
          <w:sz w:val="22"/>
        </w:rPr>
        <w:t>Alnylam Collaboration Know-How</w:t>
      </w:r>
      <w:r>
        <w:rPr>
          <w:color w:val="000000"/>
        </w:rPr>
        <w:t xml:space="preserve">” </w:t>
      </w:r>
      <w:r>
        <w:rPr>
          <w:rFonts w:ascii="Times New Roman" w:hAnsi="Times New Roman"/>
          <w:color w:val="000000"/>
          <w:sz w:val="22"/>
        </w:rPr>
        <w:t>means (a) any and all Know-How identified, developed, made or discovered solely by or on behalf of either Party or its Affiliates or jointly by or on behalf of the Parties or their respective Affiliates under this Agreement relating to [***], and (b) any other Know-How identified, developed, made or discovered solely by or on behalf of Alnylam or its Affiliates under this Agreement, but in each case ((a) and (b)) excluding Tenaya Platform Know-How.</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w:t>
      </w:r>
    </w:p>
    <w:p>
      <w:pPr>
        <w:pStyle w:val="TextBody"/>
        <w:bidi w:val="0"/>
        <w:jc w:val="both"/>
        <w:rPr/>
      </w:pPr>
      <w:r>
        <w:rPr>
          <w:color w:val="000000"/>
        </w:rPr>
        <w:t>“</w:t>
      </w:r>
      <w:r>
        <w:rPr>
          <w:rFonts w:ascii="Times New Roman" w:hAnsi="Times New Roman"/>
          <w:b/>
          <w:color w:val="000000"/>
          <w:sz w:val="22"/>
        </w:rPr>
        <w:t>Alnylam Collaboration Patents</w:t>
      </w:r>
      <w:r>
        <w:rPr>
          <w:color w:val="000000"/>
        </w:rPr>
        <w:t xml:space="preserve">” </w:t>
      </w:r>
      <w:r>
        <w:rPr>
          <w:rFonts w:ascii="Times New Roman" w:hAnsi="Times New Roman"/>
          <w:color w:val="000000"/>
          <w:sz w:val="22"/>
        </w:rPr>
        <w:t>means any and all Patent Rights that Cover Alnylam Collaboration Know-How.</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w:t>
      </w:r>
    </w:p>
    <w:p>
      <w:pPr>
        <w:pStyle w:val="TextBody"/>
        <w:bidi w:val="0"/>
        <w:jc w:val="both"/>
        <w:rPr/>
      </w:pPr>
      <w:r>
        <w:rPr>
          <w:color w:val="000000"/>
        </w:rPr>
        <w:t>“</w:t>
      </w:r>
      <w:r>
        <w:rPr>
          <w:rFonts w:ascii="Times New Roman" w:hAnsi="Times New Roman"/>
          <w:b/>
          <w:color w:val="000000"/>
          <w:sz w:val="22"/>
        </w:rPr>
        <w:t>Alnylam Collaboration Technology</w:t>
      </w:r>
      <w:r>
        <w:rPr>
          <w:color w:val="000000"/>
        </w:rPr>
        <w:t xml:space="preserve">” </w:t>
      </w:r>
      <w:r>
        <w:rPr>
          <w:rFonts w:ascii="Times New Roman" w:hAnsi="Times New Roman"/>
          <w:color w:val="000000"/>
          <w:sz w:val="22"/>
        </w:rPr>
        <w:t>means the Alnylam Collaboration Know-How and Alnylam Collaboration Patents.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w:t>
      </w:r>
    </w:p>
    <w:p>
      <w:pPr>
        <w:pStyle w:val="TextBody"/>
        <w:bidi w:val="0"/>
        <w:jc w:val="both"/>
        <w:rPr/>
      </w:pPr>
      <w:r>
        <w:rPr>
          <w:color w:val="000000"/>
        </w:rPr>
        <w:t>“</w:t>
      </w:r>
      <w:r>
        <w:rPr>
          <w:rFonts w:ascii="Times New Roman" w:hAnsi="Times New Roman"/>
          <w:b/>
          <w:color w:val="000000"/>
          <w:sz w:val="22"/>
        </w:rPr>
        <w:t>Alnylam Gene Target</w:t>
      </w:r>
      <w:r>
        <w:rPr>
          <w:color w:val="000000"/>
        </w:rPr>
        <w:t xml:space="preserve">” </w:t>
      </w:r>
      <w:r>
        <w:rPr>
          <w:rFonts w:ascii="Times New Roman" w:hAnsi="Times New Roman"/>
          <w:color w:val="000000"/>
          <w:sz w:val="22"/>
        </w:rPr>
        <w:t>means (a) each Gene Target selected by Alnylam, at Alnylam’s discretion, and nominated to the JSC for further validation by the Parties during the Validation Term, excluding any Overlapping Gene Target, or (b) each Overlapping Gene Target deemed an Alnylam Gene Target pursuant to Section 3.2.5; provided that in no event will the Alnylam Gene Targets include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w:t>
      </w:r>
    </w:p>
    <w:p>
      <w:pPr>
        <w:pStyle w:val="TextBody"/>
        <w:bidi w:val="0"/>
        <w:jc w:val="both"/>
        <w:rPr/>
      </w:pPr>
      <w:r>
        <w:rPr>
          <w:color w:val="000000"/>
        </w:rPr>
        <w:t>“</w:t>
      </w:r>
      <w:r>
        <w:rPr>
          <w:rFonts w:ascii="Times New Roman" w:hAnsi="Times New Roman"/>
          <w:b/>
          <w:color w:val="000000"/>
          <w:sz w:val="22"/>
        </w:rPr>
        <w:t>Alnylam Gene Target Information</w:t>
      </w:r>
      <w:r>
        <w:rPr>
          <w:color w:val="000000"/>
        </w:rPr>
        <w:t xml:space="preserve">” </w:t>
      </w:r>
      <w:r>
        <w:rPr>
          <w:rFonts w:ascii="Times New Roman" w:hAnsi="Times New Roman"/>
          <w:color w:val="000000"/>
          <w:sz w:val="22"/>
        </w:rPr>
        <w:t>has the meaning set forth in Section 8.1.1.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w:t>
      </w:r>
    </w:p>
    <w:p>
      <w:pPr>
        <w:pStyle w:val="TextBody"/>
        <w:bidi w:val="0"/>
        <w:jc w:val="both"/>
        <w:rPr/>
      </w:pPr>
      <w:r>
        <w:rPr>
          <w:color w:val="000000"/>
        </w:rPr>
        <w:t>“</w:t>
      </w:r>
      <w:r>
        <w:rPr>
          <w:rFonts w:ascii="Times New Roman" w:hAnsi="Times New Roman"/>
          <w:b/>
          <w:color w:val="000000"/>
          <w:sz w:val="22"/>
        </w:rPr>
        <w:t>Alnylam Indemnitees</w:t>
      </w:r>
      <w:r>
        <w:rPr>
          <w:color w:val="000000"/>
        </w:rPr>
        <w:t xml:space="preserve">” </w:t>
      </w:r>
      <w:r>
        <w:rPr>
          <w:rFonts w:ascii="Times New Roman" w:hAnsi="Times New Roman"/>
          <w:color w:val="000000"/>
          <w:sz w:val="22"/>
        </w:rPr>
        <w:t>has the meaning set forth in Section 10.1.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w:t>
      </w:r>
    </w:p>
    <w:p>
      <w:pPr>
        <w:pStyle w:val="TextBody"/>
        <w:bidi w:val="0"/>
        <w:jc w:val="both"/>
        <w:rPr/>
      </w:pPr>
      <w:r>
        <w:rPr>
          <w:color w:val="000000"/>
        </w:rPr>
        <w:t>“</w:t>
      </w:r>
      <w:r>
        <w:rPr>
          <w:rFonts w:ascii="Times New Roman" w:hAnsi="Times New Roman"/>
          <w:b/>
          <w:color w:val="000000"/>
          <w:sz w:val="22"/>
        </w:rPr>
        <w:t>Alnylam Know-How</w:t>
      </w:r>
      <w:r>
        <w:rPr>
          <w:color w:val="000000"/>
        </w:rPr>
        <w:t xml:space="preserve">” </w:t>
      </w:r>
      <w:r>
        <w:rPr>
          <w:rFonts w:ascii="Times New Roman" w:hAnsi="Times New Roman"/>
          <w:color w:val="000000"/>
          <w:sz w:val="22"/>
        </w:rPr>
        <w:t>means (a) the Alnylam Collaboration Know-How; and (b) the Know-How included in any Alnylam Background Technology.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w:t>
      </w:r>
    </w:p>
    <w:p>
      <w:pPr>
        <w:pStyle w:val="TextBody"/>
        <w:bidi w:val="0"/>
        <w:jc w:val="both"/>
        <w:rPr/>
      </w:pPr>
      <w:r>
        <w:rPr>
          <w:color w:val="000000"/>
        </w:rPr>
        <w:t>“</w:t>
      </w:r>
      <w:r>
        <w:rPr>
          <w:rFonts w:ascii="Times New Roman" w:hAnsi="Times New Roman"/>
          <w:b/>
          <w:color w:val="000000"/>
          <w:sz w:val="22"/>
        </w:rPr>
        <w:t>Alnylam Patents</w:t>
      </w:r>
      <w:r>
        <w:rPr>
          <w:color w:val="000000"/>
        </w:rPr>
        <w:t xml:space="preserve">” </w:t>
      </w:r>
      <w:r>
        <w:rPr>
          <w:rFonts w:ascii="Times New Roman" w:hAnsi="Times New Roman"/>
          <w:color w:val="000000"/>
          <w:sz w:val="22"/>
        </w:rPr>
        <w:t>means (a) the Alnylam Collaboration Patents; and (b) the Patent Rights included in any Alnylam Background Technology.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1.13</w:t>
      </w:r>
    </w:p>
    <w:p>
      <w:pPr>
        <w:pStyle w:val="TextBody"/>
        <w:bidi w:val="0"/>
        <w:jc w:val="both"/>
        <w:rPr/>
      </w:pPr>
      <w:r>
        <w:rPr>
          <w:color w:val="000000"/>
        </w:rPr>
        <w:t>“</w:t>
      </w:r>
      <w:r>
        <w:rPr>
          <w:rFonts w:ascii="Times New Roman" w:hAnsi="Times New Roman"/>
          <w:b/>
          <w:color w:val="000000"/>
          <w:sz w:val="22"/>
        </w:rPr>
        <w:t>Alnylam Tool Compound</w:t>
      </w:r>
      <w:r>
        <w:rPr>
          <w:color w:val="000000"/>
        </w:rPr>
        <w:t xml:space="preserve">” </w:t>
      </w:r>
      <w:r>
        <w:rPr>
          <w:rFonts w:ascii="Times New Roman" w:hAnsi="Times New Roman"/>
          <w:color w:val="000000"/>
          <w:sz w:val="22"/>
        </w:rPr>
        <w:t xml:space="preserve">means any research-grade tool Oligonucleotide compound Directed To a Collaboration Target selected by Alnylam for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validation under the Research Plan pursuant to Section 3.3.3.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1.14</w:t>
      </w:r>
    </w:p>
    <w:p>
      <w:pPr>
        <w:pStyle w:val="TextBody"/>
        <w:bidi w:val="0"/>
        <w:jc w:val="both"/>
        <w:rPr/>
      </w:pPr>
      <w:r>
        <w:rPr>
          <w:color w:val="000000"/>
        </w:rPr>
        <w:t>“</w:t>
      </w:r>
      <w:r>
        <w:rPr>
          <w:rFonts w:ascii="Times New Roman" w:hAnsi="Times New Roman"/>
          <w:b/>
          <w:color w:val="000000"/>
          <w:sz w:val="22"/>
        </w:rPr>
        <w:t>API</w:t>
      </w:r>
      <w:r>
        <w:rPr>
          <w:color w:val="000000"/>
        </w:rPr>
        <w:t xml:space="preserve">” </w:t>
      </w:r>
      <w:r>
        <w:rPr>
          <w:rFonts w:ascii="Times New Roman" w:hAnsi="Times New Roman"/>
          <w:color w:val="000000"/>
          <w:sz w:val="22"/>
        </w:rPr>
        <w:t>means any active pharmaceutical (including biological) ingredient or component (but excluding, for clarity, an adjuvant or excipient).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1.15</w:t>
      </w:r>
    </w:p>
    <w:p>
      <w:pPr>
        <w:pStyle w:val="TextBody"/>
        <w:bidi w:val="0"/>
        <w:jc w:val="both"/>
        <w:rPr/>
      </w:pPr>
      <w:r>
        <w:rPr>
          <w:color w:val="000000"/>
        </w:rPr>
        <w:t>“</w:t>
      </w:r>
      <w:r>
        <w:rPr>
          <w:rFonts w:ascii="Times New Roman" w:hAnsi="Times New Roman"/>
          <w:b/>
          <w:color w:val="000000"/>
          <w:sz w:val="22"/>
        </w:rPr>
        <w:t>Applicable Law</w:t>
      </w:r>
      <w:r>
        <w:rPr>
          <w:color w:val="000000"/>
        </w:rPr>
        <w:t xml:space="preserve">” </w:t>
      </w:r>
      <w:r>
        <w:rPr>
          <w:rFonts w:ascii="Times New Roman" w:hAnsi="Times New Roman"/>
          <w:color w:val="000000"/>
          <w:sz w:val="22"/>
        </w:rPr>
        <w:t>means applicable laws, rules, and regulations, including any rules, regulations, guidelines, or other requirements of the Regulatory Authorities, that may be in effect from time to time.</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1.16</w:t>
      </w:r>
    </w:p>
    <w:p>
      <w:pPr>
        <w:pStyle w:val="TextBody"/>
        <w:bidi w:val="0"/>
        <w:spacing w:before="0" w:after="240"/>
        <w:jc w:val="both"/>
        <w:rPr/>
      </w:pPr>
      <w:r>
        <w:rPr>
          <w:color w:val="000000"/>
        </w:rPr>
        <w:t>“</w:t>
      </w:r>
      <w:r>
        <w:rPr>
          <w:rFonts w:ascii="Times New Roman" w:hAnsi="Times New Roman"/>
          <w:b/>
          <w:color w:val="000000"/>
          <w:sz w:val="22"/>
        </w:rPr>
        <w:t>Associated</w:t>
      </w:r>
      <w:r>
        <w:rPr>
          <w:color w:val="000000"/>
        </w:rPr>
        <w:t xml:space="preserve">” </w:t>
      </w:r>
      <w:r>
        <w:rPr>
          <w:rFonts w:ascii="Times New Roman" w:hAnsi="Times New Roman"/>
          <w:color w:val="000000"/>
          <w:sz w:val="22"/>
        </w:rPr>
        <w:t>means that, with respect to a Gene Target, that [***]. “</w:t>
      </w:r>
      <w:r>
        <w:rPr>
          <w:rFonts w:ascii="Times New Roman" w:hAnsi="Times New Roman"/>
          <w:b/>
          <w:color w:val="000000"/>
          <w:sz w:val="22"/>
        </w:rPr>
        <w:t>Association</w:t>
      </w:r>
      <w:r>
        <w:rPr>
          <w:color w:val="000000"/>
        </w:rPr>
        <w:t xml:space="preserve">” </w:t>
      </w:r>
      <w:r>
        <w:rPr>
          <w:rFonts w:ascii="Times New Roman" w:hAnsi="Times New Roman"/>
          <w:color w:val="000000"/>
          <w:sz w:val="22"/>
        </w:rPr>
        <w:t>shall have a correlative meaning.</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1.17</w:t>
      </w:r>
    </w:p>
    <w:p>
      <w:pPr>
        <w:pStyle w:val="TextBody"/>
        <w:bidi w:val="0"/>
        <w:jc w:val="both"/>
        <w:rPr/>
      </w:pPr>
      <w:r>
        <w:rPr>
          <w:color w:val="000000"/>
        </w:rPr>
        <w:t>“</w:t>
      </w:r>
      <w:r>
        <w:rPr>
          <w:rFonts w:ascii="Times New Roman" w:hAnsi="Times New Roman"/>
          <w:b/>
          <w:color w:val="000000"/>
          <w:sz w:val="22"/>
        </w:rPr>
        <w:t>Breaching Party</w:t>
      </w:r>
      <w:r>
        <w:rPr>
          <w:color w:val="000000"/>
        </w:rPr>
        <w:t xml:space="preserve">” </w:t>
      </w:r>
      <w:r>
        <w:rPr>
          <w:rFonts w:ascii="Times New Roman" w:hAnsi="Times New Roman"/>
          <w:color w:val="000000"/>
          <w:sz w:val="22"/>
        </w:rPr>
        <w:t>has the meaning set forth in Section 12.2.2.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1.18</w:t>
      </w:r>
    </w:p>
    <w:p>
      <w:pPr>
        <w:pStyle w:val="TextBody"/>
        <w:bidi w:val="0"/>
        <w:jc w:val="both"/>
        <w:rPr/>
      </w:pPr>
      <w:r>
        <w:rPr>
          <w:color w:val="000000"/>
        </w:rPr>
        <w:t>“</w:t>
      </w:r>
      <w:r>
        <w:rPr>
          <w:rFonts w:ascii="Times New Roman" w:hAnsi="Times New Roman"/>
          <w:b/>
          <w:color w:val="000000"/>
          <w:sz w:val="22"/>
        </w:rPr>
        <w:t>Business Day</w:t>
      </w:r>
      <w:r>
        <w:rPr>
          <w:color w:val="000000"/>
        </w:rPr>
        <w:t xml:space="preserve">” </w:t>
      </w:r>
      <w:r>
        <w:rPr>
          <w:rFonts w:ascii="Times New Roman" w:hAnsi="Times New Roman"/>
          <w:color w:val="000000"/>
          <w:sz w:val="22"/>
        </w:rPr>
        <w:t>means a day other than a Saturday, Sunday or another day of the week on which commercial banks in San Francisco, California or Boston, Massachusetts, are authorized or required by Applicable Law to remain closed.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1.19</w:t>
      </w:r>
    </w:p>
    <w:p>
      <w:pPr>
        <w:pStyle w:val="TextBody"/>
        <w:bidi w:val="0"/>
        <w:jc w:val="both"/>
        <w:rPr/>
      </w:pPr>
      <w:r>
        <w:rPr>
          <w:color w:val="000000"/>
        </w:rPr>
        <w:t>“</w:t>
      </w:r>
      <w:r>
        <w:rPr>
          <w:rFonts w:ascii="Times New Roman" w:hAnsi="Times New Roman"/>
          <w:b/>
          <w:color w:val="000000"/>
          <w:sz w:val="22"/>
        </w:rPr>
        <w:t>Calendar Quarter</w:t>
      </w:r>
      <w:r>
        <w:rPr>
          <w:color w:val="000000"/>
        </w:rPr>
        <w:t xml:space="preserve">” </w:t>
      </w:r>
      <w:r>
        <w:rPr>
          <w:rFonts w:ascii="Times New Roman" w:hAnsi="Times New Roman"/>
          <w:color w:val="000000"/>
          <w:sz w:val="22"/>
        </w:rPr>
        <w:t>means each successive period of three (3) calendar months commencing on January 1, April 1, July 1 and October 1, except that the first Calendar Quarter of the Term will commence on the Effective Date and end on the day immediately prior to the first to occur of January 1, April 1, July 1 or October 1 after the Effective Date, and the last Calendar Quarter will end on the last day of the Term.</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1.20</w:t>
      </w:r>
    </w:p>
    <w:p>
      <w:pPr>
        <w:pStyle w:val="TextBody"/>
        <w:bidi w:val="0"/>
        <w:jc w:val="both"/>
        <w:rPr/>
      </w:pPr>
      <w:r>
        <w:rPr>
          <w:color w:val="000000"/>
        </w:rPr>
        <w:t>“</w:t>
      </w:r>
      <w:r>
        <w:rPr>
          <w:rFonts w:ascii="Times New Roman" w:hAnsi="Times New Roman"/>
          <w:b/>
          <w:color w:val="000000"/>
          <w:sz w:val="22"/>
        </w:rPr>
        <w:t>Change of Control</w:t>
      </w:r>
      <w:r>
        <w:rPr>
          <w:color w:val="000000"/>
        </w:rPr>
        <w:t xml:space="preserve">” </w:t>
      </w:r>
      <w:r>
        <w:rPr>
          <w:rFonts w:ascii="Times New Roman" w:hAnsi="Times New Roman"/>
          <w:color w:val="000000"/>
          <w:sz w:val="22"/>
        </w:rPr>
        <w:t>means, with respect to Tenaya: (a) the acquisition by a Third Party, in one transaction or a series of related transactions, of direct or indirect beneficial ownership of more than fifty percent (50%) of the outstanding voting equity securities of Tenaya; (b) a merger, reorganization or consolidation involving Tenaya as a result of which (i) a Third Party acquires direct or indirect beneficial ownership of more than fifty percent (50%) of the voting power of the surviving entity immediately after such merger, reorganization or consolidation and (ii) the voting securities of Tenaya outstanding immediately prior to such merger, reorganization or consolidation, or any securities into which such voting securities have been converted or exchanged, cease to represent more than fifty percent (50%) of the combined voting power of the surviving entity or the parent of the surviving entity immediately following such merger, reorganization or consolidation; or (c) a sale, exclusive license or other transfer of all or substantially all of the assets of Tenaya related to the transactions contemplated by this Agreement in one transaction or a series of related transactions to a Third Party. The acquiring or combining Third Party in any of (a), (b) or (c), and any of such Third Party’s Affiliates (whether in existence as of or any time following the applicable transaction, but other than Tenaya and its Affiliates in existence as of the applicable transaction) are referred to collectively herein as the “</w:t>
      </w:r>
      <w:r>
        <w:rPr>
          <w:rFonts w:ascii="Times New Roman" w:hAnsi="Times New Roman"/>
          <w:b/>
          <w:color w:val="000000"/>
          <w:sz w:val="22"/>
        </w:rPr>
        <w:t>Acquirer</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1.21</w:t>
      </w:r>
    </w:p>
    <w:p>
      <w:pPr>
        <w:pStyle w:val="TextBody"/>
        <w:bidi w:val="0"/>
        <w:jc w:val="both"/>
        <w:rPr/>
      </w:pPr>
      <w:r>
        <w:rPr>
          <w:color w:val="000000"/>
        </w:rPr>
        <w:t>“</w:t>
      </w:r>
      <w:r>
        <w:rPr>
          <w:rFonts w:ascii="Times New Roman" w:hAnsi="Times New Roman"/>
          <w:b/>
          <w:color w:val="000000"/>
          <w:sz w:val="22"/>
        </w:rPr>
        <w:t>Clinical Trial</w:t>
      </w:r>
      <w:r>
        <w:rPr>
          <w:color w:val="000000"/>
        </w:rPr>
        <w:t xml:space="preserve">” </w:t>
      </w:r>
      <w:r>
        <w:rPr>
          <w:rFonts w:ascii="Times New Roman" w:hAnsi="Times New Roman"/>
          <w:color w:val="000000"/>
          <w:sz w:val="22"/>
        </w:rPr>
        <w:t>means a human clinical trial of a Licensed Product.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1.22</w:t>
      </w:r>
    </w:p>
    <w:p>
      <w:pPr>
        <w:pStyle w:val="TextBody"/>
        <w:bidi w:val="0"/>
        <w:jc w:val="both"/>
        <w:rPr/>
      </w:pPr>
      <w:r>
        <w:rPr>
          <w:color w:val="000000"/>
        </w:rPr>
        <w:t>“</w:t>
      </w:r>
      <w:r>
        <w:rPr>
          <w:rFonts w:ascii="Times New Roman" w:hAnsi="Times New Roman"/>
          <w:b/>
          <w:color w:val="000000"/>
          <w:sz w:val="22"/>
        </w:rPr>
        <w:t>Collaboration Target</w:t>
      </w:r>
      <w:r>
        <w:rPr>
          <w:color w:val="000000"/>
        </w:rPr>
        <w:t xml:space="preserve">” </w:t>
      </w:r>
      <w:r>
        <w:rPr>
          <w:rFonts w:ascii="Times New Roman" w:hAnsi="Times New Roman"/>
          <w:color w:val="000000"/>
          <w:sz w:val="22"/>
        </w:rPr>
        <w:t>means each Tenaya Gene Target, Overlapping Gene Target, Selected Non-Novel Gene Target, or Alnylam Gene Target.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1.23</w:t>
      </w:r>
    </w:p>
    <w:p>
      <w:pPr>
        <w:pStyle w:val="TextBody"/>
        <w:bidi w:val="0"/>
        <w:jc w:val="both"/>
        <w:rPr/>
      </w:pPr>
      <w:r>
        <w:rPr>
          <w:color w:val="000000"/>
        </w:rPr>
        <w:t>“</w:t>
      </w:r>
      <w:r>
        <w:rPr>
          <w:rFonts w:ascii="Times New Roman" w:hAnsi="Times New Roman"/>
          <w:b/>
          <w:color w:val="000000"/>
          <w:sz w:val="22"/>
        </w:rPr>
        <w:t>Collaboration Target List</w:t>
      </w:r>
      <w:r>
        <w:rPr>
          <w:color w:val="000000"/>
        </w:rPr>
        <w:t xml:space="preserve">” </w:t>
      </w:r>
      <w:r>
        <w:rPr>
          <w:rFonts w:ascii="Times New Roman" w:hAnsi="Times New Roman"/>
          <w:color w:val="000000"/>
          <w:sz w:val="22"/>
        </w:rPr>
        <w:t>has the meaning set forth in Section 3.2.6.</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1.24</w:t>
      </w:r>
    </w:p>
    <w:p>
      <w:pPr>
        <w:pStyle w:val="TextBody"/>
        <w:bidi w:val="0"/>
        <w:jc w:val="both"/>
        <w:rPr/>
      </w:pPr>
      <w:r>
        <w:rPr>
          <w:color w:val="000000"/>
        </w:rPr>
        <w:t>“</w:t>
      </w:r>
      <w:r>
        <w:rPr>
          <w:rFonts w:ascii="Times New Roman" w:hAnsi="Times New Roman"/>
          <w:b/>
          <w:color w:val="000000"/>
          <w:sz w:val="22"/>
        </w:rPr>
        <w:t>Collaboration Target List Finalization Date</w:t>
      </w:r>
      <w:r>
        <w:rPr>
          <w:color w:val="000000"/>
        </w:rPr>
        <w:t xml:space="preserve">” </w:t>
      </w:r>
      <w:r>
        <w:rPr>
          <w:rFonts w:ascii="Times New Roman" w:hAnsi="Times New Roman"/>
          <w:color w:val="000000"/>
          <w:sz w:val="22"/>
        </w:rPr>
        <w:t>has the meaning set forth in Section 3.2.6.</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1.25</w:t>
      </w:r>
    </w:p>
    <w:p>
      <w:pPr>
        <w:pStyle w:val="TextBody"/>
        <w:bidi w:val="0"/>
        <w:jc w:val="both"/>
        <w:rPr/>
      </w:pPr>
      <w:r>
        <w:rPr>
          <w:color w:val="000000"/>
        </w:rPr>
        <w:t>“</w:t>
      </w:r>
      <w:r>
        <w:rPr>
          <w:rFonts w:ascii="Times New Roman" w:hAnsi="Times New Roman"/>
          <w:b/>
          <w:color w:val="000000"/>
          <w:sz w:val="22"/>
        </w:rPr>
        <w:t>Commercialization</w:t>
      </w:r>
      <w:r>
        <w:rPr>
          <w:color w:val="000000"/>
        </w:rPr>
        <w:t xml:space="preserve">” </w:t>
      </w:r>
      <w:r>
        <w:rPr>
          <w:rFonts w:ascii="Times New Roman" w:hAnsi="Times New Roman"/>
          <w:color w:val="000000"/>
          <w:sz w:val="22"/>
        </w:rPr>
        <w:t>means any and all activities directed to the preparation for sale of, offering for sale of, or sale of a Product, including activities related to marketing, promoting, distributing, and importing such Product, and interacting with Regulatory Authorities regarding any of the foregoing after such Product has received Regulatory Approval, including seeking Pricing and Reimbursement Approvals, maintaining Regulatory Approvals, commercial pharmacovigilance and health outcomes research and publishing scientific studies other than in connection with Development. When used as a verb, “to Commercialize” and “Commercializing” means to engage in Commercialization.</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1.26</w:t>
      </w:r>
    </w:p>
    <w:p>
      <w:pPr>
        <w:pStyle w:val="TextBody"/>
        <w:bidi w:val="0"/>
        <w:jc w:val="both"/>
        <w:rPr/>
      </w:pPr>
      <w:r>
        <w:rPr>
          <w:color w:val="000000"/>
        </w:rPr>
        <w:t>“</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has the meaning set forth in Section 8.1.1.</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1.27</w:t>
      </w:r>
    </w:p>
    <w:p>
      <w:pPr>
        <w:pStyle w:val="TextBody"/>
        <w:bidi w:val="0"/>
        <w:jc w:val="both"/>
        <w:rPr/>
      </w:pPr>
      <w:r>
        <w:rPr>
          <w:color w:val="000000"/>
        </w:rPr>
        <w:t>“</w:t>
      </w:r>
      <w:r>
        <w:rPr>
          <w:rFonts w:ascii="Times New Roman" w:hAnsi="Times New Roman"/>
          <w:b/>
          <w:color w:val="000000"/>
          <w:sz w:val="22"/>
        </w:rPr>
        <w:t>Confidentiality Agreement</w:t>
      </w:r>
      <w:r>
        <w:rPr>
          <w:color w:val="000000"/>
        </w:rPr>
        <w:t xml:space="preserve">” </w:t>
      </w:r>
      <w:r>
        <w:rPr>
          <w:rFonts w:ascii="Times New Roman" w:hAnsi="Times New Roman"/>
          <w:color w:val="000000"/>
          <w:sz w:val="22"/>
        </w:rPr>
        <w:t>means that certain Confidentiality Agreement entered into between the Parties dated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1.28</w:t>
      </w:r>
    </w:p>
    <w:p>
      <w:pPr>
        <w:pStyle w:val="TextBody"/>
        <w:bidi w:val="0"/>
        <w:jc w:val="both"/>
        <w:rPr/>
      </w:pPr>
      <w:r>
        <w:rPr>
          <w:color w:val="000000"/>
        </w:rPr>
        <w:t>“</w:t>
      </w:r>
      <w:r>
        <w:rPr>
          <w:rFonts w:ascii="Times New Roman" w:hAnsi="Times New Roman"/>
          <w:b/>
          <w:color w:val="000000"/>
          <w:sz w:val="22"/>
        </w:rPr>
        <w:t>Control</w:t>
      </w:r>
      <w:r>
        <w:rPr>
          <w:color w:val="000000"/>
        </w:rPr>
        <w:t xml:space="preserve">” </w:t>
      </w:r>
      <w:r>
        <w:rPr>
          <w:rFonts w:ascii="Times New Roman" w:hAnsi="Times New Roman"/>
          <w:color w:val="000000"/>
          <w:sz w:val="22"/>
        </w:rPr>
        <w:t>means, with respect to a Party and any item of Know-How, Patent Right, or other intellectual property right, the possession by such Party or any of its Affiliates of the right, whether directly or indirectly, and whether by ownership, license or otherwise (other than by operation of the license and other grants in Section 6.1 or Section 6.2), to grant a license, sublicense or other right to or under such Know-How, Patent Right, or other intellectual property right as provided for herein without violating the terms of any agreement or other arrangement with any Third Party. Notwithstanding the foregoing, following a Change of Control of Tenaya, any Know-How, Patent Right, or other intellectual property right owned or controlled by the Acquirer shall not be deemed “Controlled” by Tenaya or its Affiliates for the purpose of this Agreement, except to the extent such Know-How, Patent Right, or other intellectual property right is actually used by Tenaya or its Affiliates, or the Acquirer, in the performance of Tenaya’s obligations under this Agreement following the consummation of such Change of Control.</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1.29</w:t>
      </w:r>
    </w:p>
    <w:p>
      <w:pPr>
        <w:pStyle w:val="TextBody"/>
        <w:bidi w:val="0"/>
        <w:jc w:val="both"/>
        <w:rPr/>
      </w:pPr>
      <w:r>
        <w:rPr>
          <w:color w:val="000000"/>
        </w:rPr>
        <w:t>“</w:t>
      </w:r>
      <w:r>
        <w:rPr>
          <w:rFonts w:ascii="Times New Roman" w:hAnsi="Times New Roman"/>
          <w:b/>
          <w:color w:val="000000"/>
          <w:sz w:val="22"/>
        </w:rPr>
        <w:t>Cover</w:t>
      </w:r>
      <w:r>
        <w:rPr>
          <w:rFonts w:ascii="Times New Roman" w:hAnsi="Times New Roman"/>
          <w:color w:val="000000"/>
          <w:sz w:val="22"/>
        </w:rPr>
        <w:t>,” “</w:t>
      </w:r>
      <w:r>
        <w:rPr>
          <w:rFonts w:ascii="Times New Roman" w:hAnsi="Times New Roman"/>
          <w:b/>
          <w:color w:val="000000"/>
          <w:sz w:val="22"/>
        </w:rPr>
        <w:t>Covering</w:t>
      </w:r>
      <w:r>
        <w:rPr>
          <w:color w:val="000000"/>
        </w:rPr>
        <w:t xml:space="preserve">” </w:t>
      </w:r>
      <w:r>
        <w:rPr>
          <w:rFonts w:ascii="Times New Roman" w:hAnsi="Times New Roman"/>
          <w:color w:val="000000"/>
          <w:sz w:val="22"/>
        </w:rPr>
        <w:t>or “</w:t>
      </w:r>
      <w:r>
        <w:rPr>
          <w:rFonts w:ascii="Times New Roman" w:hAnsi="Times New Roman"/>
          <w:b/>
          <w:color w:val="000000"/>
          <w:sz w:val="22"/>
        </w:rPr>
        <w:t>Covers</w:t>
      </w:r>
      <w:r>
        <w:rPr>
          <w:color w:val="000000"/>
        </w:rPr>
        <w:t xml:space="preserve">” </w:t>
      </w:r>
      <w:r>
        <w:rPr>
          <w:rFonts w:ascii="Times New Roman" w:hAnsi="Times New Roman"/>
          <w:color w:val="000000"/>
          <w:sz w:val="22"/>
        </w:rPr>
        <w:t>means, as to a product, any Patent Rights, that, in the absence of a license granted under, or ownership of, such Patent Rights, the manufacture, use, offer for sale, sale, importation or other Exploitation of such product would infringe such Patent Rights or, as to a pending claim included in such Patent Rights, the manufacture, use, offer for sale, sale, importation or other Exploitation of such product would infringe such Patent Rights if such pending claim were to issue in an issued patent.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1.30</w:t>
      </w:r>
    </w:p>
    <w:p>
      <w:pPr>
        <w:pStyle w:val="TextBody"/>
        <w:bidi w:val="0"/>
        <w:jc w:val="both"/>
        <w:rPr/>
      </w:pPr>
      <w:r>
        <w:rPr>
          <w:color w:val="000000"/>
        </w:rPr>
        <w:t>“</w:t>
      </w:r>
      <w:r>
        <w:rPr>
          <w:rFonts w:ascii="Times New Roman" w:hAnsi="Times New Roman"/>
          <w:b/>
          <w:color w:val="000000"/>
          <w:sz w:val="22"/>
        </w:rPr>
        <w:t>Data Package</w:t>
      </w:r>
      <w:r>
        <w:rPr>
          <w:color w:val="000000"/>
        </w:rPr>
        <w:t xml:space="preserve">” </w:t>
      </w:r>
      <w:r>
        <w:rPr>
          <w:rFonts w:ascii="Times New Roman" w:hAnsi="Times New Roman"/>
          <w:color w:val="000000"/>
          <w:sz w:val="22"/>
        </w:rPr>
        <w:t xml:space="preserve">means, individually and collectively, any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Data Package, </w:t>
      </w:r>
      <w:r>
        <w:rPr>
          <w:rFonts w:ascii="Times New Roman" w:hAnsi="Times New Roman"/>
          <w:i/>
          <w:color w:val="000000"/>
          <w:sz w:val="22"/>
        </w:rPr>
        <w:t>In Vivo</w:t>
      </w:r>
      <w:r>
        <w:rPr>
          <w:color w:val="000000"/>
        </w:rPr>
        <w:t xml:space="preserve"> </w:t>
      </w:r>
      <w:r>
        <w:rPr>
          <w:rFonts w:ascii="Times New Roman" w:hAnsi="Times New Roman"/>
          <w:color w:val="000000"/>
          <w:sz w:val="22"/>
        </w:rPr>
        <w:t>Data Package or Tenaya Nominated Gene Target Data Package.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w:t>
      </w:r>
    </w:p>
    <w:p>
      <w:pPr>
        <w:pStyle w:val="TextBody"/>
        <w:bidi w:val="0"/>
        <w:jc w:val="both"/>
        <w:rPr/>
      </w:pPr>
      <w:r>
        <w:rPr>
          <w:color w:val="000000"/>
        </w:rPr>
        <w:t>“</w:t>
      </w:r>
      <w:r>
        <w:rPr>
          <w:rFonts w:ascii="Times New Roman" w:hAnsi="Times New Roman"/>
          <w:b/>
          <w:color w:val="000000"/>
          <w:sz w:val="22"/>
        </w:rPr>
        <w:t>Deadlocked Gene Target</w:t>
      </w:r>
      <w:r>
        <w:rPr>
          <w:color w:val="000000"/>
        </w:rPr>
        <w:t xml:space="preserve">” </w:t>
      </w:r>
      <w:r>
        <w:rPr>
          <w:rFonts w:ascii="Times New Roman" w:hAnsi="Times New Roman"/>
          <w:color w:val="000000"/>
          <w:sz w:val="22"/>
        </w:rPr>
        <w:t>has the meaning set forth in Section 3.2.2.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1.32</w:t>
      </w:r>
    </w:p>
    <w:p>
      <w:pPr>
        <w:pStyle w:val="TextBody"/>
        <w:bidi w:val="0"/>
        <w:jc w:val="both"/>
        <w:rPr/>
      </w:pPr>
      <w:r>
        <w:rPr>
          <w:color w:val="000000"/>
        </w:rPr>
        <w:t>“</w:t>
      </w:r>
      <w:r>
        <w:rPr>
          <w:rFonts w:ascii="Times New Roman" w:hAnsi="Times New Roman"/>
          <w:b/>
          <w:color w:val="000000"/>
          <w:sz w:val="22"/>
        </w:rPr>
        <w:t>Development</w:t>
      </w:r>
      <w:r>
        <w:rPr>
          <w:color w:val="000000"/>
        </w:rPr>
        <w:t xml:space="preserve">” </w:t>
      </w:r>
      <w:r>
        <w:rPr>
          <w:rFonts w:ascii="Times New Roman" w:hAnsi="Times New Roman"/>
          <w:color w:val="000000"/>
          <w:sz w:val="22"/>
        </w:rPr>
        <w:t>means all activities related to research, pre-clinical and other non-clinical testing, test method development and stability testing, toxicology, formulation, process development, manufacturing scale-up, qualification and validation (but excluding such scale-up, qualification and validation with respect to establishing, or otherwise causing to become operational, any manufacturing facilities), quality assurance/quality control, Clinical Trials, including manufacturing in support thereof, statistical analysis and report writing, the preparation and submission of drug approval applications, regulatory affairs with respect to the foregoing, medical affairs, medical information, medical education, health economic and outcomes research, market research, and all other activities necessary or reasonably useful or otherwise requested or required by a Regulatory Authority as a condition or in support of obtaining a Regulatory Approval. Development also includes the foregoing activities, if any, with respect to any devices (including diagnostics) designed for use with a Product. When used as a` verb, “Develop” means to engage in Development.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1.33</w:t>
      </w:r>
    </w:p>
    <w:p>
      <w:pPr>
        <w:pStyle w:val="TextBody"/>
        <w:bidi w:val="0"/>
        <w:jc w:val="both"/>
        <w:rPr/>
      </w:pPr>
      <w:r>
        <w:rPr>
          <w:color w:val="000000"/>
        </w:rPr>
        <w:t>“</w:t>
      </w:r>
      <w:r>
        <w:rPr>
          <w:rFonts w:ascii="Times New Roman" w:hAnsi="Times New Roman"/>
          <w:b/>
          <w:color w:val="000000"/>
          <w:sz w:val="22"/>
        </w:rPr>
        <w:t>Development and Regulatory Milestone</w:t>
      </w:r>
      <w:r>
        <w:rPr>
          <w:color w:val="000000"/>
        </w:rPr>
        <w:t xml:space="preserve">” </w:t>
      </w:r>
      <w:r>
        <w:rPr>
          <w:rFonts w:ascii="Times New Roman" w:hAnsi="Times New Roman"/>
          <w:color w:val="000000"/>
          <w:sz w:val="22"/>
        </w:rPr>
        <w:t>has the meaning set forth in Section 7.2.1.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1.34</w:t>
      </w:r>
    </w:p>
    <w:p>
      <w:pPr>
        <w:pStyle w:val="TextBody"/>
        <w:bidi w:val="0"/>
        <w:jc w:val="both"/>
        <w:rPr/>
      </w:pPr>
      <w:r>
        <w:rPr>
          <w:color w:val="000000"/>
        </w:rPr>
        <w:t>“</w:t>
      </w:r>
      <w:r>
        <w:rPr>
          <w:rFonts w:ascii="Times New Roman" w:hAnsi="Times New Roman"/>
          <w:b/>
          <w:color w:val="000000"/>
          <w:sz w:val="22"/>
        </w:rPr>
        <w:t>Directed To</w:t>
      </w:r>
      <w:r>
        <w:rPr>
          <w:color w:val="000000"/>
        </w:rPr>
        <w:t xml:space="preserve">” </w:t>
      </w:r>
      <w:r>
        <w:rPr>
          <w:rFonts w:ascii="Times New Roman" w:hAnsi="Times New Roman"/>
          <w:color w:val="000000"/>
          <w:sz w:val="22"/>
        </w:rPr>
        <w:t xml:space="preserve">means, with respect to a product and a Gene Target, that such product is designed to directly interact with, or modulate the expression of such Gene Target or the protein it encodes and such interaction or modulation causes the product’s primary diagnostic, prophylactic or therapeutic effect.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1.35</w:t>
      </w:r>
    </w:p>
    <w:p>
      <w:pPr>
        <w:pStyle w:val="TextBody"/>
        <w:bidi w:val="0"/>
        <w:jc w:val="both"/>
        <w:rPr/>
      </w:pPr>
      <w:r>
        <w:rPr>
          <w:color w:val="000000"/>
        </w:rPr>
        <w:t>“</w:t>
      </w:r>
      <w:r>
        <w:rPr>
          <w:rFonts w:ascii="Times New Roman" w:hAnsi="Times New Roman"/>
          <w:b/>
          <w:color w:val="000000"/>
          <w:sz w:val="22"/>
        </w:rPr>
        <w:t>Disclosing Party</w:t>
      </w:r>
      <w:r>
        <w:rPr>
          <w:color w:val="000000"/>
        </w:rPr>
        <w:t xml:space="preserve">” </w:t>
      </w:r>
      <w:r>
        <w:rPr>
          <w:rFonts w:ascii="Times New Roman" w:hAnsi="Times New Roman"/>
          <w:color w:val="000000"/>
          <w:sz w:val="22"/>
        </w:rPr>
        <w:t>has the meaning set forth in Section 8.1.1.</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1.36</w:t>
      </w:r>
    </w:p>
    <w:p>
      <w:pPr>
        <w:pStyle w:val="TextBody"/>
        <w:bidi w:val="0"/>
        <w:spacing w:before="0" w:after="240"/>
        <w:jc w:val="both"/>
        <w:rPr/>
      </w:pPr>
      <w:r>
        <w:rPr>
          <w:color w:val="000000"/>
        </w:rPr>
        <w:t>“</w:t>
      </w:r>
      <w:r>
        <w:rPr>
          <w:rFonts w:ascii="Times New Roman" w:hAnsi="Times New Roman"/>
          <w:b/>
          <w:color w:val="000000"/>
          <w:sz w:val="22"/>
        </w:rPr>
        <w:t>Dispute</w:t>
      </w:r>
      <w:r>
        <w:rPr>
          <w:color w:val="000000"/>
        </w:rPr>
        <w:t xml:space="preserve">” </w:t>
      </w:r>
      <w:r>
        <w:rPr>
          <w:rFonts w:ascii="Times New Roman" w:hAnsi="Times New Roman"/>
          <w:color w:val="000000"/>
          <w:sz w:val="22"/>
        </w:rPr>
        <w:t>has the meaning set forth in Section 13.12.</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1.37</w:t>
      </w:r>
    </w:p>
    <w:p>
      <w:pPr>
        <w:pStyle w:val="TextBody"/>
        <w:bidi w:val="0"/>
        <w:jc w:val="both"/>
        <w:rPr/>
      </w:pPr>
      <w:r>
        <w:rPr>
          <w:color w:val="000000"/>
        </w:rPr>
        <w:t>“</w:t>
      </w:r>
      <w:r>
        <w:rPr>
          <w:rFonts w:ascii="Times New Roman" w:hAnsi="Times New Roman"/>
          <w:b/>
          <w:color w:val="000000"/>
          <w:sz w:val="22"/>
        </w:rPr>
        <w:t>Dollars</w:t>
      </w:r>
      <w:r>
        <w:rPr>
          <w:color w:val="000000"/>
        </w:rPr>
        <w:t xml:space="preserve">” </w:t>
      </w:r>
      <w:r>
        <w:rPr>
          <w:rFonts w:ascii="Times New Roman" w:hAnsi="Times New Roman"/>
          <w:color w:val="000000"/>
          <w:sz w:val="22"/>
        </w:rPr>
        <w:t>or “</w:t>
      </w:r>
      <w:r>
        <w:rPr>
          <w:rFonts w:ascii="Times New Roman" w:hAnsi="Times New Roman"/>
          <w:b/>
          <w:color w:val="000000"/>
          <w:sz w:val="22"/>
        </w:rPr>
        <w:t>$</w:t>
      </w:r>
      <w:r>
        <w:rPr>
          <w:color w:val="000000"/>
        </w:rPr>
        <w:t xml:space="preserve">” </w:t>
      </w:r>
      <w:r>
        <w:rPr>
          <w:rFonts w:ascii="Times New Roman" w:hAnsi="Times New Roman"/>
          <w:color w:val="000000"/>
          <w:sz w:val="22"/>
        </w:rPr>
        <w:t>means United States Dollars.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1.38</w:t>
      </w:r>
    </w:p>
    <w:p>
      <w:pPr>
        <w:pStyle w:val="TextBody"/>
        <w:bidi w:val="0"/>
        <w:jc w:val="both"/>
        <w:rPr/>
      </w:pPr>
      <w:r>
        <w:rPr>
          <w:color w:val="000000"/>
        </w:rPr>
        <w:t>“</w:t>
      </w:r>
      <w:r>
        <w:rPr>
          <w:rFonts w:ascii="Times New Roman" w:hAnsi="Times New Roman"/>
          <w:b/>
          <w:color w:val="000000"/>
          <w:sz w:val="22"/>
        </w:rPr>
        <w:t>Effective Date</w:t>
      </w:r>
      <w:r>
        <w:rPr>
          <w:color w:val="000000"/>
        </w:rPr>
        <w:t xml:space="preserve">” </w:t>
      </w:r>
      <w:r>
        <w:rPr>
          <w:rFonts w:ascii="Times New Roman" w:hAnsi="Times New Roman"/>
          <w:color w:val="000000"/>
          <w:sz w:val="22"/>
        </w:rPr>
        <w:t>has the meaning set forth in the preamble.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1.39</w:t>
      </w:r>
    </w:p>
    <w:p>
      <w:pPr>
        <w:pStyle w:val="TextBody"/>
        <w:bidi w:val="0"/>
        <w:jc w:val="both"/>
        <w:rPr/>
      </w:pPr>
      <w:r>
        <w:rPr>
          <w:color w:val="000000"/>
        </w:rPr>
        <w:t>“</w:t>
      </w:r>
      <w:r>
        <w:rPr>
          <w:rFonts w:ascii="Times New Roman" w:hAnsi="Times New Roman"/>
          <w:b/>
          <w:color w:val="000000"/>
          <w:sz w:val="22"/>
        </w:rPr>
        <w:t>Evaluation Term</w:t>
      </w:r>
      <w:r>
        <w:rPr>
          <w:color w:val="000000"/>
        </w:rPr>
        <w:t xml:space="preserve">” </w:t>
      </w:r>
      <w:r>
        <w:rPr>
          <w:rFonts w:ascii="Times New Roman" w:hAnsi="Times New Roman"/>
          <w:color w:val="000000"/>
          <w:sz w:val="22"/>
        </w:rPr>
        <w:t>means, with respect to a given Non-Alnylam Collaboration Target, the period commencing upon the expiration of the Validation Term and ending on the earlier of (a) Alnylam’s commencement of an NHP PD Study with a Licensed Product Directed To such Non-Alnylam Collaboration Target or (b) twenty four (24) months following the expiration of the Validation Term.</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1.40</w:t>
      </w:r>
    </w:p>
    <w:p>
      <w:pPr>
        <w:pStyle w:val="TextBody"/>
        <w:bidi w:val="0"/>
        <w:jc w:val="both"/>
        <w:rPr/>
      </w:pPr>
      <w:r>
        <w:rPr>
          <w:color w:val="000000"/>
        </w:rPr>
        <w:t>“</w:t>
      </w:r>
      <w:r>
        <w:rPr>
          <w:rFonts w:ascii="Times New Roman" w:hAnsi="Times New Roman"/>
          <w:b/>
          <w:color w:val="000000"/>
          <w:sz w:val="22"/>
        </w:rPr>
        <w:t>Executive Officer</w:t>
      </w:r>
      <w:r>
        <w:rPr>
          <w:color w:val="000000"/>
        </w:rPr>
        <w:t xml:space="preserve">” </w:t>
      </w:r>
      <w:r>
        <w:rPr>
          <w:rFonts w:ascii="Times New Roman" w:hAnsi="Times New Roman"/>
          <w:color w:val="000000"/>
          <w:sz w:val="22"/>
        </w:rPr>
        <w:t>means, for Alnylam, its [***], and for Tenaya, its [***]. Either Party may change its Executive Officer upon written notice to the other Party; provided that such replacement individual has decision-making authority on behalf of such Party in respect of this Agreement.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1.41</w:t>
      </w:r>
    </w:p>
    <w:p>
      <w:pPr>
        <w:pStyle w:val="TextBody"/>
        <w:bidi w:val="0"/>
        <w:jc w:val="both"/>
        <w:rPr/>
      </w:pPr>
      <w:r>
        <w:rPr>
          <w:color w:val="000000"/>
        </w:rPr>
        <w:t>“</w:t>
      </w:r>
      <w:r>
        <w:rPr>
          <w:rFonts w:ascii="Times New Roman" w:hAnsi="Times New Roman"/>
          <w:b/>
          <w:color w:val="000000"/>
          <w:sz w:val="22"/>
        </w:rPr>
        <w:t>Exploit</w:t>
      </w:r>
      <w:r>
        <w:rPr>
          <w:color w:val="000000"/>
        </w:rPr>
        <w:t xml:space="preserve">” </w:t>
      </w:r>
      <w:r>
        <w:rPr>
          <w:rFonts w:ascii="Times New Roman" w:hAnsi="Times New Roman"/>
          <w:color w:val="000000"/>
          <w:sz w:val="22"/>
        </w:rPr>
        <w:t>means, with respect to a product, to make, have made, import, use, sell, or offer for sale, including to research (including pre-clinical and clinical research), Develop, Commercialize, register, manufacture, have manufactured, hold, or keep (whether for disposal or otherwise), have used, export, transport, distribute, promote, market, or have sold or otherwise dispose of such product. When used as a noun, “</w:t>
      </w:r>
      <w:r>
        <w:rPr>
          <w:rFonts w:ascii="Times New Roman" w:hAnsi="Times New Roman"/>
          <w:b/>
          <w:color w:val="000000"/>
          <w:sz w:val="22"/>
        </w:rPr>
        <w:t>Exploitation</w:t>
      </w:r>
      <w:r>
        <w:rPr>
          <w:color w:val="000000"/>
        </w:rPr>
        <w:t xml:space="preserve">” </w:t>
      </w:r>
      <w:r>
        <w:rPr>
          <w:rFonts w:ascii="Times New Roman" w:hAnsi="Times New Roman"/>
          <w:color w:val="000000"/>
          <w:sz w:val="22"/>
        </w:rPr>
        <w:t xml:space="preserve">means the act of Exploiting a product.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1.42</w:t>
      </w:r>
    </w:p>
    <w:p>
      <w:pPr>
        <w:pStyle w:val="TextBody"/>
        <w:bidi w:val="0"/>
        <w:jc w:val="both"/>
        <w:rPr/>
      </w:pPr>
      <w:r>
        <w:rPr>
          <w:color w:val="000000"/>
        </w:rPr>
        <w:t>“</w:t>
      </w:r>
      <w:r>
        <w:rPr>
          <w:rFonts w:ascii="Times New Roman" w:hAnsi="Times New Roman"/>
          <w:b/>
          <w:color w:val="000000"/>
          <w:sz w:val="22"/>
        </w:rPr>
        <w:t>FDA</w:t>
      </w:r>
      <w:r>
        <w:rPr>
          <w:color w:val="000000"/>
        </w:rPr>
        <w:t xml:space="preserve">” </w:t>
      </w:r>
      <w:r>
        <w:rPr>
          <w:rFonts w:ascii="Times New Roman" w:hAnsi="Times New Roman"/>
          <w:color w:val="000000"/>
          <w:sz w:val="22"/>
        </w:rPr>
        <w:t>means the United States Food and Drug Administration and any successor Governmental Authority in the United States having substantially the same function.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1.43</w:t>
      </w:r>
    </w:p>
    <w:p>
      <w:pPr>
        <w:pStyle w:val="TextBody"/>
        <w:bidi w:val="0"/>
        <w:jc w:val="both"/>
        <w:rPr/>
      </w:pPr>
      <w:r>
        <w:rPr>
          <w:color w:val="000000"/>
        </w:rPr>
        <w:t>“</w:t>
      </w:r>
      <w:r>
        <w:rPr>
          <w:rFonts w:ascii="Times New Roman" w:hAnsi="Times New Roman"/>
          <w:b/>
          <w:color w:val="000000"/>
          <w:sz w:val="22"/>
        </w:rPr>
        <w:t>Field</w:t>
      </w:r>
      <w:r>
        <w:rPr>
          <w:color w:val="000000"/>
        </w:rPr>
        <w:t xml:space="preserve">” </w:t>
      </w:r>
      <w:r>
        <w:rPr>
          <w:rFonts w:ascii="Times New Roman" w:hAnsi="Times New Roman"/>
          <w:color w:val="000000"/>
          <w:sz w:val="22"/>
        </w:rPr>
        <w:t>means the diagnosis, prevention, treatment, control, prophylaxis or palliation of any disease, disorder or condition in humans in any tissue or organ.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1.44</w:t>
      </w:r>
    </w:p>
    <w:p>
      <w:pPr>
        <w:pStyle w:val="TextBody"/>
        <w:bidi w:val="0"/>
        <w:jc w:val="both"/>
        <w:rPr/>
      </w:pPr>
      <w:r>
        <w:rPr>
          <w:color w:val="000000"/>
        </w:rPr>
        <w:t>“</w:t>
      </w:r>
      <w:r>
        <w:rPr>
          <w:rFonts w:ascii="Times New Roman" w:hAnsi="Times New Roman"/>
          <w:b/>
          <w:color w:val="000000"/>
          <w:sz w:val="22"/>
        </w:rPr>
        <w:t>First Commercial Sale</w:t>
      </w:r>
      <w:r>
        <w:rPr>
          <w:color w:val="000000"/>
        </w:rPr>
        <w:t xml:space="preserve">” </w:t>
      </w:r>
      <w:r>
        <w:rPr>
          <w:rFonts w:ascii="Times New Roman" w:hAnsi="Times New Roman"/>
          <w:color w:val="000000"/>
          <w:sz w:val="22"/>
        </w:rPr>
        <w:t>means, with respect to a given Licensed Product in a given country, the first commercial transfer or disposition for value of such Licensed Product for end use in such country to a Third Party (not being a Sublicensee for the relevant Licensed Product) by Alnylam or any of its Affiliates or Sublicensees after such Licensed Product has been granted Regulatory Approval and, where applicable, necessary Pricing and Reimbursement Approval, in each case, in such country and where the sale results in a recordable Net Sale. The following sales will not constitute a “First Commercial Sale”: (a) any distribution or other sale solely for so-called investigational new drug sales, clinical studies, compassionate or emergency use, named patient programs, promotional samples, testing samples, donations, or any similar instances, in each case at or below cost; and (b) sales between Alnylam and its Affiliates or Sublicensees if such sales are not intended for end use.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1.45</w:t>
      </w:r>
    </w:p>
    <w:p>
      <w:pPr>
        <w:pStyle w:val="TextBody"/>
        <w:bidi w:val="0"/>
        <w:jc w:val="both"/>
        <w:rPr/>
      </w:pPr>
      <w:r>
        <w:rPr>
          <w:color w:val="000000"/>
        </w:rPr>
        <w:t>“</w:t>
      </w:r>
      <w:r>
        <w:rPr>
          <w:rFonts w:ascii="Times New Roman" w:hAnsi="Times New Roman"/>
          <w:b/>
          <w:color w:val="000000"/>
          <w:sz w:val="22"/>
        </w:rPr>
        <w:t>FTE</w:t>
      </w:r>
      <w:r>
        <w:rPr>
          <w:color w:val="000000"/>
        </w:rPr>
        <w:t xml:space="preserve">” </w:t>
      </w:r>
      <w:r>
        <w:rPr>
          <w:rFonts w:ascii="Times New Roman" w:hAnsi="Times New Roman"/>
          <w:color w:val="000000"/>
          <w:sz w:val="22"/>
        </w:rPr>
        <w:t>means a qualified full time person, or more than one person working the equivalent of a full-time person, where “full time” is equal to a person working a total of [***] working hours in a Calendar Year on scientific or technical work, in each case, as carried out by a qualified employee of Tenaya or Alnylam, as applicable. Overtime, and work on weekends, holidays, and the like will not be counted with any multiplier (e.g., time-and-a-half or double time) toward the number of hours that are used to calculate the FTE contribution. For clarity, any general corporate personnel (including support functions such as finance, legal, or business development) will not constitute an FTE.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1.46</w:t>
      </w:r>
    </w:p>
    <w:p>
      <w:pPr>
        <w:pStyle w:val="TextBody"/>
        <w:bidi w:val="0"/>
        <w:jc w:val="both"/>
        <w:rPr/>
      </w:pPr>
      <w:r>
        <w:rPr>
          <w:color w:val="000000"/>
        </w:rPr>
        <w:t>“</w:t>
      </w:r>
      <w:r>
        <w:rPr>
          <w:rFonts w:ascii="Times New Roman" w:hAnsi="Times New Roman"/>
          <w:b/>
          <w:color w:val="000000"/>
          <w:sz w:val="22"/>
        </w:rPr>
        <w:t>FTE Costs</w:t>
      </w:r>
      <w:r>
        <w:rPr>
          <w:color w:val="000000"/>
        </w:rPr>
        <w:t xml:space="preserve">” </w:t>
      </w:r>
      <w:r>
        <w:rPr>
          <w:rFonts w:ascii="Times New Roman" w:hAnsi="Times New Roman"/>
          <w:color w:val="000000"/>
          <w:sz w:val="22"/>
        </w:rPr>
        <w:t xml:space="preserve">means, for any period, the FTE Rate multiplied by the number of any applicable FTEs in such period.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1.47</w:t>
      </w:r>
    </w:p>
    <w:p>
      <w:pPr>
        <w:pStyle w:val="TextBody"/>
        <w:bidi w:val="0"/>
        <w:spacing w:before="0" w:after="240"/>
        <w:jc w:val="both"/>
        <w:rPr/>
      </w:pPr>
      <w:r>
        <w:rPr>
          <w:color w:val="000000"/>
        </w:rPr>
        <w:t>“</w:t>
      </w:r>
      <w:r>
        <w:rPr>
          <w:rFonts w:ascii="Times New Roman" w:hAnsi="Times New Roman"/>
          <w:b/>
          <w:color w:val="000000"/>
          <w:sz w:val="22"/>
        </w:rPr>
        <w:t>FTE Rate</w:t>
      </w:r>
      <w:r>
        <w:rPr>
          <w:color w:val="000000"/>
        </w:rPr>
        <w:t xml:space="preserve">” </w:t>
      </w:r>
      <w:r>
        <w:rPr>
          <w:rFonts w:ascii="Times New Roman" w:hAnsi="Times New Roman"/>
          <w:color w:val="000000"/>
          <w:sz w:val="22"/>
        </w:rPr>
        <w:t>means the rate that covers all costs and expenses of the applicable FTE including salary, benefits, bonuses, other compensation costs and expenses and all indirect costs and expenses including administration, facility costs and overhead, which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1.48</w:t>
      </w:r>
    </w:p>
    <w:p>
      <w:pPr>
        <w:pStyle w:val="TextBody"/>
        <w:bidi w:val="0"/>
        <w:jc w:val="both"/>
        <w:rPr/>
      </w:pPr>
      <w:r>
        <w:rPr>
          <w:color w:val="000000"/>
        </w:rPr>
        <w:t>“</w:t>
      </w:r>
      <w:r>
        <w:rPr>
          <w:rFonts w:ascii="Times New Roman" w:hAnsi="Times New Roman"/>
          <w:b/>
          <w:color w:val="000000"/>
          <w:sz w:val="22"/>
        </w:rPr>
        <w:t>GAAP</w:t>
      </w:r>
      <w:r>
        <w:rPr>
          <w:color w:val="000000"/>
        </w:rPr>
        <w:t xml:space="preserve">” </w:t>
      </w:r>
      <w:r>
        <w:rPr>
          <w:rFonts w:ascii="Times New Roman" w:hAnsi="Times New Roman"/>
          <w:color w:val="000000"/>
          <w:sz w:val="22"/>
        </w:rPr>
        <w:t>means United States generally accepted accounting principles that are currently used at the relevant time and consistently applied by the applicable Party.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1.49</w:t>
      </w:r>
    </w:p>
    <w:p>
      <w:pPr>
        <w:pStyle w:val="TextBody"/>
        <w:bidi w:val="0"/>
        <w:jc w:val="both"/>
        <w:rPr/>
      </w:pPr>
      <w:r>
        <w:rPr>
          <w:color w:val="000000"/>
        </w:rPr>
        <w:t>“</w:t>
      </w:r>
      <w:r>
        <w:rPr>
          <w:rFonts w:ascii="Times New Roman" w:hAnsi="Times New Roman"/>
          <w:b/>
          <w:color w:val="000000"/>
          <w:sz w:val="22"/>
        </w:rPr>
        <w:t>Gene Target</w:t>
      </w:r>
      <w:r>
        <w:rPr>
          <w:color w:val="000000"/>
        </w:rPr>
        <w:t xml:space="preserve">” </w:t>
      </w:r>
      <w:r>
        <w:rPr>
          <w:rFonts w:ascii="Times New Roman" w:hAnsi="Times New Roman"/>
          <w:color w:val="000000"/>
          <w:sz w:val="22"/>
        </w:rPr>
        <w:t>means any human gene.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1.50</w:t>
      </w:r>
    </w:p>
    <w:p>
      <w:pPr>
        <w:pStyle w:val="TextBody"/>
        <w:bidi w:val="0"/>
        <w:jc w:val="both"/>
        <w:rPr/>
      </w:pPr>
      <w:r>
        <w:rPr>
          <w:color w:val="000000"/>
        </w:rPr>
        <w:t>“</w:t>
      </w:r>
      <w:r>
        <w:rPr>
          <w:rFonts w:ascii="Times New Roman" w:hAnsi="Times New Roman"/>
          <w:b/>
          <w:color w:val="000000"/>
          <w:sz w:val="22"/>
        </w:rPr>
        <w:t>Governmental Authority</w:t>
      </w:r>
      <w:r>
        <w:rPr>
          <w:color w:val="000000"/>
        </w:rPr>
        <w:t xml:space="preserve">” </w:t>
      </w:r>
      <w:r>
        <w:rPr>
          <w:rFonts w:ascii="Times New Roman" w:hAnsi="Times New Roman"/>
          <w:color w:val="000000"/>
          <w:sz w:val="22"/>
        </w:rPr>
        <w:t>means any applicable government authority, court, tribunal, arbitrator, agency, legislative body, commission or other instrumentality of (a) any government of any country or territory, (b) any state, province, county, city or other political subdivision thereof, or (c) any supranational body.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1.51</w:t>
      </w:r>
    </w:p>
    <w:p>
      <w:pPr>
        <w:pStyle w:val="TextBody"/>
        <w:bidi w:val="0"/>
        <w:jc w:val="both"/>
        <w:rPr/>
      </w:pPr>
      <w:r>
        <w:rPr>
          <w:color w:val="000000"/>
        </w:rPr>
        <w:t>“</w:t>
      </w:r>
      <w:r>
        <w:rPr>
          <w:rFonts w:ascii="Times New Roman" w:hAnsi="Times New Roman"/>
          <w:b/>
          <w:i/>
          <w:color w:val="000000"/>
          <w:sz w:val="22"/>
        </w:rPr>
        <w:t>In Vitro</w:t>
      </w:r>
      <w:r>
        <w:rPr>
          <w:color w:val="000000"/>
        </w:rPr>
        <w:t xml:space="preserve"> </w:t>
      </w:r>
      <w:r>
        <w:rPr>
          <w:rFonts w:ascii="Times New Roman" w:hAnsi="Times New Roman"/>
          <w:b/>
          <w:color w:val="000000"/>
          <w:sz w:val="22"/>
        </w:rPr>
        <w:t>Data Package</w:t>
      </w:r>
      <w:r>
        <w:rPr>
          <w:color w:val="000000"/>
        </w:rPr>
        <w:t xml:space="preserve">” </w:t>
      </w:r>
      <w:r>
        <w:rPr>
          <w:rFonts w:ascii="Times New Roman" w:hAnsi="Times New Roman"/>
          <w:color w:val="000000"/>
          <w:sz w:val="22"/>
        </w:rPr>
        <w:t>has the meaning set forth in Section 3.3.2.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1.52</w:t>
      </w:r>
    </w:p>
    <w:p>
      <w:pPr>
        <w:pStyle w:val="TextBody"/>
        <w:bidi w:val="0"/>
        <w:jc w:val="both"/>
        <w:rPr/>
      </w:pPr>
      <w:r>
        <w:rPr>
          <w:color w:val="000000"/>
        </w:rPr>
        <w:t>“</w:t>
      </w:r>
      <w:r>
        <w:rPr>
          <w:rFonts w:ascii="Times New Roman" w:hAnsi="Times New Roman"/>
          <w:b/>
          <w:i/>
          <w:color w:val="000000"/>
          <w:sz w:val="22"/>
        </w:rPr>
        <w:t>In Vitro</w:t>
      </w:r>
      <w:r>
        <w:rPr>
          <w:color w:val="000000"/>
        </w:rPr>
        <w:t xml:space="preserve"> </w:t>
      </w:r>
      <w:r>
        <w:rPr>
          <w:rFonts w:ascii="Times New Roman" w:hAnsi="Times New Roman"/>
          <w:b/>
          <w:color w:val="000000"/>
          <w:sz w:val="22"/>
        </w:rPr>
        <w:t>Validation Activities</w:t>
      </w:r>
      <w:r>
        <w:rPr>
          <w:color w:val="000000"/>
        </w:rPr>
        <w:t xml:space="preserve">” </w:t>
      </w:r>
      <w:r>
        <w:rPr>
          <w:rFonts w:ascii="Times New Roman" w:hAnsi="Times New Roman"/>
          <w:color w:val="000000"/>
          <w:sz w:val="22"/>
        </w:rPr>
        <w:t>has the meaning set forth in Section 3.3.1.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1.53</w:t>
      </w:r>
    </w:p>
    <w:p>
      <w:pPr>
        <w:pStyle w:val="TextBody"/>
        <w:bidi w:val="0"/>
        <w:jc w:val="both"/>
        <w:rPr/>
      </w:pPr>
      <w:r>
        <w:rPr>
          <w:color w:val="000000"/>
        </w:rPr>
        <w:t>“</w:t>
      </w:r>
      <w:r>
        <w:rPr>
          <w:rFonts w:ascii="Times New Roman" w:hAnsi="Times New Roman"/>
          <w:b/>
          <w:i/>
          <w:color w:val="000000"/>
          <w:sz w:val="22"/>
        </w:rPr>
        <w:t>In Vivo</w:t>
      </w:r>
      <w:r>
        <w:rPr>
          <w:color w:val="000000"/>
        </w:rPr>
        <w:t xml:space="preserve"> </w:t>
      </w:r>
      <w:r>
        <w:rPr>
          <w:rFonts w:ascii="Times New Roman" w:hAnsi="Times New Roman"/>
          <w:b/>
          <w:color w:val="000000"/>
          <w:sz w:val="22"/>
        </w:rPr>
        <w:t>Data Package</w:t>
      </w:r>
      <w:r>
        <w:rPr>
          <w:color w:val="000000"/>
        </w:rPr>
        <w:t xml:space="preserve">” </w:t>
      </w:r>
      <w:r>
        <w:rPr>
          <w:rFonts w:ascii="Times New Roman" w:hAnsi="Times New Roman"/>
          <w:color w:val="000000"/>
          <w:sz w:val="22"/>
        </w:rPr>
        <w:t>has the meaning set forth in Section 3.3.4.</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1.54</w:t>
      </w:r>
    </w:p>
    <w:p>
      <w:pPr>
        <w:pStyle w:val="TextBody"/>
        <w:bidi w:val="0"/>
        <w:jc w:val="both"/>
        <w:rPr/>
      </w:pPr>
      <w:r>
        <w:rPr>
          <w:color w:val="000000"/>
        </w:rPr>
        <w:t>“</w:t>
      </w:r>
      <w:r>
        <w:rPr>
          <w:rFonts w:ascii="Times New Roman" w:hAnsi="Times New Roman"/>
          <w:b/>
          <w:i/>
          <w:color w:val="000000"/>
          <w:sz w:val="22"/>
        </w:rPr>
        <w:t>In Vivo</w:t>
      </w:r>
      <w:r>
        <w:rPr>
          <w:color w:val="000000"/>
        </w:rPr>
        <w:t xml:space="preserve"> </w:t>
      </w:r>
      <w:r>
        <w:rPr>
          <w:rFonts w:ascii="Times New Roman" w:hAnsi="Times New Roman"/>
          <w:b/>
          <w:color w:val="000000"/>
          <w:sz w:val="22"/>
        </w:rPr>
        <w:t>Validation Activities</w:t>
      </w:r>
      <w:r>
        <w:rPr>
          <w:color w:val="000000"/>
        </w:rPr>
        <w:t xml:space="preserve">” </w:t>
      </w:r>
      <w:r>
        <w:rPr>
          <w:rFonts w:ascii="Times New Roman" w:hAnsi="Times New Roman"/>
          <w:color w:val="000000"/>
          <w:sz w:val="22"/>
        </w:rPr>
        <w:t>has the meaning set forth in Section 3.3.3.</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1.55</w:t>
      </w:r>
    </w:p>
    <w:p>
      <w:pPr>
        <w:pStyle w:val="TextBody"/>
        <w:bidi w:val="0"/>
        <w:jc w:val="both"/>
        <w:rPr/>
      </w:pPr>
      <w:r>
        <w:rPr>
          <w:color w:val="000000"/>
        </w:rPr>
        <w:t>“</w:t>
      </w:r>
      <w:r>
        <w:rPr>
          <w:rFonts w:ascii="Times New Roman" w:hAnsi="Times New Roman"/>
          <w:b/>
          <w:color w:val="000000"/>
          <w:sz w:val="22"/>
        </w:rPr>
        <w:t>IND</w:t>
      </w:r>
      <w:r>
        <w:rPr>
          <w:color w:val="000000"/>
        </w:rPr>
        <w:t xml:space="preserve">” </w:t>
      </w:r>
      <w:r>
        <w:rPr>
          <w:rFonts w:ascii="Times New Roman" w:hAnsi="Times New Roman"/>
          <w:color w:val="000000"/>
          <w:sz w:val="22"/>
        </w:rPr>
        <w:t>means (a) an investigational new drug application filed with the FDA for authorization to commence Clinical Trials and its equivalent in other countries or regulatory jurisdictions, and (b) all supplements and amendments that may be filed with respect to the foregoing.</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1.56</w:t>
      </w:r>
    </w:p>
    <w:p>
      <w:pPr>
        <w:pStyle w:val="TextBody"/>
        <w:bidi w:val="0"/>
        <w:jc w:val="both"/>
        <w:rPr/>
      </w:pPr>
      <w:r>
        <w:rPr>
          <w:color w:val="000000"/>
        </w:rPr>
        <w:t>“</w:t>
      </w:r>
      <w:r>
        <w:rPr>
          <w:rFonts w:ascii="Times New Roman" w:hAnsi="Times New Roman"/>
          <w:b/>
          <w:color w:val="000000"/>
          <w:sz w:val="22"/>
        </w:rPr>
        <w:t>Initial JSC Meeting</w:t>
      </w:r>
      <w:r>
        <w:rPr>
          <w:color w:val="000000"/>
        </w:rPr>
        <w:t xml:space="preserve">” </w:t>
      </w:r>
      <w:r>
        <w:rPr>
          <w:rFonts w:ascii="Times New Roman" w:hAnsi="Times New Roman"/>
          <w:color w:val="000000"/>
          <w:sz w:val="22"/>
        </w:rPr>
        <w:t>has the meaning set forth in Section 3.2.1.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1.57</w:t>
      </w:r>
    </w:p>
    <w:p>
      <w:pPr>
        <w:pStyle w:val="TextBody"/>
        <w:bidi w:val="0"/>
        <w:jc w:val="both"/>
        <w:rPr/>
      </w:pPr>
      <w:r>
        <w:rPr>
          <w:color w:val="000000"/>
        </w:rPr>
        <w:t>“</w:t>
      </w:r>
      <w:r>
        <w:rPr>
          <w:rFonts w:ascii="Times New Roman" w:hAnsi="Times New Roman"/>
          <w:b/>
          <w:color w:val="000000"/>
          <w:sz w:val="22"/>
        </w:rPr>
        <w:t>Initiation</w:t>
      </w:r>
      <w:r>
        <w:rPr>
          <w:color w:val="000000"/>
        </w:rPr>
        <w:t xml:space="preserve">” </w:t>
      </w:r>
      <w:r>
        <w:rPr>
          <w:rFonts w:ascii="Times New Roman" w:hAnsi="Times New Roman"/>
          <w:color w:val="000000"/>
          <w:sz w:val="22"/>
        </w:rPr>
        <w:t>means, with respect to a Clinical Trial, the first dosing of the first human subject in such Clinical Trial.</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1.58</w:t>
      </w:r>
    </w:p>
    <w:p>
      <w:pPr>
        <w:pStyle w:val="TextBody"/>
        <w:bidi w:val="0"/>
        <w:jc w:val="both"/>
        <w:rPr/>
      </w:pPr>
      <w:r>
        <w:rPr>
          <w:color w:val="000000"/>
        </w:rPr>
        <w:t>“</w:t>
      </w:r>
      <w:r>
        <w:rPr>
          <w:rFonts w:ascii="Times New Roman" w:hAnsi="Times New Roman"/>
          <w:b/>
          <w:color w:val="000000"/>
          <w:sz w:val="22"/>
        </w:rPr>
        <w:t>Joint Collaboration Technology</w:t>
      </w:r>
      <w:r>
        <w:rPr>
          <w:color w:val="000000"/>
        </w:rPr>
        <w:t xml:space="preserve">” </w:t>
      </w:r>
      <w:r>
        <w:rPr>
          <w:rFonts w:ascii="Times New Roman" w:hAnsi="Times New Roman"/>
          <w:color w:val="000000"/>
          <w:sz w:val="22"/>
        </w:rPr>
        <w:t>means any and all (a) Know-How, other than Alnylam Collaboration Know-How or Tenaya Platform Improvements, that is identified, developed, made or discovered jointly by or on behalf of the Parties or their respective Affiliates under this Agreement, and (b) Patent Rights that Cover the Know-How described in subsection (a).</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1.59</w:t>
      </w:r>
    </w:p>
    <w:p>
      <w:pPr>
        <w:pStyle w:val="TextBody"/>
        <w:bidi w:val="0"/>
        <w:jc w:val="both"/>
        <w:rPr/>
      </w:pPr>
      <w:r>
        <w:rPr>
          <w:color w:val="000000"/>
        </w:rPr>
        <w:t>“</w:t>
      </w:r>
      <w:r>
        <w:rPr>
          <w:rFonts w:ascii="Times New Roman" w:hAnsi="Times New Roman"/>
          <w:b/>
          <w:color w:val="000000"/>
          <w:sz w:val="22"/>
        </w:rPr>
        <w:t>Joint Steering Committee</w:t>
      </w:r>
      <w:r>
        <w:rPr>
          <w:color w:val="000000"/>
        </w:rPr>
        <w:t xml:space="preserve">” </w:t>
      </w:r>
      <w:r>
        <w:rPr>
          <w:rFonts w:ascii="Times New Roman" w:hAnsi="Times New Roman"/>
          <w:color w:val="000000"/>
          <w:sz w:val="22"/>
        </w:rPr>
        <w:t>or “</w:t>
      </w:r>
      <w:r>
        <w:rPr>
          <w:rFonts w:ascii="Times New Roman" w:hAnsi="Times New Roman"/>
          <w:b/>
          <w:color w:val="000000"/>
          <w:sz w:val="22"/>
        </w:rPr>
        <w:t>JSC</w:t>
      </w:r>
      <w:r>
        <w:rPr>
          <w:color w:val="000000"/>
        </w:rPr>
        <w:t xml:space="preserve">” </w:t>
      </w:r>
      <w:r>
        <w:rPr>
          <w:rFonts w:ascii="Times New Roman" w:hAnsi="Times New Roman"/>
          <w:color w:val="000000"/>
          <w:sz w:val="22"/>
        </w:rPr>
        <w:t>has the meaning set forth in Section 5.1.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1.60</w:t>
      </w:r>
    </w:p>
    <w:p>
      <w:pPr>
        <w:pStyle w:val="TextBody"/>
        <w:bidi w:val="0"/>
        <w:jc w:val="both"/>
        <w:rPr/>
      </w:pPr>
      <w:r>
        <w:rPr>
          <w:color w:val="000000"/>
        </w:rPr>
        <w:t>“</w:t>
      </w:r>
      <w:r>
        <w:rPr>
          <w:rFonts w:ascii="Times New Roman" w:hAnsi="Times New Roman"/>
          <w:b/>
          <w:color w:val="000000"/>
          <w:sz w:val="22"/>
        </w:rPr>
        <w:t>Know-How</w:t>
      </w:r>
      <w:r>
        <w:rPr>
          <w:color w:val="000000"/>
        </w:rPr>
        <w:t xml:space="preserve">” </w:t>
      </w:r>
      <w:r>
        <w:rPr>
          <w:rFonts w:ascii="Times New Roman" w:hAnsi="Times New Roman"/>
          <w:color w:val="000000"/>
          <w:sz w:val="22"/>
        </w:rPr>
        <w:t>means all (a) technical, scientific, and other know-how and information, trade secrets, knowledge, technology, means, methods, processes, practices, formulae, instructions, skills, techniques, procedures, experiences, ideas, technical assistance, designs, drawings, assembly procedures, computer programs, apparatuses, specifications, data, results, and Materials,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 and (b) any physical embodiments of any of the foregoing, but in each case ((a) and (b)), excluding any Patent Rights.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1.61</w:t>
      </w:r>
    </w:p>
    <w:p>
      <w:pPr>
        <w:pStyle w:val="TextBody"/>
        <w:bidi w:val="0"/>
        <w:jc w:val="both"/>
        <w:rPr/>
      </w:pPr>
      <w:r>
        <w:rPr>
          <w:color w:val="000000"/>
        </w:rPr>
        <w:t>“</w:t>
      </w:r>
      <w:r>
        <w:rPr>
          <w:rFonts w:ascii="Times New Roman" w:hAnsi="Times New Roman"/>
          <w:b/>
          <w:color w:val="000000"/>
          <w:sz w:val="22"/>
        </w:rPr>
        <w:t>Licensed Product</w:t>
      </w:r>
      <w:r>
        <w:rPr>
          <w:color w:val="000000"/>
        </w:rPr>
        <w:t xml:space="preserve">” </w:t>
      </w:r>
      <w:r>
        <w:rPr>
          <w:rFonts w:ascii="Times New Roman" w:hAnsi="Times New Roman"/>
          <w:color w:val="000000"/>
          <w:sz w:val="22"/>
        </w:rPr>
        <w:t xml:space="preserve">means any therapeutic product that is Directed To a Non-Alnylam Collaboration Target, alone or in combination with one or more other APIs, in any and all forms, presentations, delivery systems, dosages and formulations.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1.62</w:t>
      </w:r>
    </w:p>
    <w:p>
      <w:pPr>
        <w:pStyle w:val="TextBody"/>
        <w:bidi w:val="0"/>
        <w:spacing w:before="0" w:after="240"/>
        <w:jc w:val="both"/>
        <w:rPr/>
      </w:pPr>
      <w:r>
        <w:rPr>
          <w:color w:val="000000"/>
        </w:rPr>
        <w:t>“</w:t>
      </w:r>
      <w:r>
        <w:rPr>
          <w:rFonts w:ascii="Times New Roman" w:hAnsi="Times New Roman"/>
          <w:b/>
          <w:color w:val="000000"/>
          <w:sz w:val="22"/>
        </w:rPr>
        <w:t>Licensed Technology</w:t>
      </w:r>
      <w:r>
        <w:rPr>
          <w:color w:val="000000"/>
        </w:rPr>
        <w:t xml:space="preserve">” </w:t>
      </w:r>
      <w:r>
        <w:rPr>
          <w:rFonts w:ascii="Times New Roman" w:hAnsi="Times New Roman"/>
          <w:color w:val="000000"/>
          <w:sz w:val="22"/>
        </w:rPr>
        <w:t xml:space="preserve">means, collectively, the Tenaya Collaboration Technology and Tenaya’s interest in the Joint Collaboration Technology.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1.63</w:t>
      </w:r>
    </w:p>
    <w:p>
      <w:pPr>
        <w:pStyle w:val="TextBody"/>
        <w:bidi w:val="0"/>
        <w:jc w:val="both"/>
        <w:rPr/>
      </w:pPr>
      <w:r>
        <w:rPr>
          <w:color w:val="000000"/>
        </w:rPr>
        <w:t>“</w:t>
      </w:r>
      <w:r>
        <w:rPr>
          <w:rFonts w:ascii="Times New Roman" w:hAnsi="Times New Roman"/>
          <w:b/>
          <w:color w:val="000000"/>
          <w:sz w:val="22"/>
        </w:rPr>
        <w:t>Losses</w:t>
      </w:r>
      <w:r>
        <w:rPr>
          <w:color w:val="000000"/>
        </w:rPr>
        <w:t xml:space="preserve">” </w:t>
      </w:r>
      <w:r>
        <w:rPr>
          <w:rFonts w:ascii="Times New Roman" w:hAnsi="Times New Roman"/>
          <w:color w:val="000000"/>
          <w:sz w:val="22"/>
        </w:rPr>
        <w:t>has the meaning set forth in Section 10.1.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1.64</w:t>
      </w:r>
    </w:p>
    <w:p>
      <w:pPr>
        <w:pStyle w:val="TextBody"/>
        <w:bidi w:val="0"/>
        <w:jc w:val="both"/>
        <w:rPr/>
      </w:pPr>
      <w:r>
        <w:rPr>
          <w:color w:val="000000"/>
        </w:rPr>
        <w:t>“</w:t>
      </w:r>
      <w:r>
        <w:rPr>
          <w:rFonts w:ascii="Times New Roman" w:hAnsi="Times New Roman"/>
          <w:b/>
          <w:color w:val="000000"/>
          <w:sz w:val="22"/>
        </w:rPr>
        <w:t>Major European Country</w:t>
      </w:r>
      <w:r>
        <w:rPr>
          <w:color w:val="000000"/>
        </w:rPr>
        <w:t xml:space="preserve">” </w:t>
      </w:r>
      <w:r>
        <w:rPr>
          <w:rFonts w:ascii="Times New Roman" w:hAnsi="Times New Roman"/>
          <w:color w:val="000000"/>
          <w:sz w:val="22"/>
        </w:rPr>
        <w:t>means the United Kingdom, France, Germany, Italy or Spain.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1.65</w:t>
      </w:r>
    </w:p>
    <w:p>
      <w:pPr>
        <w:pStyle w:val="TextBody"/>
        <w:bidi w:val="0"/>
        <w:jc w:val="both"/>
        <w:rPr/>
      </w:pPr>
      <w:r>
        <w:rPr>
          <w:color w:val="000000"/>
        </w:rPr>
        <w:t>“</w:t>
      </w:r>
      <w:r>
        <w:rPr>
          <w:rFonts w:ascii="Times New Roman" w:hAnsi="Times New Roman"/>
          <w:b/>
          <w:color w:val="000000"/>
          <w:sz w:val="22"/>
        </w:rPr>
        <w:t>Materials</w:t>
      </w:r>
      <w:r>
        <w:rPr>
          <w:color w:val="000000"/>
        </w:rPr>
        <w:t xml:space="preserve">” </w:t>
      </w:r>
      <w:r>
        <w:rPr>
          <w:rFonts w:ascii="Times New Roman" w:hAnsi="Times New Roman"/>
          <w:color w:val="000000"/>
          <w:sz w:val="22"/>
        </w:rPr>
        <w:t>means all tangible compositions of matter, devices, articles of manufacture, assays, animal models, biological, chemical, or physical materials, and other similar materials, including cell lines and animal models; provided that Materials excludes Products.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1.66</w:t>
      </w:r>
    </w:p>
    <w:p>
      <w:pPr>
        <w:pStyle w:val="TextBody"/>
        <w:bidi w:val="0"/>
        <w:jc w:val="both"/>
        <w:rPr/>
      </w:pPr>
      <w:r>
        <w:rPr>
          <w:color w:val="000000"/>
        </w:rPr>
        <w:t>“</w:t>
      </w:r>
      <w:r>
        <w:rPr>
          <w:rFonts w:ascii="Times New Roman" w:hAnsi="Times New Roman"/>
          <w:b/>
          <w:color w:val="000000"/>
          <w:sz w:val="22"/>
        </w:rPr>
        <w:t>Net Sales</w:t>
      </w:r>
      <w:r>
        <w:rPr>
          <w:color w:val="000000"/>
        </w:rPr>
        <w:t xml:space="preserve">” </w:t>
      </w:r>
      <w:r>
        <w:rPr>
          <w:rFonts w:ascii="Times New Roman" w:hAnsi="Times New Roman"/>
          <w:color w:val="000000"/>
          <w:sz w:val="22"/>
        </w:rPr>
        <w:t>means, with respect to a Licensed Product, the gross amount invoiced by or on behalf of Alnylam or its Affiliates or Sublicensees (each of the foregoing Persons, a “</w:t>
      </w:r>
      <w:r>
        <w:rPr>
          <w:rFonts w:ascii="Times New Roman" w:hAnsi="Times New Roman"/>
          <w:b/>
          <w:color w:val="000000"/>
          <w:sz w:val="22"/>
        </w:rPr>
        <w:t>Selling Party</w:t>
      </w:r>
      <w:r>
        <w:rPr>
          <w:color w:val="000000"/>
        </w:rPr>
        <w:t>”</w:t>
      </w:r>
      <w:r>
        <w:rPr>
          <w:rFonts w:ascii="Times New Roman" w:hAnsi="Times New Roman"/>
          <w:color w:val="000000"/>
          <w:sz w:val="22"/>
        </w:rPr>
        <w:t>) for the sale or other disposition of such Licensed Product to a Third Party (including Third Party distributors), in bona fide arms’ length transactions in the Territory, less the following deductions (from the gross amount invoiced), in each case, pertaining to such Licensed Product and actually allowed and taken by such Third Party and not otherwise recovered by or reimbursed to the Selling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w:t>
      </w:r>
    </w:p>
    <w:p>
      <w:pPr>
        <w:pStyle w:val="TextBody"/>
        <w:bidi w:val="0"/>
        <w:spacing w:before="0" w:after="240"/>
        <w:jc w:val="both"/>
        <w:rPr>
          <w:rFonts w:ascii="Times New Roman" w:hAnsi="Times New Roman"/>
          <w:sz w:val="20"/>
        </w:rPr>
      </w:pPr>
      <w:r>
        <w:rPr>
          <w:rFonts w:ascii="Times New Roman" w:hAnsi="Times New Roman"/>
          <w:color w:val="000000"/>
          <w:sz w:val="22"/>
        </w:rPr>
        <w:t>Such amounts will be determined consistent with a Selling Party’s customary practices and in accordance with GAAP. It is understood that any accruals for individual items reflected in Net Sales are periodically (at least Calendar Quarterly) trued up and adjusted by each Selling Party consistent with its customary practices and in accordance with GAAP. In no event shall any particular amount identified above be deducted more than once in calculating Net Sales (</w:t>
      </w:r>
      <w:r>
        <w:rPr>
          <w:rFonts w:ascii="Times New Roman" w:hAnsi="Times New Roman"/>
          <w:i/>
          <w:color w:val="000000"/>
          <w:sz w:val="22"/>
        </w:rPr>
        <w:t>i.e.</w:t>
      </w:r>
      <w:r>
        <w:rPr>
          <w:rFonts w:ascii="Times New Roman" w:hAnsi="Times New Roman"/>
          <w:color w:val="000000"/>
          <w:sz w:val="22"/>
        </w:rPr>
        <w:t>, no “double counting” of deductions).</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provision to the contrary set forth in this Agreement, Net Sales will not include any distribution or other sale of Licensed Product solely for so-called investigational new drug sales, clinical studies, compassionate or emergency use, named patient or single patient programs, expanded access or indigent programs, promotional samples, testing samples, donations, or any other similar instances, in each case at or below cost.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Sale or transfer of Licensed Products between any of the Selling Parties will not result in any Net Sales if such sales are not intended for end use, with Net Sales to be based only on any subsequent sales or dispositions to a non-Selling Party. To the extent that any Selling Party receives consideration other than or in addition to cash upon the sale or disposition of a Licensed Product to a non-Selling Party in a given country, Net Sales will be calculated based on the average price charged for such Licensed Product in such country, as applicable, during the applicable period, or in the absence of such sales, based on the fair market value of such Licensed Product, as reasonably determined by the Parties in good faith. For clarity, Net Sales will not include amounts or other consideration received by a Selling Party from a non-Selling Party to the extent paid in consideration of the grant of a sublicense or co-promotion or distribution right to such non-Selling Party.</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1.67</w:t>
      </w:r>
    </w:p>
    <w:p>
      <w:pPr>
        <w:pStyle w:val="TextBody"/>
        <w:bidi w:val="0"/>
        <w:jc w:val="both"/>
        <w:rPr/>
      </w:pPr>
      <w:r>
        <w:rPr>
          <w:color w:val="000000"/>
        </w:rPr>
        <w:t>“</w:t>
      </w:r>
      <w:r>
        <w:rPr>
          <w:rFonts w:ascii="Times New Roman" w:hAnsi="Times New Roman"/>
          <w:b/>
          <w:color w:val="000000"/>
          <w:sz w:val="22"/>
        </w:rPr>
        <w:t>NHP PD Study</w:t>
      </w:r>
      <w:r>
        <w:rPr>
          <w:color w:val="000000"/>
        </w:rPr>
        <w:t xml:space="preserve">” </w:t>
      </w:r>
      <w:r>
        <w:rPr>
          <w:rFonts w:ascii="Times New Roman" w:hAnsi="Times New Roman"/>
          <w:color w:val="000000"/>
          <w:sz w:val="22"/>
        </w:rPr>
        <w:t>means any pharmacodynamic study of a Licensed Product in non-human primates.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1.68</w:t>
      </w:r>
    </w:p>
    <w:p>
      <w:pPr>
        <w:pStyle w:val="TextBody"/>
        <w:bidi w:val="0"/>
        <w:jc w:val="both"/>
        <w:rPr/>
      </w:pPr>
      <w:r>
        <w:rPr>
          <w:color w:val="000000"/>
        </w:rPr>
        <w:t>“</w:t>
      </w:r>
      <w:r>
        <w:rPr>
          <w:rFonts w:ascii="Times New Roman" w:hAnsi="Times New Roman"/>
          <w:b/>
          <w:color w:val="000000"/>
          <w:sz w:val="22"/>
        </w:rPr>
        <w:t>Non-Alnylam Collaboration Target</w:t>
      </w:r>
      <w:r>
        <w:rPr>
          <w:color w:val="000000"/>
        </w:rPr>
        <w:t xml:space="preserve">” </w:t>
      </w:r>
      <w:r>
        <w:rPr>
          <w:rFonts w:ascii="Times New Roman" w:hAnsi="Times New Roman"/>
          <w:color w:val="000000"/>
          <w:sz w:val="22"/>
        </w:rPr>
        <w:t>means each (a) Tenaya Gene Target, (b) Overlapping Gene Target, or (c) Selected Non-Novel Gene Target.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1.69</w:t>
      </w:r>
    </w:p>
    <w:p>
      <w:pPr>
        <w:pStyle w:val="TextBody"/>
        <w:bidi w:val="0"/>
        <w:jc w:val="both"/>
        <w:rPr/>
      </w:pPr>
      <w:r>
        <w:rPr>
          <w:color w:val="000000"/>
        </w:rPr>
        <w:t>“</w:t>
      </w:r>
      <w:r>
        <w:rPr>
          <w:rFonts w:ascii="Times New Roman" w:hAnsi="Times New Roman"/>
          <w:b/>
          <w:color w:val="000000"/>
          <w:sz w:val="22"/>
        </w:rPr>
        <w:t>Non-Alnylam Collaboration Target Information</w:t>
      </w:r>
      <w:r>
        <w:rPr>
          <w:color w:val="000000"/>
        </w:rPr>
        <w:t xml:space="preserve">” </w:t>
      </w:r>
      <w:r>
        <w:rPr>
          <w:rFonts w:ascii="Times New Roman" w:hAnsi="Times New Roman"/>
          <w:color w:val="000000"/>
          <w:sz w:val="22"/>
        </w:rPr>
        <w:t>has the meaning set forth in Section 8.1.1.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1.70</w:t>
      </w:r>
    </w:p>
    <w:p>
      <w:pPr>
        <w:pStyle w:val="TextBody"/>
        <w:bidi w:val="0"/>
        <w:jc w:val="both"/>
        <w:rPr/>
      </w:pPr>
      <w:r>
        <w:rPr>
          <w:color w:val="000000"/>
        </w:rPr>
        <w:t>“</w:t>
      </w:r>
      <w:r>
        <w:rPr>
          <w:rFonts w:ascii="Times New Roman" w:hAnsi="Times New Roman"/>
          <w:b/>
          <w:color w:val="000000"/>
          <w:sz w:val="22"/>
        </w:rPr>
        <w:t>Non-Breaching Party</w:t>
      </w:r>
      <w:r>
        <w:rPr>
          <w:color w:val="000000"/>
        </w:rPr>
        <w:t xml:space="preserve">” </w:t>
      </w:r>
      <w:r>
        <w:rPr>
          <w:rFonts w:ascii="Times New Roman" w:hAnsi="Times New Roman"/>
          <w:color w:val="000000"/>
          <w:sz w:val="22"/>
        </w:rPr>
        <w:t>has the meaning set forth in Section 12.2.2.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1.71</w:t>
      </w:r>
    </w:p>
    <w:p>
      <w:pPr>
        <w:pStyle w:val="TextBody"/>
        <w:bidi w:val="0"/>
        <w:jc w:val="both"/>
        <w:rPr/>
      </w:pPr>
      <w:r>
        <w:rPr>
          <w:color w:val="000000"/>
        </w:rPr>
        <w:t>“</w:t>
      </w:r>
      <w:r>
        <w:rPr>
          <w:rFonts w:ascii="Times New Roman" w:hAnsi="Times New Roman"/>
          <w:b/>
          <w:color w:val="000000"/>
          <w:sz w:val="22"/>
        </w:rPr>
        <w:t>Non-Novel Gene Target</w:t>
      </w:r>
      <w:r>
        <w:rPr>
          <w:color w:val="000000"/>
        </w:rPr>
        <w:t xml:space="preserve">” </w:t>
      </w:r>
      <w:r>
        <w:rPr>
          <w:rFonts w:ascii="Times New Roman" w:hAnsi="Times New Roman"/>
          <w:color w:val="000000"/>
          <w:sz w:val="22"/>
        </w:rPr>
        <w:t>has the meaning set forth in Section 3.2.1.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1.72</w:t>
      </w:r>
    </w:p>
    <w:p>
      <w:pPr>
        <w:pStyle w:val="TextBody"/>
        <w:bidi w:val="0"/>
        <w:jc w:val="both"/>
        <w:rPr/>
      </w:pPr>
      <w:r>
        <w:rPr>
          <w:color w:val="000000"/>
        </w:rPr>
        <w:t>“</w:t>
      </w:r>
      <w:r>
        <w:rPr>
          <w:rFonts w:ascii="Times New Roman" w:hAnsi="Times New Roman"/>
          <w:b/>
          <w:color w:val="000000"/>
          <w:sz w:val="22"/>
        </w:rPr>
        <w:t>Oligonucleotide</w:t>
      </w:r>
      <w:r>
        <w:rPr>
          <w:color w:val="000000"/>
        </w:rPr>
        <w:t xml:space="preserve">” </w:t>
      </w:r>
      <w:r>
        <w:rPr>
          <w:rFonts w:ascii="Times New Roman" w:hAnsi="Times New Roman"/>
          <w:color w:val="000000"/>
          <w:sz w:val="22"/>
        </w:rPr>
        <w:t>means any modified or unmodified single- or double-stranded RNA or DNA oligonucleotide that acts on a Gene Target.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1.73</w:t>
      </w:r>
    </w:p>
    <w:p>
      <w:pPr>
        <w:pStyle w:val="TextBody"/>
        <w:bidi w:val="0"/>
        <w:jc w:val="both"/>
        <w:rPr/>
      </w:pPr>
      <w:r>
        <w:rPr>
          <w:color w:val="000000"/>
        </w:rPr>
        <w:t>“</w:t>
      </w:r>
      <w:r>
        <w:rPr>
          <w:rFonts w:ascii="Times New Roman" w:hAnsi="Times New Roman"/>
          <w:b/>
          <w:color w:val="000000"/>
          <w:sz w:val="22"/>
        </w:rPr>
        <w:t>Out-of-Pocket Costs</w:t>
      </w:r>
      <w:r>
        <w:rPr>
          <w:color w:val="000000"/>
        </w:rPr>
        <w:t xml:space="preserve">” </w:t>
      </w:r>
      <w:r>
        <w:rPr>
          <w:rFonts w:ascii="Times New Roman" w:hAnsi="Times New Roman"/>
          <w:color w:val="000000"/>
          <w:sz w:val="22"/>
        </w:rPr>
        <w:t>means costs and expenses paid by a Party or any of its Affiliates to Third Parties for goods or services, including [***] but not including any FTE Costs, or such Party’s, or any of its Affiliates’, other internal or general overhead costs or expenses.</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1.74</w:t>
      </w:r>
    </w:p>
    <w:p>
      <w:pPr>
        <w:pStyle w:val="TextBody"/>
        <w:bidi w:val="0"/>
        <w:jc w:val="both"/>
        <w:rPr/>
      </w:pPr>
      <w:r>
        <w:rPr>
          <w:color w:val="000000"/>
        </w:rPr>
        <w:t>“</w:t>
      </w:r>
      <w:r>
        <w:rPr>
          <w:rFonts w:ascii="Times New Roman" w:hAnsi="Times New Roman"/>
          <w:b/>
          <w:color w:val="000000"/>
          <w:sz w:val="22"/>
        </w:rPr>
        <w:t>Overlapping Gene Target</w:t>
      </w:r>
      <w:r>
        <w:rPr>
          <w:color w:val="000000"/>
        </w:rPr>
        <w:t xml:space="preserve">” </w:t>
      </w:r>
      <w:r>
        <w:rPr>
          <w:rFonts w:ascii="Times New Roman" w:hAnsi="Times New Roman"/>
          <w:color w:val="000000"/>
          <w:sz w:val="22"/>
        </w:rPr>
        <w:t>has the meaning set forth in Section 3.2.5.</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1.75</w:t>
      </w:r>
    </w:p>
    <w:p>
      <w:pPr>
        <w:pStyle w:val="TextBody"/>
        <w:bidi w:val="0"/>
        <w:jc w:val="both"/>
        <w:rPr/>
      </w:pPr>
      <w:r>
        <w:rPr>
          <w:color w:val="000000"/>
        </w:rPr>
        <w:t>“</w:t>
      </w:r>
      <w:r>
        <w:rPr>
          <w:rFonts w:ascii="Times New Roman" w:hAnsi="Times New Roman"/>
          <w:b/>
          <w:color w:val="000000"/>
          <w:sz w:val="22"/>
        </w:rPr>
        <w:t>Patent Rights</w:t>
      </w:r>
      <w:r>
        <w:rPr>
          <w:color w:val="000000"/>
        </w:rPr>
        <w:t xml:space="preserve">” </w:t>
      </w:r>
      <w:r>
        <w:rPr>
          <w:rFonts w:ascii="Times New Roman" w:hAnsi="Times New Roman"/>
          <w:color w:val="000000"/>
          <w:sz w:val="22"/>
        </w:rPr>
        <w:t>means (a) all issued patents (including any extensions, restorations by any existing or future extension or registration mechanism (including patent term adjustments, patent term extensions, supplemental protection certificates or the equivalent thereof), substitutions, confirmations, re-registrations, re-examinations, and patents of addition); (b) patent applications (including all provisional applications, substitutions, requests for continuation, continuations, continuations-in-part, divisionals and renewals); (c) inventor’s certificates; and (d) all equivalents of the foregoing in any country of the world.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1.76</w:t>
      </w:r>
    </w:p>
    <w:p>
      <w:pPr>
        <w:pStyle w:val="TextBody"/>
        <w:bidi w:val="0"/>
        <w:jc w:val="both"/>
        <w:rPr/>
      </w:pPr>
      <w:r>
        <w:rPr>
          <w:color w:val="000000"/>
        </w:rPr>
        <w:t>“</w:t>
      </w:r>
      <w:r>
        <w:rPr>
          <w:rFonts w:ascii="Times New Roman" w:hAnsi="Times New Roman"/>
          <w:b/>
          <w:color w:val="000000"/>
          <w:sz w:val="22"/>
        </w:rPr>
        <w:t>Person</w:t>
      </w:r>
      <w:r>
        <w:rPr>
          <w:color w:val="000000"/>
        </w:rPr>
        <w:t xml:space="preserve">” </w:t>
      </w:r>
      <w:r>
        <w:rPr>
          <w:rFonts w:ascii="Times New Roman" w:hAnsi="Times New Roman"/>
          <w:color w:val="000000"/>
          <w:sz w:val="22"/>
        </w:rPr>
        <w:t>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1.77</w:t>
      </w:r>
    </w:p>
    <w:p>
      <w:pPr>
        <w:pStyle w:val="TextBody"/>
        <w:bidi w:val="0"/>
        <w:jc w:val="both"/>
        <w:rPr/>
      </w:pPr>
      <w:r>
        <w:rPr>
          <w:color w:val="000000"/>
        </w:rPr>
        <w:t>“</w:t>
      </w:r>
      <w:r>
        <w:rPr>
          <w:rFonts w:ascii="Times New Roman" w:hAnsi="Times New Roman"/>
          <w:b/>
          <w:color w:val="000000"/>
          <w:sz w:val="22"/>
        </w:rPr>
        <w:t>Phase I Clinical Trial</w:t>
      </w:r>
      <w:r>
        <w:rPr>
          <w:color w:val="000000"/>
        </w:rPr>
        <w:t xml:space="preserve">” </w:t>
      </w:r>
      <w:r>
        <w:rPr>
          <w:rFonts w:ascii="Times New Roman" w:hAnsi="Times New Roman"/>
          <w:color w:val="000000"/>
          <w:sz w:val="22"/>
        </w:rPr>
        <w:t>means a Clinical Trial of a product that satisfies the requirements of 21 C.F.R. 312.21(a) (or its successor regulation or its equivalent in any other jurisdiction) and is designed to assess the safety of such product in patients.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1.78</w:t>
      </w:r>
    </w:p>
    <w:p>
      <w:pPr>
        <w:pStyle w:val="TextBody"/>
        <w:bidi w:val="0"/>
        <w:jc w:val="both"/>
        <w:rPr/>
      </w:pPr>
      <w:r>
        <w:rPr>
          <w:color w:val="000000"/>
        </w:rPr>
        <w:t>“</w:t>
      </w:r>
      <w:r>
        <w:rPr>
          <w:rFonts w:ascii="Times New Roman" w:hAnsi="Times New Roman"/>
          <w:b/>
          <w:color w:val="000000"/>
          <w:sz w:val="22"/>
        </w:rPr>
        <w:t>Phase II Clinical Trial</w:t>
      </w:r>
      <w:r>
        <w:rPr>
          <w:color w:val="000000"/>
        </w:rPr>
        <w:t xml:space="preserve">” </w:t>
      </w:r>
      <w:r>
        <w:rPr>
          <w:rFonts w:ascii="Times New Roman" w:hAnsi="Times New Roman"/>
          <w:color w:val="000000"/>
          <w:sz w:val="22"/>
        </w:rPr>
        <w:t>means a Clinical Trial of a product that satisfies the requirements of 21 C.F.R. § 312.21(b) (or its successor regulation or its equivalent in any other jurisdiction) and is intended to explore one or more doses, dose response, and duration of effect, and to generate initial evidence of clinical activity and safety, in the target patient population.</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1.79</w:t>
      </w:r>
    </w:p>
    <w:p>
      <w:pPr>
        <w:pStyle w:val="TextBody"/>
        <w:bidi w:val="0"/>
        <w:jc w:val="both"/>
        <w:rPr/>
      </w:pPr>
      <w:r>
        <w:rPr>
          <w:color w:val="000000"/>
        </w:rPr>
        <w:t>“</w:t>
      </w:r>
      <w:r>
        <w:rPr>
          <w:rFonts w:ascii="Times New Roman" w:hAnsi="Times New Roman"/>
          <w:b/>
          <w:color w:val="000000"/>
          <w:sz w:val="22"/>
        </w:rPr>
        <w:t>Phase III Clinical Trial</w:t>
      </w:r>
      <w:r>
        <w:rPr>
          <w:color w:val="000000"/>
        </w:rPr>
        <w:t xml:space="preserve">” </w:t>
      </w:r>
      <w:r>
        <w:rPr>
          <w:rFonts w:ascii="Times New Roman" w:hAnsi="Times New Roman"/>
          <w:color w:val="000000"/>
          <w:sz w:val="22"/>
        </w:rPr>
        <w:t>means a Clinical Trial of a product that satisfies the requirements of 21 C.F.R. § 312.21(c) (or its successor regulation or its equivalent in any other jurisdiction) and is intended to (a) establish that the product is safe and efficacious for its intended use, (b) define contraindications, warnings, precautions and adverse reactions that are associated with the product in the dosage range to be prescribed, and (c) support Regulatory Approval for such product.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1.80</w:t>
      </w:r>
    </w:p>
    <w:p>
      <w:pPr>
        <w:pStyle w:val="TextBody"/>
        <w:bidi w:val="0"/>
        <w:jc w:val="both"/>
        <w:rPr/>
      </w:pPr>
      <w:r>
        <w:rPr>
          <w:color w:val="000000"/>
        </w:rPr>
        <w:t>“</w:t>
      </w:r>
      <w:r>
        <w:rPr>
          <w:rFonts w:ascii="Times New Roman" w:hAnsi="Times New Roman"/>
          <w:b/>
          <w:color w:val="000000"/>
          <w:sz w:val="22"/>
        </w:rPr>
        <w:t>Platform Access Fee</w:t>
      </w:r>
      <w:r>
        <w:rPr>
          <w:color w:val="000000"/>
        </w:rPr>
        <w:t xml:space="preserve">” </w:t>
      </w:r>
      <w:r>
        <w:rPr>
          <w:rFonts w:ascii="Times New Roman" w:hAnsi="Times New Roman"/>
          <w:color w:val="000000"/>
          <w:sz w:val="22"/>
        </w:rPr>
        <w:t>has the meaning set forth in Section 7.1.</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1.81</w:t>
      </w:r>
    </w:p>
    <w:p>
      <w:pPr>
        <w:pStyle w:val="TextBody"/>
        <w:bidi w:val="0"/>
        <w:jc w:val="both"/>
        <w:rPr/>
      </w:pPr>
      <w:r>
        <w:rPr>
          <w:color w:val="000000"/>
        </w:rPr>
        <w:t>“</w:t>
      </w:r>
      <w:r>
        <w:rPr>
          <w:rFonts w:ascii="Times New Roman" w:hAnsi="Times New Roman"/>
          <w:b/>
          <w:color w:val="000000"/>
          <w:sz w:val="22"/>
        </w:rPr>
        <w:t>Pricing and Reimbursement Approval</w:t>
      </w:r>
      <w:r>
        <w:rPr>
          <w:color w:val="000000"/>
        </w:rPr>
        <w:t xml:space="preserve">” </w:t>
      </w:r>
      <w:r>
        <w:rPr>
          <w:rFonts w:ascii="Times New Roman" w:hAnsi="Times New Roman"/>
          <w:color w:val="000000"/>
          <w:sz w:val="22"/>
        </w:rPr>
        <w:t>means such approval, agreement, determination or governmental decision establishing prices for a Product that can be charged to consumers and will be reimbursed by Regulatory Authorities in countries where Regulatory Authorities of such countries approve or determine pricing for pharmaceutical products for reimbursement or otherwise.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1.82</w:t>
      </w:r>
    </w:p>
    <w:p>
      <w:pPr>
        <w:pStyle w:val="TextBody"/>
        <w:bidi w:val="0"/>
        <w:jc w:val="both"/>
        <w:rPr/>
      </w:pPr>
      <w:r>
        <w:rPr>
          <w:color w:val="000000"/>
        </w:rPr>
        <w:t>“</w:t>
      </w:r>
      <w:r>
        <w:rPr>
          <w:rFonts w:ascii="Times New Roman" w:hAnsi="Times New Roman"/>
          <w:b/>
          <w:color w:val="000000"/>
          <w:sz w:val="22"/>
        </w:rPr>
        <w:t>Primary Cardiovascular Indication</w:t>
      </w:r>
      <w:r>
        <w:rPr>
          <w:color w:val="000000"/>
        </w:rPr>
        <w:t xml:space="preserve">” </w:t>
      </w:r>
      <w:r>
        <w:rPr>
          <w:rFonts w:ascii="Times New Roman" w:hAnsi="Times New Roman"/>
          <w:color w:val="000000"/>
          <w:sz w:val="22"/>
        </w:rPr>
        <w:t>means each of the following: [***]. With respect to a particular Gene Target, only one of (a) through (f) shall constitute the applicable Primary Cardiovascular Indication; with respect to each Tenaya Nominated Gene Target, Tenaya shall specify the applicable Primary Cardiovascular Indication for such Gene Target in the applicable Tenaya Nominated Gene Target Data Package (for clarity, if Tenaya has Associated such Gene Target with multiple indications,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1.83</w:t>
      </w:r>
    </w:p>
    <w:p>
      <w:pPr>
        <w:pStyle w:val="TextBody"/>
        <w:bidi w:val="0"/>
        <w:jc w:val="both"/>
        <w:rPr/>
      </w:pPr>
      <w:r>
        <w:rPr>
          <w:color w:val="000000"/>
        </w:rPr>
        <w:t>“</w:t>
      </w:r>
      <w:r>
        <w:rPr>
          <w:rFonts w:ascii="Times New Roman" w:hAnsi="Times New Roman"/>
          <w:b/>
          <w:color w:val="000000"/>
          <w:sz w:val="22"/>
        </w:rPr>
        <w:t>Product</w:t>
      </w:r>
      <w:r>
        <w:rPr>
          <w:color w:val="000000"/>
        </w:rPr>
        <w:t xml:space="preserve">” </w:t>
      </w:r>
      <w:r>
        <w:rPr>
          <w:rFonts w:ascii="Times New Roman" w:hAnsi="Times New Roman"/>
          <w:color w:val="000000"/>
          <w:sz w:val="22"/>
        </w:rPr>
        <w:t xml:space="preserve">means any product that is Directed To a Collaboration Target, alone or in combination with one or more other APIs, in any and all forms, presentations, delivery systems, dosages and formulations.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1.84</w:t>
      </w:r>
    </w:p>
    <w:p>
      <w:pPr>
        <w:pStyle w:val="TextBody"/>
        <w:bidi w:val="0"/>
        <w:jc w:val="both"/>
        <w:rPr/>
      </w:pPr>
      <w:r>
        <w:rPr>
          <w:color w:val="000000"/>
        </w:rPr>
        <w:t>“</w:t>
      </w:r>
      <w:r>
        <w:rPr>
          <w:rFonts w:ascii="Times New Roman" w:hAnsi="Times New Roman"/>
          <w:b/>
          <w:color w:val="000000"/>
          <w:sz w:val="22"/>
        </w:rPr>
        <w:t>Public Knowledge</w:t>
      </w:r>
      <w:r>
        <w:rPr>
          <w:color w:val="000000"/>
        </w:rPr>
        <w:t xml:space="preserve">” </w:t>
      </w:r>
      <w:r>
        <w:rPr>
          <w:rFonts w:ascii="Times New Roman" w:hAnsi="Times New Roman"/>
          <w:color w:val="000000"/>
          <w:sz w:val="22"/>
        </w:rPr>
        <w:t>means information becomes publicly known or available through no fault of, or breach of the confidentiality obligations of this Agreement by, Alnylam; provided that information shall not be considered Public Knowledge if such information becomes publicly known or available as a result of (a) the publication of Patent Rights filed by Alnylam, by Tenaya after the Effective Date with Alnylam’s prior written consent, or by Tenaya as of the Effective Date, or (b) its disclosure, publication or presentation by Alnylam, by Tenaya after the Effective Date with Alnylam’s prior written consent, or by Tenaya as of the Effective Date.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1.85</w:t>
      </w:r>
    </w:p>
    <w:p>
      <w:pPr>
        <w:pStyle w:val="TextBody"/>
        <w:bidi w:val="0"/>
        <w:jc w:val="both"/>
        <w:rPr/>
      </w:pPr>
      <w:r>
        <w:rPr>
          <w:color w:val="000000"/>
        </w:rPr>
        <w:t>“</w:t>
      </w:r>
      <w:r>
        <w:rPr>
          <w:rFonts w:ascii="Times New Roman" w:hAnsi="Times New Roman"/>
          <w:b/>
          <w:color w:val="000000"/>
          <w:sz w:val="22"/>
        </w:rPr>
        <w:t>Quarterly Research Expense Report</w:t>
      </w:r>
      <w:r>
        <w:rPr>
          <w:color w:val="000000"/>
        </w:rPr>
        <w:t xml:space="preserve">” </w:t>
      </w:r>
      <w:r>
        <w:rPr>
          <w:rFonts w:ascii="Times New Roman" w:hAnsi="Times New Roman"/>
          <w:color w:val="000000"/>
          <w:sz w:val="22"/>
        </w:rPr>
        <w:t>has the meaning set forth in Section 2.4.2.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1.86</w:t>
      </w:r>
    </w:p>
    <w:p>
      <w:pPr>
        <w:pStyle w:val="TextBody"/>
        <w:bidi w:val="0"/>
        <w:jc w:val="both"/>
        <w:rPr/>
      </w:pPr>
      <w:r>
        <w:rPr>
          <w:color w:val="000000"/>
        </w:rPr>
        <w:t>“</w:t>
      </w:r>
      <w:r>
        <w:rPr>
          <w:rFonts w:ascii="Times New Roman" w:hAnsi="Times New Roman"/>
          <w:b/>
          <w:color w:val="000000"/>
          <w:sz w:val="22"/>
        </w:rPr>
        <w:t>Receiving Party</w:t>
      </w:r>
      <w:r>
        <w:rPr>
          <w:color w:val="000000"/>
        </w:rPr>
        <w:t xml:space="preserve">” </w:t>
      </w:r>
      <w:r>
        <w:rPr>
          <w:rFonts w:ascii="Times New Roman" w:hAnsi="Times New Roman"/>
          <w:color w:val="000000"/>
          <w:sz w:val="22"/>
        </w:rPr>
        <w:t>has the meaning set forth in Section 8.1.1.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1.87</w:t>
      </w:r>
    </w:p>
    <w:p>
      <w:pPr>
        <w:pStyle w:val="TextBody"/>
        <w:bidi w:val="0"/>
        <w:jc w:val="both"/>
        <w:rPr/>
      </w:pPr>
      <w:r>
        <w:rPr>
          <w:color w:val="000000"/>
        </w:rPr>
        <w:t>“</w:t>
      </w:r>
      <w:r>
        <w:rPr>
          <w:rFonts w:ascii="Times New Roman" w:hAnsi="Times New Roman"/>
          <w:b/>
          <w:color w:val="000000"/>
          <w:sz w:val="22"/>
        </w:rPr>
        <w:t>Regulatory Approval</w:t>
      </w:r>
      <w:r>
        <w:rPr>
          <w:color w:val="000000"/>
        </w:rPr>
        <w:t xml:space="preserve">” </w:t>
      </w:r>
      <w:r>
        <w:rPr>
          <w:rFonts w:ascii="Times New Roman" w:hAnsi="Times New Roman"/>
          <w:color w:val="000000"/>
          <w:sz w:val="22"/>
        </w:rPr>
        <w:t>means, with respect to a country in the Territory, any and all approvals (including drug approval applications), licenses, registrations, or authorizations of any Regulatory Authority necessary to commercially distribute, sell, or market a Product in such country, including, where applicable, (a) Pricing and Reimbursement Approval in such country, (b) pre- and post-approval marketing authorizations (including any prerequisite manufacturing approval or authorization related thereto), and (c) labeling approval.</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1.88</w:t>
      </w:r>
    </w:p>
    <w:p>
      <w:pPr>
        <w:pStyle w:val="TextBody"/>
        <w:bidi w:val="0"/>
        <w:jc w:val="both"/>
        <w:rPr/>
      </w:pPr>
      <w:r>
        <w:rPr>
          <w:color w:val="000000"/>
        </w:rPr>
        <w:t>“</w:t>
      </w:r>
      <w:r>
        <w:rPr>
          <w:rFonts w:ascii="Times New Roman" w:hAnsi="Times New Roman"/>
          <w:b/>
          <w:color w:val="000000"/>
          <w:sz w:val="22"/>
        </w:rPr>
        <w:t>Regulatory Authority</w:t>
      </w:r>
      <w:r>
        <w:rPr>
          <w:color w:val="000000"/>
        </w:rPr>
        <w:t xml:space="preserve">” </w:t>
      </w:r>
      <w:r>
        <w:rPr>
          <w:rFonts w:ascii="Times New Roman" w:hAnsi="Times New Roman"/>
          <w:color w:val="000000"/>
          <w:sz w:val="22"/>
        </w:rPr>
        <w:t>means any applicable supra-national, federal, national, regional, state, provincial, or local regulatory agencies, departments, bureaus, commissions, councils, or other government entities regulating or otherwise exercising authority with respect to the Exploitation of a Product in the Territory.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1.89</w:t>
      </w:r>
    </w:p>
    <w:p>
      <w:pPr>
        <w:pStyle w:val="TextBody"/>
        <w:bidi w:val="0"/>
        <w:jc w:val="both"/>
        <w:rPr/>
      </w:pPr>
      <w:r>
        <w:rPr>
          <w:color w:val="000000"/>
        </w:rPr>
        <w:t>“</w:t>
      </w:r>
      <w:r>
        <w:rPr>
          <w:rFonts w:ascii="Times New Roman" w:hAnsi="Times New Roman"/>
          <w:b/>
          <w:color w:val="000000"/>
          <w:sz w:val="22"/>
        </w:rPr>
        <w:t>Regulatory Materials</w:t>
      </w:r>
      <w:r>
        <w:rPr>
          <w:color w:val="000000"/>
        </w:rPr>
        <w:t xml:space="preserve">” </w:t>
      </w:r>
      <w:r>
        <w:rPr>
          <w:rFonts w:ascii="Times New Roman" w:hAnsi="Times New Roman"/>
          <w:color w:val="000000"/>
          <w:sz w:val="22"/>
        </w:rPr>
        <w:t>means all (a) applications (including all INDs and drug approval applications and other major regulatory filings), registrations, licenses, authorizations, and approvals (including Regulatory Approvals) and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1.90</w:t>
      </w:r>
    </w:p>
    <w:p>
      <w:pPr>
        <w:pStyle w:val="TextBody"/>
        <w:bidi w:val="0"/>
        <w:jc w:val="both"/>
        <w:rPr/>
      </w:pPr>
      <w:r>
        <w:rPr>
          <w:color w:val="000000"/>
        </w:rPr>
        <w:t>“</w:t>
      </w:r>
      <w:r>
        <w:rPr>
          <w:rFonts w:ascii="Times New Roman" w:hAnsi="Times New Roman"/>
          <w:b/>
          <w:color w:val="000000"/>
          <w:sz w:val="22"/>
        </w:rPr>
        <w:t>Reimbursement Cap</w:t>
      </w:r>
      <w:r>
        <w:rPr>
          <w:color w:val="000000"/>
        </w:rPr>
        <w:t xml:space="preserve">” </w:t>
      </w:r>
      <w:r>
        <w:rPr>
          <w:rFonts w:ascii="Times New Roman" w:hAnsi="Times New Roman"/>
          <w:color w:val="000000"/>
          <w:sz w:val="22"/>
        </w:rPr>
        <w:t>has the meaning set forth in Section 2.3.</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1.91</w:t>
      </w:r>
    </w:p>
    <w:p>
      <w:pPr>
        <w:pStyle w:val="TextBody"/>
        <w:bidi w:val="0"/>
        <w:jc w:val="both"/>
        <w:rPr/>
      </w:pPr>
      <w:r>
        <w:rPr>
          <w:color w:val="000000"/>
        </w:rPr>
        <w:t>“</w:t>
      </w:r>
      <w:r>
        <w:rPr>
          <w:rFonts w:ascii="Times New Roman" w:hAnsi="Times New Roman"/>
          <w:b/>
          <w:color w:val="000000"/>
          <w:sz w:val="22"/>
        </w:rPr>
        <w:t>Replacement Gene Target</w:t>
      </w:r>
      <w:r>
        <w:rPr>
          <w:color w:val="000000"/>
        </w:rPr>
        <w:t xml:space="preserve">” </w:t>
      </w:r>
      <w:r>
        <w:rPr>
          <w:rFonts w:ascii="Times New Roman" w:hAnsi="Times New Roman"/>
          <w:color w:val="000000"/>
          <w:sz w:val="22"/>
        </w:rPr>
        <w:t>has the meaning set forth in Section 3.2.3.</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1.92</w:t>
      </w:r>
    </w:p>
    <w:p>
      <w:pPr>
        <w:pStyle w:val="TextBody"/>
        <w:bidi w:val="0"/>
        <w:jc w:val="both"/>
        <w:rPr/>
      </w:pPr>
      <w:r>
        <w:rPr>
          <w:color w:val="000000"/>
        </w:rPr>
        <w:t>“</w:t>
      </w:r>
      <w:r>
        <w:rPr>
          <w:rFonts w:ascii="Times New Roman" w:hAnsi="Times New Roman"/>
          <w:b/>
          <w:color w:val="000000"/>
          <w:sz w:val="22"/>
        </w:rPr>
        <w:t>Research Budget</w:t>
      </w:r>
      <w:r>
        <w:rPr>
          <w:color w:val="000000"/>
        </w:rPr>
        <w:t xml:space="preserve">” </w:t>
      </w:r>
      <w:r>
        <w:rPr>
          <w:rFonts w:ascii="Times New Roman" w:hAnsi="Times New Roman"/>
          <w:color w:val="000000"/>
          <w:sz w:val="22"/>
        </w:rPr>
        <w:t>has the meaning set forth in Section 2.2.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1.93</w:t>
      </w:r>
    </w:p>
    <w:p>
      <w:pPr>
        <w:pStyle w:val="TextBody"/>
        <w:bidi w:val="0"/>
        <w:jc w:val="both"/>
        <w:rPr/>
      </w:pPr>
      <w:r>
        <w:rPr>
          <w:color w:val="000000"/>
        </w:rPr>
        <w:t>“</w:t>
      </w:r>
      <w:r>
        <w:rPr>
          <w:rFonts w:ascii="Times New Roman" w:hAnsi="Times New Roman"/>
          <w:b/>
          <w:color w:val="000000"/>
          <w:sz w:val="22"/>
        </w:rPr>
        <w:t>Research Data</w:t>
      </w:r>
      <w:r>
        <w:rPr>
          <w:color w:val="000000"/>
        </w:rPr>
        <w:t xml:space="preserve">” </w:t>
      </w:r>
      <w:r>
        <w:rPr>
          <w:rFonts w:ascii="Times New Roman" w:hAnsi="Times New Roman"/>
          <w:color w:val="000000"/>
          <w:sz w:val="22"/>
        </w:rPr>
        <w:t>has the meaning set forth in Section 2.9.</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1.94</w:t>
      </w:r>
    </w:p>
    <w:p>
      <w:pPr>
        <w:pStyle w:val="TextBody"/>
        <w:bidi w:val="0"/>
        <w:jc w:val="both"/>
        <w:rPr/>
      </w:pPr>
      <w:r>
        <w:rPr>
          <w:color w:val="000000"/>
        </w:rPr>
        <w:t>“</w:t>
      </w:r>
      <w:r>
        <w:rPr>
          <w:rFonts w:ascii="Times New Roman" w:hAnsi="Times New Roman"/>
          <w:b/>
          <w:color w:val="000000"/>
          <w:sz w:val="22"/>
        </w:rPr>
        <w:t>Research Plan</w:t>
      </w:r>
      <w:r>
        <w:rPr>
          <w:color w:val="000000"/>
        </w:rPr>
        <w:t xml:space="preserve">” </w:t>
      </w:r>
      <w:r>
        <w:rPr>
          <w:rFonts w:ascii="Times New Roman" w:hAnsi="Times New Roman"/>
          <w:color w:val="000000"/>
          <w:sz w:val="22"/>
        </w:rPr>
        <w:t>has the meaning set forth in Section 2.1.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1.95</w:t>
      </w:r>
    </w:p>
    <w:p>
      <w:pPr>
        <w:pStyle w:val="TextBody"/>
        <w:bidi w:val="0"/>
        <w:jc w:val="both"/>
        <w:rPr/>
      </w:pPr>
      <w:r>
        <w:rPr>
          <w:color w:val="000000"/>
        </w:rPr>
        <w:t>“</w:t>
      </w:r>
      <w:r>
        <w:rPr>
          <w:rFonts w:ascii="Times New Roman" w:hAnsi="Times New Roman"/>
          <w:b/>
          <w:color w:val="000000"/>
          <w:sz w:val="22"/>
        </w:rPr>
        <w:t>Sales Milestone</w:t>
      </w:r>
      <w:r>
        <w:rPr>
          <w:color w:val="000000"/>
        </w:rPr>
        <w:t xml:space="preserve">” </w:t>
      </w:r>
      <w:r>
        <w:rPr>
          <w:rFonts w:ascii="Times New Roman" w:hAnsi="Times New Roman"/>
          <w:color w:val="000000"/>
          <w:sz w:val="22"/>
        </w:rPr>
        <w:t>has the meaning set forth in Section 7.3.1.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1.96</w:t>
      </w:r>
    </w:p>
    <w:p>
      <w:pPr>
        <w:pStyle w:val="TextBody"/>
        <w:bidi w:val="0"/>
        <w:jc w:val="both"/>
        <w:rPr/>
      </w:pPr>
      <w:r>
        <w:rPr>
          <w:color w:val="000000"/>
        </w:rPr>
        <w:t>“</w:t>
      </w:r>
      <w:r>
        <w:rPr>
          <w:rFonts w:ascii="Times New Roman" w:hAnsi="Times New Roman"/>
          <w:b/>
          <w:color w:val="000000"/>
          <w:sz w:val="22"/>
        </w:rPr>
        <w:t>Selected Non-Novel Gene Target</w:t>
      </w:r>
      <w:r>
        <w:rPr>
          <w:color w:val="000000"/>
        </w:rPr>
        <w:t xml:space="preserve">” </w:t>
      </w:r>
      <w:r>
        <w:rPr>
          <w:rFonts w:ascii="Times New Roman" w:hAnsi="Times New Roman"/>
          <w:color w:val="000000"/>
          <w:sz w:val="22"/>
        </w:rPr>
        <w:t>has the meaning set forth in Section 3.2.2.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1.97</w:t>
      </w:r>
    </w:p>
    <w:p>
      <w:pPr>
        <w:pStyle w:val="TextBody"/>
        <w:bidi w:val="0"/>
        <w:jc w:val="both"/>
        <w:rPr/>
      </w:pPr>
      <w:r>
        <w:rPr>
          <w:color w:val="000000"/>
        </w:rPr>
        <w:t>“</w:t>
      </w:r>
      <w:r>
        <w:rPr>
          <w:rFonts w:ascii="Times New Roman" w:hAnsi="Times New Roman"/>
          <w:b/>
          <w:color w:val="000000"/>
          <w:sz w:val="22"/>
        </w:rPr>
        <w:t>Selling Party</w:t>
      </w:r>
      <w:r>
        <w:rPr>
          <w:color w:val="000000"/>
        </w:rPr>
        <w:t xml:space="preserve">” </w:t>
      </w:r>
      <w:r>
        <w:rPr>
          <w:rFonts w:ascii="Times New Roman" w:hAnsi="Times New Roman"/>
          <w:color w:val="000000"/>
          <w:sz w:val="22"/>
        </w:rPr>
        <w:t xml:space="preserve">has the meaning set forth in Section 1.66.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1.98</w:t>
      </w:r>
    </w:p>
    <w:p>
      <w:pPr>
        <w:pStyle w:val="TextBody"/>
        <w:bidi w:val="0"/>
        <w:jc w:val="both"/>
        <w:rPr/>
      </w:pPr>
      <w:r>
        <w:rPr>
          <w:color w:val="000000"/>
        </w:rPr>
        <w:t>“</w:t>
      </w:r>
      <w:r>
        <w:rPr>
          <w:rFonts w:ascii="Times New Roman" w:hAnsi="Times New Roman"/>
          <w:b/>
          <w:color w:val="000000"/>
          <w:sz w:val="22"/>
        </w:rPr>
        <w:t>Sublicensee</w:t>
      </w:r>
      <w:r>
        <w:rPr>
          <w:color w:val="000000"/>
        </w:rPr>
        <w:t xml:space="preserve">” </w:t>
      </w:r>
      <w:r>
        <w:rPr>
          <w:rFonts w:ascii="Times New Roman" w:hAnsi="Times New Roman"/>
          <w:color w:val="000000"/>
          <w:sz w:val="22"/>
        </w:rPr>
        <w:t>means a Third Party that is granted, in accordance with this Agreement, a (sub)license by Alnylam or its Affiliates to intellectual property licensed under this Agreement by Alnylam or its Affiliates to, or to Alnylam and its Affiliates by, Tenaya or its Affiliates, to Develop or Commercialize a Product.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1.99</w:t>
      </w:r>
    </w:p>
    <w:p>
      <w:pPr>
        <w:pStyle w:val="TextBody"/>
        <w:bidi w:val="0"/>
        <w:jc w:val="both"/>
        <w:rPr/>
      </w:pPr>
      <w:r>
        <w:rPr>
          <w:color w:val="000000"/>
        </w:rPr>
        <w:t>“</w:t>
      </w:r>
      <w:r>
        <w:rPr>
          <w:rFonts w:ascii="Times New Roman" w:hAnsi="Times New Roman"/>
          <w:b/>
          <w:color w:val="000000"/>
          <w:sz w:val="22"/>
        </w:rPr>
        <w:t>Tenaya Collaboration Know-How</w:t>
      </w:r>
      <w:r>
        <w:rPr>
          <w:color w:val="000000"/>
        </w:rPr>
        <w:t xml:space="preserve">” </w:t>
      </w:r>
      <w:r>
        <w:rPr>
          <w:rFonts w:ascii="Times New Roman" w:hAnsi="Times New Roman"/>
          <w:color w:val="000000"/>
          <w:sz w:val="22"/>
        </w:rPr>
        <w:t xml:space="preserve">means all Know-How (a) identified, developed, made or discovered by or on behalf of Tenaya during the Validation Term or described in any Data Package with respect to a Collaboration Target, or (b) any other Know-How Controlled by Tenaya or its Affiliates as of the Effective Date or during the Term of this Agreement related to [***], but in each case ((a) and (b)) excluding Tenaya Platform Know-How.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1.100</w:t>
      </w:r>
    </w:p>
    <w:p>
      <w:pPr>
        <w:pStyle w:val="TextBody"/>
        <w:bidi w:val="0"/>
        <w:jc w:val="both"/>
        <w:rPr/>
      </w:pPr>
      <w:r>
        <w:rPr>
          <w:color w:val="000000"/>
        </w:rPr>
        <w:t>“</w:t>
      </w:r>
      <w:r>
        <w:rPr>
          <w:rFonts w:ascii="Times New Roman" w:hAnsi="Times New Roman"/>
          <w:b/>
          <w:color w:val="000000"/>
          <w:sz w:val="22"/>
        </w:rPr>
        <w:t>Tenaya Collaboration Patents</w:t>
      </w:r>
      <w:r>
        <w:rPr>
          <w:color w:val="000000"/>
        </w:rPr>
        <w:t xml:space="preserve">” </w:t>
      </w:r>
      <w:r>
        <w:rPr>
          <w:rFonts w:ascii="Times New Roman" w:hAnsi="Times New Roman"/>
          <w:color w:val="000000"/>
          <w:sz w:val="22"/>
        </w:rPr>
        <w:t xml:space="preserve">means all Patent Rights that Cover Tenaya Collaboration Know-How.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1.101</w:t>
      </w:r>
    </w:p>
    <w:p>
      <w:pPr>
        <w:pStyle w:val="TextBody"/>
        <w:bidi w:val="0"/>
        <w:jc w:val="both"/>
        <w:rPr/>
      </w:pPr>
      <w:r>
        <w:rPr>
          <w:color w:val="000000"/>
        </w:rPr>
        <w:t>“</w:t>
      </w:r>
      <w:r>
        <w:rPr>
          <w:rFonts w:ascii="Times New Roman" w:hAnsi="Times New Roman"/>
          <w:b/>
          <w:color w:val="000000"/>
          <w:sz w:val="22"/>
        </w:rPr>
        <w:t>Tenaya Collaboration Technology</w:t>
      </w:r>
      <w:r>
        <w:rPr>
          <w:color w:val="000000"/>
        </w:rPr>
        <w:t xml:space="preserve">” </w:t>
      </w:r>
      <w:r>
        <w:rPr>
          <w:rFonts w:ascii="Times New Roman" w:hAnsi="Times New Roman"/>
          <w:color w:val="000000"/>
          <w:sz w:val="22"/>
        </w:rPr>
        <w:t xml:space="preserve">means the Tenaya Collaboration Know-How and Tenaya Collaboration Patents.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1.102</w:t>
      </w:r>
    </w:p>
    <w:p>
      <w:pPr>
        <w:pStyle w:val="TextBody"/>
        <w:bidi w:val="0"/>
        <w:jc w:val="both"/>
        <w:rPr/>
      </w:pPr>
      <w:r>
        <w:rPr>
          <w:color w:val="000000"/>
        </w:rPr>
        <w:t>“</w:t>
      </w:r>
      <w:r>
        <w:rPr>
          <w:rFonts w:ascii="Times New Roman" w:hAnsi="Times New Roman"/>
          <w:b/>
          <w:color w:val="000000"/>
          <w:sz w:val="22"/>
        </w:rPr>
        <w:t>Tenaya Gene Target</w:t>
      </w:r>
      <w:r>
        <w:rPr>
          <w:color w:val="000000"/>
        </w:rPr>
        <w:t xml:space="preserve">” </w:t>
      </w:r>
      <w:r>
        <w:rPr>
          <w:rFonts w:ascii="Times New Roman" w:hAnsi="Times New Roman"/>
          <w:color w:val="000000"/>
          <w:sz w:val="22"/>
        </w:rPr>
        <w:t xml:space="preserve">means each Tenaya Nominated Gene Target that (a) is deemed a Tenaya Novel Gene Target by the JSC pursuant to Section 3.2.1, excluding any Overlapping Gene Target, or (b) is an Overlapping Gene Target deemed a Tenaya Novel Gene Target pursuant to Section 3.2.5.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1.103</w:t>
      </w:r>
    </w:p>
    <w:p>
      <w:pPr>
        <w:pStyle w:val="TextBody"/>
        <w:bidi w:val="0"/>
        <w:jc w:val="both"/>
        <w:rPr/>
      </w:pPr>
      <w:r>
        <w:rPr>
          <w:color w:val="000000"/>
        </w:rPr>
        <w:t>“</w:t>
      </w:r>
      <w:r>
        <w:rPr>
          <w:rFonts w:ascii="Times New Roman" w:hAnsi="Times New Roman"/>
          <w:b/>
          <w:color w:val="000000"/>
          <w:sz w:val="22"/>
        </w:rPr>
        <w:t>Tenaya Indemnitees</w:t>
      </w:r>
      <w:r>
        <w:rPr>
          <w:color w:val="000000"/>
        </w:rPr>
        <w:t xml:space="preserve">” </w:t>
      </w:r>
      <w:r>
        <w:rPr>
          <w:rFonts w:ascii="Times New Roman" w:hAnsi="Times New Roman"/>
          <w:color w:val="000000"/>
          <w:sz w:val="22"/>
        </w:rPr>
        <w:t>has the meaning set forth in Section 10.2.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1.104</w:t>
      </w:r>
    </w:p>
    <w:p>
      <w:pPr>
        <w:pStyle w:val="TextBody"/>
        <w:bidi w:val="0"/>
        <w:jc w:val="both"/>
        <w:rPr/>
      </w:pPr>
      <w:r>
        <w:rPr>
          <w:color w:val="000000"/>
        </w:rPr>
        <w:t>“</w:t>
      </w:r>
      <w:r>
        <w:rPr>
          <w:rFonts w:ascii="Times New Roman" w:hAnsi="Times New Roman"/>
          <w:b/>
          <w:color w:val="000000"/>
          <w:sz w:val="22"/>
        </w:rPr>
        <w:t>Tenaya Nominated Gene Target</w:t>
      </w:r>
      <w:r>
        <w:rPr>
          <w:color w:val="000000"/>
        </w:rPr>
        <w:t xml:space="preserve">” </w:t>
      </w:r>
      <w:r>
        <w:rPr>
          <w:rFonts w:ascii="Times New Roman" w:hAnsi="Times New Roman"/>
          <w:color w:val="000000"/>
          <w:sz w:val="22"/>
        </w:rPr>
        <w:t xml:space="preserve">means a Gene Target that, prior to the nomination of such Gene Target by Tenaya pursuant to Section 3.1 meets the following qualifications: [***]. For clarity, the Tenaya Nominated Gene Targets shall include the Gene Targets set forth on </w:t>
      </w:r>
      <w:r>
        <w:rPr>
          <w:rFonts w:ascii="Times New Roman" w:hAnsi="Times New Roman"/>
          <w:b/>
          <w:color w:val="000000"/>
          <w:sz w:val="22"/>
        </w:rPr>
        <w:t>Schedule 1.104</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1.105</w:t>
      </w:r>
    </w:p>
    <w:p>
      <w:pPr>
        <w:pStyle w:val="TextBody"/>
        <w:bidi w:val="0"/>
        <w:jc w:val="both"/>
        <w:rPr/>
      </w:pPr>
      <w:r>
        <w:rPr>
          <w:color w:val="000000"/>
        </w:rPr>
        <w:t>“</w:t>
      </w:r>
      <w:r>
        <w:rPr>
          <w:rFonts w:ascii="Times New Roman" w:hAnsi="Times New Roman"/>
          <w:b/>
          <w:color w:val="000000"/>
          <w:sz w:val="22"/>
        </w:rPr>
        <w:t>Tenaya Nominated Gene Target Data Package</w:t>
      </w:r>
      <w:r>
        <w:rPr>
          <w:color w:val="000000"/>
        </w:rPr>
        <w:t xml:space="preserve">” </w:t>
      </w:r>
      <w:r>
        <w:rPr>
          <w:rFonts w:ascii="Times New Roman" w:hAnsi="Times New Roman"/>
          <w:color w:val="000000"/>
          <w:sz w:val="22"/>
        </w:rPr>
        <w:t xml:space="preserve">means a distinct data package with data and information supporting the Association of the Tenaya Nominated Gene Target and the applicable Primary Cardiovascular Indication that includes: (a) with respect to each Tenaya Nominated Gene Target, all available information related to the key data points in the table set forth in </w:t>
      </w:r>
      <w:r>
        <w:rPr>
          <w:rFonts w:ascii="Times New Roman" w:hAnsi="Times New Roman"/>
          <w:b/>
          <w:color w:val="000000"/>
          <w:sz w:val="22"/>
        </w:rPr>
        <w:t>Schedule 1.104</w:t>
      </w:r>
      <w:r>
        <w:rPr>
          <w:rFonts w:ascii="Times New Roman" w:hAnsi="Times New Roman"/>
          <w:color w:val="000000"/>
          <w:sz w:val="22"/>
        </w:rPr>
        <w:t xml:space="preserve">, including [***]; (b) any other Know-How Controlled by Tenaya reasonably necessary or useful for Alnylam to determine whether to proceed to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activities with respect to such Gene Target under the Research Plan; and (c) any unpublished provisional or other Patent Right that Covers the Tenaya Nominated Gene Target.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1.106</w:t>
      </w:r>
    </w:p>
    <w:p>
      <w:pPr>
        <w:pStyle w:val="TextBody"/>
        <w:bidi w:val="0"/>
        <w:spacing w:before="0" w:after="240"/>
        <w:jc w:val="both"/>
        <w:rPr/>
      </w:pPr>
      <w:r>
        <w:rPr>
          <w:color w:val="000000"/>
        </w:rPr>
        <w:t>“</w:t>
      </w:r>
      <w:r>
        <w:rPr>
          <w:rFonts w:ascii="Times New Roman" w:hAnsi="Times New Roman"/>
          <w:b/>
          <w:color w:val="000000"/>
          <w:sz w:val="22"/>
        </w:rPr>
        <w:t>Tenaya Novel Gene Target</w:t>
      </w:r>
      <w:r>
        <w:rPr>
          <w:color w:val="000000"/>
        </w:rPr>
        <w:t xml:space="preserve">” </w:t>
      </w:r>
      <w:r>
        <w:rPr>
          <w:rFonts w:ascii="Times New Roman" w:hAnsi="Times New Roman"/>
          <w:color w:val="000000"/>
          <w:sz w:val="22"/>
        </w:rPr>
        <w:t xml:space="preserve">means a Tenaya Nominated Gene Target where the identity of such Tenaya Nominated Gene Target and association of such Tenaya Nominated Gene Target with the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incidence, treatment, palliation, cure, prevention, or diagnosis of the applicable Primary Cardiovascular Indication[***].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1.107</w:t>
      </w:r>
    </w:p>
    <w:p>
      <w:pPr>
        <w:pStyle w:val="TextBody"/>
        <w:bidi w:val="0"/>
        <w:jc w:val="both"/>
        <w:rPr/>
      </w:pPr>
      <w:r>
        <w:rPr>
          <w:color w:val="000000"/>
        </w:rPr>
        <w:t>“</w:t>
      </w:r>
      <w:r>
        <w:rPr>
          <w:rFonts w:ascii="Times New Roman" w:hAnsi="Times New Roman"/>
          <w:b/>
          <w:color w:val="000000"/>
          <w:sz w:val="22"/>
        </w:rPr>
        <w:t>Tenaya Patents</w:t>
      </w:r>
      <w:r>
        <w:rPr>
          <w:color w:val="000000"/>
        </w:rPr>
        <w:t xml:space="preserve">” </w:t>
      </w:r>
      <w:r>
        <w:rPr>
          <w:rFonts w:ascii="Times New Roman" w:hAnsi="Times New Roman"/>
          <w:color w:val="000000"/>
          <w:sz w:val="22"/>
        </w:rPr>
        <w:t>means (a) the Tenaya Collaboration Patents, and (b) the Tenaya Platform Patents.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1.108</w:t>
      </w:r>
    </w:p>
    <w:p>
      <w:pPr>
        <w:pStyle w:val="TextBody"/>
        <w:bidi w:val="0"/>
        <w:jc w:val="both"/>
        <w:rPr/>
      </w:pPr>
      <w:r>
        <w:rPr>
          <w:color w:val="000000"/>
        </w:rPr>
        <w:t>“</w:t>
      </w:r>
      <w:r>
        <w:rPr>
          <w:rFonts w:ascii="Times New Roman" w:hAnsi="Times New Roman"/>
          <w:b/>
          <w:color w:val="000000"/>
          <w:sz w:val="22"/>
        </w:rPr>
        <w:t>Tenaya Platform Improvements</w:t>
      </w:r>
      <w:r>
        <w:rPr>
          <w:color w:val="000000"/>
        </w:rPr>
        <w:t xml:space="preserve">” </w:t>
      </w:r>
      <w:r>
        <w:rPr>
          <w:rFonts w:ascii="Times New Roman" w:hAnsi="Times New Roman"/>
          <w:color w:val="000000"/>
          <w:sz w:val="22"/>
        </w:rPr>
        <w:t>means all Know-How developed or discovered solely by or on behalf of either Party or its Affiliates or jointly by or on behalf of the Parties or their respective Affiliates under this Agreement through or as a result of the Research Plan, that is necessary in the practice of, or is otherwise directed to, the Tenaya Platform Know-How (other than Third Party Models), including any and all improvements, enhancements, modifications, substitutions, alternatives or alterations to Tenaya Platform Know-How (other than Third Party Models).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1.109</w:t>
      </w:r>
    </w:p>
    <w:p>
      <w:pPr>
        <w:pStyle w:val="TextBody"/>
        <w:bidi w:val="0"/>
        <w:jc w:val="both"/>
        <w:rPr/>
      </w:pPr>
      <w:r>
        <w:rPr>
          <w:color w:val="000000"/>
        </w:rPr>
        <w:t>“</w:t>
      </w:r>
      <w:r>
        <w:rPr>
          <w:rFonts w:ascii="Times New Roman" w:hAnsi="Times New Roman"/>
          <w:b/>
          <w:color w:val="000000"/>
          <w:sz w:val="22"/>
        </w:rPr>
        <w:t>Tenaya Platform Know-How</w:t>
      </w:r>
      <w:r>
        <w:rPr>
          <w:color w:val="000000"/>
        </w:rPr>
        <w:t xml:space="preserve">” </w:t>
      </w:r>
      <w:r>
        <w:rPr>
          <w:rFonts w:ascii="Times New Roman" w:hAnsi="Times New Roman"/>
          <w:color w:val="000000"/>
          <w:sz w:val="22"/>
        </w:rPr>
        <w:t xml:space="preserve">means, at any given time during the Term, [***]. Tenaya Platform Know-How includes Tenaya Platform Improvements, but shall not include [***].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1.110</w:t>
      </w:r>
    </w:p>
    <w:p>
      <w:pPr>
        <w:pStyle w:val="TextBody"/>
        <w:bidi w:val="0"/>
        <w:jc w:val="both"/>
        <w:rPr/>
      </w:pPr>
      <w:r>
        <w:rPr>
          <w:color w:val="000000"/>
        </w:rPr>
        <w:t>“</w:t>
      </w:r>
      <w:r>
        <w:rPr>
          <w:rFonts w:ascii="Times New Roman" w:hAnsi="Times New Roman"/>
          <w:b/>
          <w:color w:val="000000"/>
          <w:sz w:val="22"/>
        </w:rPr>
        <w:t>Tenaya Platform Patents</w:t>
      </w:r>
      <w:r>
        <w:rPr>
          <w:color w:val="000000"/>
        </w:rPr>
        <w:t xml:space="preserve">” </w:t>
      </w:r>
      <w:r>
        <w:rPr>
          <w:rFonts w:ascii="Times New Roman" w:hAnsi="Times New Roman"/>
          <w:color w:val="000000"/>
          <w:sz w:val="22"/>
        </w:rPr>
        <w:t>means all Patents Rights that Cover Tenaya Platform Know-How, including Tenaya Platform Improvements. For clarity, Tenaya Platform Patents exclude Tenaya Collaboration Patents.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1.111</w:t>
      </w:r>
    </w:p>
    <w:p>
      <w:pPr>
        <w:pStyle w:val="TextBody"/>
        <w:bidi w:val="0"/>
        <w:jc w:val="both"/>
        <w:rPr/>
      </w:pPr>
      <w:r>
        <w:rPr>
          <w:color w:val="000000"/>
        </w:rPr>
        <w:t>“</w:t>
      </w:r>
      <w:r>
        <w:rPr>
          <w:rFonts w:ascii="Times New Roman" w:hAnsi="Times New Roman"/>
          <w:b/>
          <w:color w:val="000000"/>
          <w:sz w:val="22"/>
        </w:rPr>
        <w:t>Tenaya Platform Technology</w:t>
      </w:r>
      <w:r>
        <w:rPr>
          <w:color w:val="000000"/>
        </w:rPr>
        <w:t xml:space="preserve">” </w:t>
      </w:r>
      <w:r>
        <w:rPr>
          <w:rFonts w:ascii="Times New Roman" w:hAnsi="Times New Roman"/>
          <w:color w:val="000000"/>
          <w:sz w:val="22"/>
        </w:rPr>
        <w:t>means the Tenaya Platform Know-How and Tenaya Platform Patents.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1.112</w:t>
      </w:r>
    </w:p>
    <w:p>
      <w:pPr>
        <w:pStyle w:val="TextBody"/>
        <w:bidi w:val="0"/>
        <w:jc w:val="both"/>
        <w:rPr/>
      </w:pPr>
      <w:r>
        <w:rPr>
          <w:color w:val="000000"/>
        </w:rPr>
        <w:t>“</w:t>
      </w:r>
      <w:r>
        <w:rPr>
          <w:rFonts w:ascii="Times New Roman" w:hAnsi="Times New Roman"/>
          <w:b/>
          <w:color w:val="000000"/>
          <w:sz w:val="22"/>
        </w:rPr>
        <w:t>Tenaya Research Activities</w:t>
      </w:r>
      <w:r>
        <w:rPr>
          <w:color w:val="000000"/>
        </w:rPr>
        <w:t xml:space="preserve">” </w:t>
      </w:r>
      <w:r>
        <w:rPr>
          <w:rFonts w:ascii="Times New Roman" w:hAnsi="Times New Roman"/>
          <w:color w:val="000000"/>
          <w:sz w:val="22"/>
        </w:rPr>
        <w:t>has the meaning set forth in Section 2.6.</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1.113</w:t>
      </w:r>
    </w:p>
    <w:p>
      <w:pPr>
        <w:pStyle w:val="TextBody"/>
        <w:bidi w:val="0"/>
        <w:jc w:val="both"/>
        <w:rPr/>
      </w:pPr>
      <w:r>
        <w:rPr>
          <w:color w:val="000000"/>
        </w:rPr>
        <w:t>“</w:t>
      </w:r>
      <w:r>
        <w:rPr>
          <w:rFonts w:ascii="Times New Roman" w:hAnsi="Times New Roman"/>
          <w:b/>
          <w:color w:val="000000"/>
          <w:sz w:val="22"/>
        </w:rPr>
        <w:t>Tenaya Research Expenses</w:t>
      </w:r>
      <w:r>
        <w:rPr>
          <w:color w:val="000000"/>
        </w:rPr>
        <w:t xml:space="preserve">” </w:t>
      </w:r>
      <w:r>
        <w:rPr>
          <w:rFonts w:ascii="Times New Roman" w:hAnsi="Times New Roman"/>
          <w:color w:val="000000"/>
          <w:sz w:val="22"/>
        </w:rPr>
        <w:t>has the meaning set forth in Section 2.3.</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1.114</w:t>
      </w:r>
    </w:p>
    <w:p>
      <w:pPr>
        <w:pStyle w:val="TextBody"/>
        <w:bidi w:val="0"/>
        <w:jc w:val="both"/>
        <w:rPr/>
      </w:pPr>
      <w:r>
        <w:rPr>
          <w:color w:val="000000"/>
        </w:rPr>
        <w:t>“</w:t>
      </w:r>
      <w:r>
        <w:rPr>
          <w:rFonts w:ascii="Times New Roman" w:hAnsi="Times New Roman"/>
          <w:b/>
          <w:color w:val="000000"/>
          <w:sz w:val="22"/>
        </w:rPr>
        <w:t>Tenaya Technology</w:t>
      </w:r>
      <w:r>
        <w:rPr>
          <w:color w:val="000000"/>
        </w:rPr>
        <w:t xml:space="preserve">” </w:t>
      </w:r>
      <w:r>
        <w:rPr>
          <w:rFonts w:ascii="Times New Roman" w:hAnsi="Times New Roman"/>
          <w:color w:val="000000"/>
          <w:sz w:val="22"/>
        </w:rPr>
        <w:t>means, collectively, Tenaya Platform Technology and Tenaya Collaboration Technology.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1.115</w:t>
      </w:r>
    </w:p>
    <w:p>
      <w:pPr>
        <w:pStyle w:val="TextBody"/>
        <w:bidi w:val="0"/>
        <w:jc w:val="both"/>
        <w:rPr/>
      </w:pPr>
      <w:r>
        <w:rPr>
          <w:color w:val="000000"/>
        </w:rPr>
        <w:t>“</w:t>
      </w:r>
      <w:r>
        <w:rPr>
          <w:rFonts w:ascii="Times New Roman" w:hAnsi="Times New Roman"/>
          <w:b/>
          <w:color w:val="000000"/>
          <w:sz w:val="22"/>
        </w:rPr>
        <w:t>Term</w:t>
      </w:r>
      <w:r>
        <w:rPr>
          <w:color w:val="000000"/>
        </w:rPr>
        <w:t xml:space="preserve">” </w:t>
      </w:r>
      <w:r>
        <w:rPr>
          <w:rFonts w:ascii="Times New Roman" w:hAnsi="Times New Roman"/>
          <w:color w:val="000000"/>
          <w:sz w:val="22"/>
        </w:rPr>
        <w:t>has the meaning set forth in Section 12.1.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1.116</w:t>
      </w:r>
    </w:p>
    <w:p>
      <w:pPr>
        <w:pStyle w:val="TextBody"/>
        <w:bidi w:val="0"/>
        <w:jc w:val="both"/>
        <w:rPr/>
      </w:pPr>
      <w:r>
        <w:rPr>
          <w:color w:val="000000"/>
        </w:rPr>
        <w:t>“</w:t>
      </w:r>
      <w:r>
        <w:rPr>
          <w:rFonts w:ascii="Times New Roman" w:hAnsi="Times New Roman"/>
          <w:b/>
          <w:color w:val="000000"/>
          <w:sz w:val="22"/>
        </w:rPr>
        <w:t>Terminated Collaboration Target</w:t>
      </w:r>
      <w:r>
        <w:rPr>
          <w:color w:val="000000"/>
        </w:rPr>
        <w:t xml:space="preserve">” </w:t>
      </w:r>
      <w:r>
        <w:rPr>
          <w:rFonts w:ascii="Times New Roman" w:hAnsi="Times New Roman"/>
          <w:color w:val="000000"/>
          <w:sz w:val="22"/>
        </w:rPr>
        <w:t>means any Non-Alnylam Collaboration Target with respect to which this Agreement has been terminated in accordance with any of the provisions of Sections 3.3.5, 3.4, or 12.2. For clarity, if this Agreement is terminated in its entirety, all Non-Alnylam Collaboration Targets will be Terminated Collaboration Targets.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1.117</w:t>
      </w:r>
    </w:p>
    <w:p>
      <w:pPr>
        <w:pStyle w:val="TextBody"/>
        <w:bidi w:val="0"/>
        <w:jc w:val="both"/>
        <w:rPr/>
      </w:pPr>
      <w:r>
        <w:rPr>
          <w:color w:val="000000"/>
        </w:rPr>
        <w:t>“</w:t>
      </w:r>
      <w:r>
        <w:rPr>
          <w:rFonts w:ascii="Times New Roman" w:hAnsi="Times New Roman"/>
          <w:b/>
          <w:color w:val="000000"/>
          <w:sz w:val="22"/>
        </w:rPr>
        <w:t>Territory</w:t>
      </w:r>
      <w:r>
        <w:rPr>
          <w:color w:val="000000"/>
        </w:rPr>
        <w:t xml:space="preserve">” </w:t>
      </w:r>
      <w:r>
        <w:rPr>
          <w:rFonts w:ascii="Times New Roman" w:hAnsi="Times New Roman"/>
          <w:color w:val="000000"/>
          <w:sz w:val="22"/>
        </w:rPr>
        <w:t>means all countries of the world.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1.118</w:t>
      </w:r>
    </w:p>
    <w:p>
      <w:pPr>
        <w:pStyle w:val="TextBody"/>
        <w:bidi w:val="0"/>
        <w:jc w:val="both"/>
        <w:rPr/>
      </w:pPr>
      <w:r>
        <w:rPr>
          <w:color w:val="000000"/>
        </w:rPr>
        <w:t>“</w:t>
      </w:r>
      <w:r>
        <w:rPr>
          <w:rFonts w:ascii="Times New Roman" w:hAnsi="Times New Roman"/>
          <w:b/>
          <w:color w:val="000000"/>
          <w:sz w:val="22"/>
        </w:rPr>
        <w:t>Third Party</w:t>
      </w:r>
      <w:r>
        <w:rPr>
          <w:color w:val="000000"/>
        </w:rPr>
        <w:t xml:space="preserve">” </w:t>
      </w:r>
      <w:r>
        <w:rPr>
          <w:rFonts w:ascii="Times New Roman" w:hAnsi="Times New Roman"/>
          <w:color w:val="000000"/>
          <w:sz w:val="22"/>
        </w:rPr>
        <w:t>means any Person other than the Parties and their respective Affiliates.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1.119</w:t>
      </w:r>
    </w:p>
    <w:p>
      <w:pPr>
        <w:pStyle w:val="TextBody"/>
        <w:bidi w:val="0"/>
        <w:jc w:val="both"/>
        <w:rPr/>
      </w:pPr>
      <w:r>
        <w:rPr>
          <w:color w:val="000000"/>
        </w:rPr>
        <w:t>“</w:t>
      </w:r>
      <w:r>
        <w:rPr>
          <w:rFonts w:ascii="Times New Roman" w:hAnsi="Times New Roman"/>
          <w:b/>
          <w:color w:val="000000"/>
          <w:sz w:val="22"/>
        </w:rPr>
        <w:t>Third Party Model</w:t>
      </w:r>
      <w:r>
        <w:rPr>
          <w:color w:val="000000"/>
        </w:rPr>
        <w:t xml:space="preserve">” </w:t>
      </w:r>
      <w:r>
        <w:rPr>
          <w:rFonts w:ascii="Times New Roman" w:hAnsi="Times New Roman"/>
          <w:color w:val="000000"/>
          <w:sz w:val="22"/>
        </w:rPr>
        <w:t xml:space="preserve">means any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or </w:t>
      </w:r>
      <w:r>
        <w:rPr>
          <w:rFonts w:ascii="Times New Roman" w:hAnsi="Times New Roman"/>
          <w:i/>
          <w:color w:val="000000"/>
          <w:sz w:val="22"/>
        </w:rPr>
        <w:t>in vivo</w:t>
      </w:r>
      <w:r>
        <w:rPr>
          <w:color w:val="000000"/>
        </w:rPr>
        <w:t xml:space="preserve"> </w:t>
      </w:r>
      <w:r>
        <w:rPr>
          <w:rFonts w:ascii="Times New Roman" w:hAnsi="Times New Roman"/>
          <w:color w:val="000000"/>
          <w:sz w:val="22"/>
        </w:rPr>
        <w:t>model that is not in Tenaya’s possession on the Effective Date and is obtained by Tenaya during the Validation Term solely for use in Tenaya Research Activities at Alnylam’s request.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1.120</w:t>
      </w:r>
    </w:p>
    <w:p>
      <w:pPr>
        <w:pStyle w:val="TextBody"/>
        <w:bidi w:val="0"/>
        <w:jc w:val="both"/>
        <w:rPr/>
      </w:pPr>
      <w:r>
        <w:rPr>
          <w:color w:val="000000"/>
        </w:rPr>
        <w:t>“</w:t>
      </w:r>
      <w:r>
        <w:rPr>
          <w:rFonts w:ascii="Times New Roman" w:hAnsi="Times New Roman"/>
          <w:b/>
          <w:color w:val="000000"/>
          <w:sz w:val="22"/>
        </w:rPr>
        <w:t>Trademark</w:t>
      </w:r>
      <w:r>
        <w:rPr>
          <w:color w:val="000000"/>
        </w:rPr>
        <w:t xml:space="preserve">” </w:t>
      </w:r>
      <w:r>
        <w:rPr>
          <w:rFonts w:ascii="Times New Roman" w:hAnsi="Times New Roman"/>
          <w:color w:val="000000"/>
          <w:sz w:val="22"/>
        </w:rPr>
        <w:t>means any word, name, symbol, color, designation or device or any combination thereof that functions as a source identifier, including any trademark, trade dress, brand mark, service mark, trade name, brand name, logo or business symbol, whether or not registered.</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1.121</w:t>
      </w:r>
    </w:p>
    <w:p>
      <w:pPr>
        <w:pStyle w:val="TextBody"/>
        <w:bidi w:val="0"/>
        <w:spacing w:before="0" w:after="240"/>
        <w:jc w:val="both"/>
        <w:rPr/>
      </w:pPr>
      <w:r>
        <w:rPr>
          <w:color w:val="000000"/>
        </w:rPr>
        <w:t>“</w:t>
      </w:r>
      <w:r>
        <w:rPr>
          <w:rFonts w:ascii="Times New Roman" w:hAnsi="Times New Roman"/>
          <w:b/>
          <w:color w:val="000000"/>
          <w:sz w:val="22"/>
        </w:rPr>
        <w:t>United States</w:t>
      </w:r>
      <w:r>
        <w:rPr>
          <w:color w:val="000000"/>
        </w:rPr>
        <w:t xml:space="preserve">” </w:t>
      </w:r>
      <w:r>
        <w:rPr>
          <w:rFonts w:ascii="Times New Roman" w:hAnsi="Times New Roman"/>
          <w:color w:val="000000"/>
          <w:sz w:val="22"/>
        </w:rPr>
        <w:t>means the United States of America and its territories, possessions and commonwealths.</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1.122</w:t>
      </w:r>
    </w:p>
    <w:p>
      <w:pPr>
        <w:pStyle w:val="TextBody"/>
        <w:bidi w:val="0"/>
        <w:jc w:val="both"/>
        <w:rPr/>
      </w:pPr>
      <w:r>
        <w:rPr>
          <w:color w:val="000000"/>
        </w:rPr>
        <w:t>“</w:t>
      </w:r>
      <w:r>
        <w:rPr>
          <w:rFonts w:ascii="Times New Roman" w:hAnsi="Times New Roman"/>
          <w:b/>
          <w:color w:val="000000"/>
          <w:sz w:val="22"/>
        </w:rPr>
        <w:t>Validation Term</w:t>
      </w:r>
      <w:r>
        <w:rPr>
          <w:color w:val="000000"/>
        </w:rPr>
        <w:t xml:space="preserve">” </w:t>
      </w:r>
      <w:r>
        <w:rPr>
          <w:rFonts w:ascii="Times New Roman" w:hAnsi="Times New Roman"/>
          <w:color w:val="000000"/>
          <w:sz w:val="22"/>
        </w:rPr>
        <w:t>means the period commencing on the Collaboration Target List Finalization Date and ending on the date that is twenty four (24) months following the Collaboration Target List Finalization Date.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b/>
          <w:color w:val="000000"/>
          <w:sz w:val="22"/>
        </w:rPr>
        <w:t>RESEARCH COLLABORATION</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w:t>
      </w:r>
    </w:p>
    <w:p>
      <w:pPr>
        <w:pStyle w:val="TextBody"/>
        <w:bidi w:val="0"/>
        <w:jc w:val="both"/>
        <w:rPr/>
      </w:pPr>
      <w:r>
        <w:rPr>
          <w:rFonts w:ascii="Times New Roman" w:hAnsi="Times New Roman"/>
          <w:b/>
          <w:color w:val="000000"/>
          <w:sz w:val="22"/>
        </w:rPr>
        <w:t>Research Plan</w:t>
      </w:r>
      <w:r>
        <w:rPr>
          <w:rFonts w:ascii="Times New Roman" w:hAnsi="Times New Roman"/>
          <w:color w:val="000000"/>
          <w:sz w:val="22"/>
        </w:rPr>
        <w:t xml:space="preserve">. During the Validation Term, the Parties will perform non-clinical Development activities under this Agreement in accordance with the written plan that sets forth: (a)(i) the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validation activities for Collaboration Targets to be performed by or on behalf of Tenaya under such plan during the Validation Term, and (ii) the </w:t>
      </w:r>
      <w:r>
        <w:rPr>
          <w:rFonts w:ascii="Times New Roman" w:hAnsi="Times New Roman"/>
          <w:i/>
          <w:color w:val="000000"/>
          <w:sz w:val="22"/>
        </w:rPr>
        <w:t>in vivo</w:t>
      </w:r>
      <w:r>
        <w:rPr>
          <w:color w:val="000000"/>
        </w:rPr>
        <w:t xml:space="preserve"> </w:t>
      </w:r>
      <w:r>
        <w:rPr>
          <w:rFonts w:ascii="Times New Roman" w:hAnsi="Times New Roman"/>
          <w:color w:val="000000"/>
          <w:sz w:val="22"/>
        </w:rPr>
        <w:t>validation activities for Collaboration Targets to be performed by or on behalf of Tenaya under such plan during the Validation Term, (b) the activities to be performed by or on behalf of Alnylam under such plan during the Validation Term, (c) the Data Packages, Research Data and other deliverables to be provided by Tenaya to Alnylam, (d) any Subcontractors to be engaged by Tenaya to perform the activities described in the foregoing clause (a), (e) the Research Budget as further described in Section 2.2, (f) a timeline for completion of the applicable Tenaya Research Activities, and (g) the resources to be provided by Tenaya in furtherance of performing the applicable Tenaya Research Activities (such plan, as may be amended in accordance with this Agreement, the “</w:t>
      </w:r>
      <w:r>
        <w:rPr>
          <w:rFonts w:ascii="Times New Roman" w:hAnsi="Times New Roman"/>
          <w:b/>
          <w:color w:val="000000"/>
          <w:sz w:val="22"/>
        </w:rPr>
        <w:t>Research Plan</w:t>
      </w:r>
      <w:r>
        <w:rPr>
          <w:color w:val="000000"/>
        </w:rPr>
        <w:t>”</w:t>
      </w:r>
      <w:r>
        <w:rPr>
          <w:rFonts w:ascii="Times New Roman" w:hAnsi="Times New Roman"/>
          <w:color w:val="000000"/>
          <w:sz w:val="22"/>
        </w:rPr>
        <w:t xml:space="preserve">). The initial Research Plan agreed to by the Parties is attached hereto and incorporated herein as </w:t>
      </w:r>
      <w:r>
        <w:rPr>
          <w:rFonts w:ascii="Times New Roman" w:hAnsi="Times New Roman"/>
          <w:b/>
          <w:color w:val="000000"/>
          <w:sz w:val="22"/>
        </w:rPr>
        <w:t>Exhibit A</w:t>
      </w:r>
      <w:r>
        <w:rPr>
          <w:rFonts w:ascii="Times New Roman" w:hAnsi="Times New Roman"/>
          <w:color w:val="000000"/>
          <w:sz w:val="22"/>
        </w:rPr>
        <w:t>. Either Party may propose updates to the Research Plan from time to time and submit the same to the JSC. The JSC will review, discuss, and determine whether to approve each proposed updated Research Plan, provided that if the JSC cannot reach agreement, [***]. If the JSC approves an update to the Research Plan, then the Research Plan will be deemed amended as of the date of such approval and such amended Research Plan will supersede the prior Research Plan.</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2.2</w:t>
      </w:r>
    </w:p>
    <w:p>
      <w:pPr>
        <w:pStyle w:val="TextBody"/>
        <w:bidi w:val="0"/>
        <w:jc w:val="both"/>
        <w:rPr/>
      </w:pPr>
      <w:r>
        <w:rPr>
          <w:rFonts w:ascii="Times New Roman" w:hAnsi="Times New Roman"/>
          <w:b/>
          <w:color w:val="000000"/>
          <w:sz w:val="22"/>
        </w:rPr>
        <w:t>Research Budget</w:t>
      </w:r>
      <w:r>
        <w:rPr>
          <w:rFonts w:ascii="Times New Roman" w:hAnsi="Times New Roman"/>
          <w:color w:val="000000"/>
          <w:sz w:val="22"/>
        </w:rPr>
        <w:t>. The Research Plan will include a written budget pursuant to which Tenaya, its Affiliates, and its Subcontractors will perform the Tenaya Research Activities, which budget will include a good-faith estimate of (a) the number of FTEs to be dedicated by Tenaya to performing such activities under the Research Plan, and (b) any Out-of-Pocket Costs expected to be incurred in the performance of such activities (the “</w:t>
      </w:r>
      <w:r>
        <w:rPr>
          <w:rFonts w:ascii="Times New Roman" w:hAnsi="Times New Roman"/>
          <w:b/>
          <w:color w:val="000000"/>
          <w:sz w:val="22"/>
        </w:rPr>
        <w:t>Research Budget</w:t>
      </w:r>
      <w:r>
        <w:rPr>
          <w:color w:val="000000"/>
        </w:rPr>
        <w:t>”</w:t>
      </w:r>
      <w:r>
        <w:rPr>
          <w:rFonts w:ascii="Times New Roman" w:hAnsi="Times New Roman"/>
          <w:color w:val="000000"/>
          <w:sz w:val="22"/>
        </w:rPr>
        <w:t xml:space="preserve">). The initial Research Budget agreed to by the Parties is included in </w:t>
      </w:r>
      <w:r>
        <w:rPr>
          <w:rFonts w:ascii="Times New Roman" w:hAnsi="Times New Roman"/>
          <w:b/>
          <w:color w:val="000000"/>
          <w:sz w:val="22"/>
        </w:rPr>
        <w:t>Exhibit A</w:t>
      </w:r>
      <w:r>
        <w:rPr>
          <w:rFonts w:ascii="Times New Roman" w:hAnsi="Times New Roman"/>
          <w:color w:val="000000"/>
          <w:sz w:val="22"/>
        </w:rPr>
        <w:t>. Under the Research Budget, all internal personnel and resources of Tenaya under the Research Budget will be expressed in terms of FTEs (with costs budgeted as calculated using the FTE Rate) plus the Out-of-Pocket Costs to be incurred in the performance of the Tenaya Research Activities outlined in the Research Plan. Either Party may propose updates to the Research Budget from time to time (including in connection with update to the Tenaya Research Activities under the Research Plan) and submit the same to the JSC. The JSC will review, discuss, and determine whether to approve each proposed updated Research Budget, provided that if the JSC cannot reach agreement [***]. If the JSC approves an update to the Research Budget, then the Research Budget will be deemed amended as of the date of such approval and such amended Research Budget will supersede the prior Research Budget. Subject to Section 2.3,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rFonts w:ascii="Times New Roman" w:hAnsi="Times New Roman"/>
          <w:b/>
          <w:color w:val="000000"/>
          <w:sz w:val="22"/>
        </w:rPr>
        <w:t>Research Funding</w:t>
      </w:r>
      <w:r>
        <w:rPr>
          <w:rFonts w:ascii="Times New Roman" w:hAnsi="Times New Roman"/>
          <w:color w:val="000000"/>
          <w:sz w:val="22"/>
        </w:rPr>
        <w:t>. During the Validation Term, Alnylam will reimburse Tenaya for all FTE Costs and Out-of-Pocket Costs, in each case, incurred by Tenaya in furtherance of the Tenaya Research Activities to the extent actually incurred in accordance with the applicable Research Plan (the “</w:t>
      </w:r>
      <w:r>
        <w:rPr>
          <w:rFonts w:ascii="Times New Roman" w:hAnsi="Times New Roman"/>
          <w:b/>
          <w:color w:val="000000"/>
          <w:sz w:val="22"/>
        </w:rPr>
        <w:t>Tenaya Research Expenses</w:t>
      </w:r>
      <w:r>
        <w:rPr>
          <w:color w:val="000000"/>
        </w:rPr>
        <w:t>”</w:t>
      </w:r>
      <w:r>
        <w:rPr>
          <w:rFonts w:ascii="Times New Roman" w:hAnsi="Times New Roman"/>
          <w:color w:val="000000"/>
          <w:sz w:val="22"/>
        </w:rPr>
        <w:t>) up to, in the aggregate and subject to the remainder of this Section 2.3, [***] (the “</w:t>
      </w:r>
      <w:r>
        <w:rPr>
          <w:rFonts w:ascii="Times New Roman" w:hAnsi="Times New Roman"/>
          <w:b/>
          <w:color w:val="000000"/>
          <w:sz w:val="22"/>
        </w:rPr>
        <w:t>Reimbursement Cap</w:t>
      </w:r>
      <w:r>
        <w:rPr>
          <w:color w:val="000000"/>
        </w:rPr>
        <w:t>”</w:t>
      </w:r>
      <w:r>
        <w:rPr>
          <w:rFonts w:ascii="Times New Roman" w:hAnsi="Times New Roman"/>
          <w:color w:val="000000"/>
          <w:sz w:val="22"/>
        </w:rPr>
        <w:t xml:space="preserve">). If Tenaya incurs, or is expected to incur, Tenaya Research Expenses in excess of [***] of the Reimbursement Cap for the Validation Term, then the Parties, through the JSC, will discuss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whether to approve an increase in the amount budgeted in the Research Budget. If the JSC does not approve an increase to the applicable Research Budget, then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2.4</w:t>
      </w:r>
    </w:p>
    <w:p>
      <w:pPr>
        <w:pStyle w:val="TextBody"/>
        <w:bidi w:val="0"/>
        <w:jc w:val="both"/>
        <w:rPr/>
      </w:pPr>
      <w:r>
        <w:rPr>
          <w:rFonts w:ascii="Times New Roman" w:hAnsi="Times New Roman"/>
          <w:b/>
          <w:color w:val="000000"/>
          <w:sz w:val="22"/>
        </w:rPr>
        <w:t>Tenaya Research Expense Reporting</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2.4.1</w:t>
      </w:r>
    </w:p>
    <w:p>
      <w:pPr>
        <w:pStyle w:val="TextBody"/>
        <w:bidi w:val="0"/>
        <w:jc w:val="both"/>
        <w:rPr>
          <w:rFonts w:ascii="Times New Roman" w:hAnsi="Times New Roman"/>
          <w:color w:val="000000"/>
          <w:sz w:val="22"/>
        </w:rPr>
      </w:pPr>
      <w:r>
        <w:rPr>
          <w:rFonts w:ascii="Times New Roman" w:hAnsi="Times New Roman"/>
          <w:color w:val="000000"/>
          <w:sz w:val="22"/>
        </w:rPr>
        <w:t>No later than [***] prior to the end of each Calendar Quarter during the Validation Term, Tenaya will provide Alnylam with a written report containing (a) actual Tenaya Research Expenses incurred by or on behalf of Tenaya during the first two months of such Calendar Quarter and (b) a good faith estimate (which, for clarity, will not be binding) of Tenaya Research Expenses to be incurred by or on behalf of Tenaya during the third month of such Calendar Quarter; in each case ((a) and (b)), including (i) a breakdown of the number of FTEs and FTE Costs, and the amount of any Out-of-Pocket Costs incurred or expected to be incurred in furtherance of the Tenaya Research Activities in accordance with the Research Budget, and (ii) an accounting of such costs as compared to the amounts set forth in the Research Budget.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2.4.2</w:t>
      </w:r>
    </w:p>
    <w:p>
      <w:pPr>
        <w:pStyle w:val="TextBody"/>
        <w:bidi w:val="0"/>
        <w:jc w:val="both"/>
        <w:rPr/>
      </w:pPr>
      <w:r>
        <w:rPr>
          <w:rFonts w:ascii="Times New Roman" w:hAnsi="Times New Roman"/>
          <w:color w:val="000000"/>
          <w:sz w:val="22"/>
        </w:rPr>
        <w:t>Within [***] after the end of each Calendar Quarter during the Validation Term, Tenaya will provide Alnylam with a reasonably detailed statement setting forth (a) actual Tenaya Research Expenses incurred by or on behalf of Tenaya during such Calendar Quarter, and (b) a forecast of the costs and expenses that Tenaya expects to incur in the performance of the Tenaya Research Activities during the upcoming four Calendar Quarters (which, for clarity, will not be binding), which costs and expenses must be in accordance with the Research Plan and Research Budget in accordance with the terms hereof in a format to be agreed upon by the Parties (each such report, a “</w:t>
      </w:r>
      <w:r>
        <w:rPr>
          <w:rFonts w:ascii="Times New Roman" w:hAnsi="Times New Roman"/>
          <w:b/>
          <w:color w:val="000000"/>
          <w:sz w:val="22"/>
        </w:rPr>
        <w:t>Quarterly Research Expense Report</w:t>
      </w:r>
      <w:r>
        <w:rPr>
          <w:color w:val="000000"/>
        </w:rPr>
        <w:t>”</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2.5</w:t>
      </w:r>
    </w:p>
    <w:p>
      <w:pPr>
        <w:pStyle w:val="TextBody"/>
        <w:bidi w:val="0"/>
        <w:jc w:val="both"/>
        <w:rPr/>
      </w:pPr>
      <w:r>
        <w:rPr>
          <w:rFonts w:ascii="Times New Roman" w:hAnsi="Times New Roman"/>
          <w:b/>
          <w:color w:val="000000"/>
          <w:sz w:val="22"/>
        </w:rPr>
        <w:t>Payments</w:t>
      </w:r>
      <w:r>
        <w:rPr>
          <w:rFonts w:ascii="Times New Roman" w:hAnsi="Times New Roman"/>
          <w:color w:val="000000"/>
          <w:sz w:val="22"/>
        </w:rPr>
        <w:t>. All payments made by Alnylam in respect of the Tenaya Research Expenses will be made in arrears pursuant to invoices submitted by Tenaya to Alnylam simultaneously with delivery of the Quarterly Research Expense Report after the end of the applicable Calendar Quarter in which such Tenaya Research Expenses were incurred. Alnylam will reimburse Tenaya all undisputed amounts of Tenaya Research Expenses set forth in any Quarterly Research Expense Report no later than [***] after Alnylam’s receipt thereof, provided, however, that in no event will Alnylam be required to pay any amounts set forth in any Quarterly Research Expense Report in respect of any Tenaya Research Activities that were performed more than [***] prior to Alnylam’s receipt of such invoice. Any dispute relating to Tenaya Research Expenses shall be resolved pursuant to Section 7.6.</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2.6</w:t>
      </w:r>
    </w:p>
    <w:p>
      <w:pPr>
        <w:pStyle w:val="TextBody"/>
        <w:bidi w:val="0"/>
        <w:jc w:val="both"/>
        <w:rPr/>
      </w:pPr>
      <w:r>
        <w:rPr>
          <w:rFonts w:ascii="Times New Roman" w:hAnsi="Times New Roman"/>
          <w:b/>
          <w:color w:val="000000"/>
          <w:sz w:val="22"/>
        </w:rPr>
        <w:t>Research Efforts</w:t>
      </w:r>
      <w:r>
        <w:rPr>
          <w:rFonts w:ascii="Times New Roman" w:hAnsi="Times New Roman"/>
          <w:color w:val="000000"/>
          <w:sz w:val="22"/>
        </w:rPr>
        <w:t>. Tenaya will be responsible for (i) performing all activities assigned to it under the Research Plan and (ii) preparing and delivering all Data Packages, Research Data and other deliverables that are to be delivered by Tenaya under the terms of the Research Plan (collectively, together with any other activity expressly set forth under this Agreement to be performed by or on behalf of Tenaya, the “</w:t>
      </w:r>
      <w:r>
        <w:rPr>
          <w:rFonts w:ascii="Times New Roman" w:hAnsi="Times New Roman"/>
          <w:b/>
          <w:color w:val="000000"/>
          <w:sz w:val="22"/>
        </w:rPr>
        <w:t>Tenaya Research Activities</w:t>
      </w:r>
      <w:r>
        <w:rPr>
          <w:color w:val="000000"/>
        </w:rPr>
        <w:t>”</w:t>
      </w:r>
      <w:r>
        <w:rPr>
          <w:rFonts w:ascii="Times New Roman" w:hAnsi="Times New Roman"/>
          <w:color w:val="000000"/>
          <w:sz w:val="22"/>
        </w:rPr>
        <w:t>). Tenaya will perform, or have performed, all Tenaya Research Activities in accordance with the Research Plan and otherwise in accordance with this Agreement, and will use reasonable efforts to comply with the timelines set forth in the Research Plan for performance of the applicable activities. Tenaya will perform or cause to be performed any and all of its activities for the Research Plan, including its activities under the Research Plan, in a good scientific manner and in compliance with all Applicable Law. Tenaya will maintain laboratories, offices and all other facilities at its own cost and expense and risk necessary to carry out its responsibilities under the Research Plan.</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rFonts w:ascii="Times New Roman" w:hAnsi="Times New Roman"/>
          <w:b/>
          <w:color w:val="000000"/>
          <w:sz w:val="22"/>
        </w:rPr>
        <w:t>Cooperation</w:t>
      </w:r>
      <w:r>
        <w:rPr>
          <w:rFonts w:ascii="Times New Roman" w:hAnsi="Times New Roman"/>
          <w:color w:val="000000"/>
          <w:sz w:val="22"/>
        </w:rPr>
        <w:t xml:space="preserve">. Until the expiration of the Evaluation Term, promptly after request by Alnylam through the Alliance Managers, Tenaya will (and will cause its Affiliates to) cooperate with Alnylam and provide reasonable assistance to Alnylam to enable Alnylam (and its Affiliates) to conduct its activities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this Agreement, as reasonably requested by Alnylam, including (a) providing Alnylam (and its designees) with reasonable access by teleconference or in-person (as requested by Alnylam) to then-employed personnel of Tenaya (and personnel of its Affiliates) to answer questions related to its activities pursuant to this Agreement and (b) providing Know-How that is licensed to Alnylam under this Agreement to the extent that it is necessary or reasonably useful for Alnylam to perform its activities under this Agreement, including copies of all material scientific information and data related to each Collaboration Target. Tenaya will provide [***] free of charge for such cooperation and assistance, and Alnylam will reimburse Tenaya for all (i) Out-of-Pocket Costs and (ii) FTE Costs (after such [***]), in each case ((i) and (ii)) associated with such cooperation and assistance.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2.8</w:t>
      </w:r>
    </w:p>
    <w:p>
      <w:pPr>
        <w:pStyle w:val="TextBody"/>
        <w:bidi w:val="0"/>
        <w:jc w:val="both"/>
        <w:rPr/>
      </w:pPr>
      <w:r>
        <w:rPr>
          <w:rFonts w:ascii="Times New Roman" w:hAnsi="Times New Roman"/>
          <w:b/>
          <w:color w:val="000000"/>
          <w:sz w:val="22"/>
        </w:rPr>
        <w:t>Subcontracting</w:t>
      </w:r>
      <w:r>
        <w:rPr>
          <w:rFonts w:ascii="Times New Roman" w:hAnsi="Times New Roman"/>
          <w:color w:val="000000"/>
          <w:sz w:val="22"/>
        </w:rPr>
        <w:t>. Each Party may subcontract any of its activities under this Agreement to a Third Party (each such Third Party, a “</w:t>
      </w:r>
      <w:r>
        <w:rPr>
          <w:rFonts w:ascii="Times New Roman" w:hAnsi="Times New Roman"/>
          <w:b/>
          <w:color w:val="000000"/>
          <w:sz w:val="22"/>
        </w:rPr>
        <w:t>Subcontractor</w:t>
      </w:r>
      <w:r>
        <w:rPr>
          <w:color w:val="000000"/>
        </w:rPr>
        <w:t>”</w:t>
      </w:r>
      <w:r>
        <w:rPr>
          <w:rFonts w:ascii="Times New Roman" w:hAnsi="Times New Roman"/>
          <w:color w:val="000000"/>
          <w:sz w:val="22"/>
        </w:rPr>
        <w:t>), provided that Tenaya shall not subcontract any of its research activities under this Agreement to a Third Party without Alnylam’s prior written consent, not to be unreasonably withheld, conditioned or delayed (for clarity, any subcontractors listed in the Research Plan shall be deemed approved by Alnylam); provided further that any subcontract entered into by each Party pursuant to this Section 2.8 must (a) be in writing, (b) be consistent with the terms and conditions of this Agreement, including containing confidentiality provisions at least as protective as those contained in Article 8, and (c) in case of subcontract by Tenaya, provide Alnylam with the same rights with respect to any intellectual property arising from the subcontracted activities as it would have if Tenaya performed such activities under this Agreement. In any event, each Party will (x) oversee the performance by its Subcontractors of the activities subcontracted pursuant to this Section 2.8 in a manner that would be reasonably expected to result in their timely and successful completion and (y) be responsible and liable for the actions and omissions of its Subcontractors as between the Parties. No subcontracting pursuant to this Section 2.8 will relieve any Party of any of its obligations, or deprive the other Party of any of its rights, under this Agreement.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2.9</w:t>
      </w:r>
    </w:p>
    <w:p>
      <w:pPr>
        <w:pStyle w:val="TextBody"/>
        <w:bidi w:val="0"/>
        <w:jc w:val="both"/>
        <w:rPr/>
      </w:pPr>
      <w:r>
        <w:rPr>
          <w:rFonts w:ascii="Times New Roman" w:hAnsi="Times New Roman"/>
          <w:b/>
          <w:color w:val="000000"/>
          <w:sz w:val="22"/>
        </w:rPr>
        <w:t>Records and Reports</w:t>
      </w:r>
      <w:r>
        <w:rPr>
          <w:rFonts w:ascii="Times New Roman" w:hAnsi="Times New Roman"/>
          <w:color w:val="000000"/>
          <w:sz w:val="22"/>
        </w:rPr>
        <w:t>. Each Party will, and will ensure that its Subcontractors, maintain complete, current and accurate records of all of its research activities under this Agreement, and all data and other information resulting from such research activities, which records will (a) be in sufficient detail and in good scientific manner appropriate for patent and regulatory purposes, and in compliance with Applicable Law, (b) properly reflect all work done and results achieved in the performance of such research activities, and (c) record only such research activities and will not include or be commingled with records of activities that are not conducted under this Agreement. Each Party will retain, or cause to the retained, such records for at least [***] after the expiration or termination of this Agreement, or for such longer period as may be required by Applicable Law. For each Collaboration Target, Tenaya will provide to the JSC on a [***] basis a summary of material data with respect to any research activities under the Research Plan for such Collaboration Target, including the data regarding its Associated Primary Cardiovascular Indication, and, upon the reasonable request by Alnylam, will provide Alnylam copies of or access to all data and other material Know-How, results, and analyses with respect to such research activities for such Collaboration Target (collectively, “</w:t>
      </w:r>
      <w:r>
        <w:rPr>
          <w:rFonts w:ascii="Times New Roman" w:hAnsi="Times New Roman"/>
          <w:b/>
          <w:color w:val="000000"/>
          <w:sz w:val="22"/>
        </w:rPr>
        <w:t>Research Data</w:t>
      </w:r>
      <w:r>
        <w:rPr>
          <w:color w:val="000000"/>
        </w:rPr>
        <w:t>”</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b/>
          <w:color w:val="000000"/>
          <w:sz w:val="22"/>
        </w:rPr>
        <w:t>TARGET SELECTION AND VALIDATION</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b/>
          <w:color w:val="000000"/>
          <w:sz w:val="22"/>
        </w:rPr>
        <w:t>Target Nomination</w:t>
      </w:r>
      <w:r>
        <w:rPr>
          <w:rFonts w:ascii="Times New Roman" w:hAnsi="Times New Roman"/>
          <w:color w:val="000000"/>
          <w:sz w:val="22"/>
        </w:rPr>
        <w:t xml:space="preserve">. Within [***] following the Effective Date, at an agreed time and in a simultaneous manner (a) Tenaya will nominate at least [***] Tenaya Nominated Gene Targets in writing to the JSC members, and (b) Alnylam will nominate up to [***] Gene Targets in writing to the JSC members. Also, within such [***] period, Tenaya shall provide a complete Tenaya Nominated Gene Target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Data Package generated by Tenaya that supports the Association of each Tenaya Nominated Gene Target and the applicable Primary Cardiovascular Indication.</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w:t>
      </w:r>
    </w:p>
    <w:p>
      <w:pPr>
        <w:pStyle w:val="TextBody"/>
        <w:bidi w:val="0"/>
        <w:jc w:val="both"/>
        <w:rPr/>
      </w:pPr>
      <w:r>
        <w:rPr>
          <w:rFonts w:ascii="Times New Roman" w:hAnsi="Times New Roman"/>
          <w:b/>
          <w:color w:val="000000"/>
          <w:sz w:val="22"/>
        </w:rPr>
        <w:t>Target Selection</w:t>
      </w:r>
      <w:r>
        <w:rPr>
          <w:rFonts w:ascii="Times New Roman" w:hAnsi="Times New Roman"/>
          <w:color w:val="000000"/>
          <w:sz w:val="22"/>
        </w:rPr>
        <w:t xml:space="preser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3.2.1</w:t>
      </w:r>
    </w:p>
    <w:p>
      <w:pPr>
        <w:pStyle w:val="TextBody"/>
        <w:bidi w:val="0"/>
        <w:jc w:val="both"/>
        <w:rPr/>
      </w:pPr>
      <w:r>
        <w:rPr>
          <w:rFonts w:ascii="Times New Roman" w:hAnsi="Times New Roman"/>
          <w:color w:val="000000"/>
          <w:sz w:val="22"/>
        </w:rPr>
        <w:t>Within [***] following the Effective Date, the JSC will meet (the “</w:t>
      </w:r>
      <w:r>
        <w:rPr>
          <w:rFonts w:ascii="Times New Roman" w:hAnsi="Times New Roman"/>
          <w:b/>
          <w:color w:val="000000"/>
          <w:sz w:val="22"/>
        </w:rPr>
        <w:t>Initial JSC Meeting</w:t>
      </w:r>
      <w:r>
        <w:rPr>
          <w:color w:val="000000"/>
        </w:rPr>
        <w:t>”</w:t>
      </w:r>
      <w:r>
        <w:rPr>
          <w:rFonts w:ascii="Times New Roman" w:hAnsi="Times New Roman"/>
          <w:color w:val="000000"/>
          <w:sz w:val="22"/>
        </w:rPr>
        <w:t>) to (a) review the Tenaya Nominated Gene Targets and Gene Targets nominated by Alnylam, and (b) determine which of the Tenaya Nominated Gene Targets qualify as Tenaya Novel Gene Targets and which of the Tenaya Nominated Gene Targets do not qualify as Tenaya Novel Gene Targets (each such non-qualifying Gene Target, a “</w:t>
      </w:r>
      <w:r>
        <w:rPr>
          <w:rFonts w:ascii="Times New Roman" w:hAnsi="Times New Roman"/>
          <w:b/>
          <w:color w:val="000000"/>
          <w:sz w:val="22"/>
        </w:rPr>
        <w:t>Non-Novel Gene Target</w:t>
      </w:r>
      <w:r>
        <w:rPr>
          <w:color w:val="000000"/>
        </w:rPr>
        <w:t>”</w:t>
      </w:r>
      <w:r>
        <w:rPr>
          <w:rFonts w:ascii="Times New Roman" w:hAnsi="Times New Roman"/>
          <w:color w:val="000000"/>
          <w:sz w:val="22"/>
        </w:rPr>
        <w:t>). For clarity, the determination of whether a Tenaya Nominated Gene Target qualifies as a Tenaya Novel Gene Target shall be solely based on the requirements contained in the definition of “Tenaya Novel Gene Target”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3.2.2</w:t>
      </w:r>
    </w:p>
    <w:p>
      <w:pPr>
        <w:pStyle w:val="TextBody"/>
        <w:bidi w:val="0"/>
        <w:jc w:val="both"/>
        <w:rPr/>
      </w:pPr>
      <w:r>
        <w:rPr>
          <w:rFonts w:ascii="Times New Roman" w:hAnsi="Times New Roman"/>
          <w:color w:val="000000"/>
          <w:sz w:val="22"/>
        </w:rPr>
        <w:t>With respect to (a) any Tenaya Nominated Gene Target deemed a Non-Novel Gene Target at the Initial JSC Meeting, or (b) each Tenaya Nominated Gene Target which the JSC does not mutually agree is or is not a Tenaya Novel Gene Target (each such target described in the foregoing clause (b), a “</w:t>
      </w:r>
      <w:r>
        <w:rPr>
          <w:rFonts w:ascii="Times New Roman" w:hAnsi="Times New Roman"/>
          <w:b/>
          <w:color w:val="000000"/>
          <w:sz w:val="22"/>
        </w:rPr>
        <w:t>Deadlocked Gene Target</w:t>
      </w:r>
      <w:r>
        <w:rPr>
          <w:color w:val="000000"/>
        </w:rPr>
        <w:t>”</w:t>
      </w:r>
      <w:r>
        <w:rPr>
          <w:rFonts w:ascii="Times New Roman" w:hAnsi="Times New Roman"/>
          <w:color w:val="000000"/>
          <w:sz w:val="22"/>
        </w:rPr>
        <w:t>), Alnylam will determine at the Initial JSC Meeting to either: (a) reject such Non-Novel Gene Target or Deadlocked Gene Target, in which case such rejected Gene Target shall be deemed a “</w:t>
      </w:r>
      <w:r>
        <w:rPr>
          <w:rFonts w:ascii="Times New Roman" w:hAnsi="Times New Roman"/>
          <w:b/>
          <w:color w:val="000000"/>
          <w:sz w:val="22"/>
        </w:rPr>
        <w:t>Rejected Gene Target</w:t>
      </w:r>
      <w:r>
        <w:rPr>
          <w:color w:val="000000"/>
        </w:rPr>
        <w:t>”</w:t>
      </w:r>
      <w:r>
        <w:rPr>
          <w:rFonts w:ascii="Times New Roman" w:hAnsi="Times New Roman"/>
          <w:color w:val="000000"/>
          <w:sz w:val="22"/>
        </w:rPr>
        <w:t>; or (b) select such Non-Novel Gene Target or Deadlocked Gene Target (such selected Non-Novel Gene Target or Deadlocked Gene Target, a “</w:t>
      </w:r>
      <w:r>
        <w:rPr>
          <w:rFonts w:ascii="Times New Roman" w:hAnsi="Times New Roman"/>
          <w:b/>
          <w:color w:val="000000"/>
          <w:sz w:val="22"/>
        </w:rPr>
        <w:t>Selected Non-Novel Gene Target</w:t>
      </w:r>
      <w:r>
        <w:rPr>
          <w:color w:val="000000"/>
        </w:rPr>
        <w:t>”</w:t>
      </w:r>
      <w:r>
        <w:rPr>
          <w:rFonts w:ascii="Times New Roman" w:hAnsi="Times New Roman"/>
          <w:color w:val="000000"/>
          <w:sz w:val="22"/>
        </w:rPr>
        <w:t>) to proceed under the Research Plan. For clarity, a Rejected Gene Target shall not be deemed a Collaboration Target, and Alnylam shall not have any rights and Tenaya shall not have any obligations, in each case under this Agreement with respect to any such Rejected Gene Target.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3.2.3</w:t>
      </w:r>
    </w:p>
    <w:p>
      <w:pPr>
        <w:pStyle w:val="TextBody"/>
        <w:bidi w:val="0"/>
        <w:jc w:val="both"/>
        <w:rPr/>
      </w:pPr>
      <w:r>
        <w:rPr>
          <w:rFonts w:ascii="Times New Roman" w:hAnsi="Times New Roman"/>
          <w:color w:val="000000"/>
          <w:sz w:val="22"/>
        </w:rPr>
        <w:t>With respect to each Rejected Gene Target, Tenaya shall have the right to nominate an additional Gene Target that qualifies as a Tenaya Nominated Gene Target (each, a “</w:t>
      </w:r>
      <w:r>
        <w:rPr>
          <w:rFonts w:ascii="Times New Roman" w:hAnsi="Times New Roman"/>
          <w:b/>
          <w:color w:val="000000"/>
          <w:sz w:val="22"/>
        </w:rPr>
        <w:t>Replacement Gene Target</w:t>
      </w:r>
      <w:r>
        <w:rPr>
          <w:color w:val="000000"/>
        </w:rPr>
        <w:t>”</w:t>
      </w:r>
      <w:r>
        <w:rPr>
          <w:rFonts w:ascii="Times New Roman" w:hAnsi="Times New Roman"/>
          <w:color w:val="000000"/>
          <w:sz w:val="22"/>
        </w:rPr>
        <w:t xml:space="preserve">) at the Initial JSC Meeting; provided, however that Tenaya may not nominate as a Replacement Gene Target any Gene Target previously nominated by Alnylam as an Alnylam Gene Target. Each Replacement Gene Target will be treated as a Tenaya Nominated Gene Target under this Section 3.2; for clarity, Tenaya will provide a Tenaya Nominated Gene Target Data Package for each Replacement Gene Target. Within [***] following the Initial JSC Meeting, the JSC will meet to review the Replacement Gene Targets, if any, and will determine which qualify as Tenaya Novel Gene Targets and which are Non-Novel Gene Targets or Deadlocked Gene Targets (which may be rejected as Rejected Gene Targets or selected by Alnylam as Selected Non-Novel Gene Targets).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3.2.4</w:t>
      </w:r>
    </w:p>
    <w:p>
      <w:pPr>
        <w:pStyle w:val="TextBody"/>
        <w:bidi w:val="0"/>
        <w:jc w:val="both"/>
        <w:rPr>
          <w:rFonts w:ascii="Times New Roman" w:hAnsi="Times New Roman"/>
          <w:color w:val="000000"/>
          <w:sz w:val="22"/>
        </w:rPr>
      </w:pPr>
      <w:r>
        <w:rPr>
          <w:rFonts w:ascii="Times New Roman" w:hAnsi="Times New Roman"/>
          <w:color w:val="000000"/>
          <w:sz w:val="22"/>
        </w:rPr>
        <w:t xml:space="preserve">For each Tenaya Nominated Gene Target (including any Replacement Gene Target) that is determined to be a Rejected Gene Target and for which either (a) Tenaya fails to nominate a Replacement Gene Target under Section 3.2.3, or (b) Tenaya nominates a Replacement Gene Target under Section 3.2.3 but the Replacement Gene Target does not qualify as a Tenaya Novel Gene Target and is not selected by Alnylam as a Selected Non-Novel Gene Target, the payment due to Tenaya pursuant to Section 7.1 will be reduced by $500,000 for each such Rejected Gene Target.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3.2.5</w:t>
      </w:r>
    </w:p>
    <w:p>
      <w:pPr>
        <w:pStyle w:val="TextBody"/>
        <w:bidi w:val="0"/>
        <w:jc w:val="both"/>
        <w:rPr/>
      </w:pPr>
      <w:r>
        <w:rPr>
          <w:rFonts w:ascii="Times New Roman" w:hAnsi="Times New Roman"/>
          <w:color w:val="000000"/>
          <w:sz w:val="22"/>
        </w:rPr>
        <w:t>To the extent Alnylam and Tenaya each nominate the same Gene Target (regardless if such nominations are for the same Primary Cardiovascular Indication for such Gene Target) at the Initial JSC Meeting and such Gene Target qualifies as a Tenaya Novel Gene Target, each such overlapping Gene Target will be deemed an “</w:t>
      </w:r>
      <w:r>
        <w:rPr>
          <w:rFonts w:ascii="Times New Roman" w:hAnsi="Times New Roman"/>
          <w:b/>
          <w:color w:val="000000"/>
          <w:sz w:val="22"/>
        </w:rPr>
        <w:t>Overlapping Gene Target</w:t>
      </w:r>
      <w:r>
        <w:rPr>
          <w:rFonts w:ascii="Times New Roman" w:hAnsi="Times New Roman"/>
          <w:color w:val="000000"/>
          <w:sz w:val="22"/>
        </w:rPr>
        <w:t>,” except that, notwithstanding the foregoing, (a) if both Parties nominate [***], then [***] will be deemed a Tenaya Novel Gene Target, and (b) if both Parties nominate [***], then [***] will be deemed an Alnylam Gene Target.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3.2.6</w:t>
      </w:r>
    </w:p>
    <w:p>
      <w:pPr>
        <w:pStyle w:val="TextBody"/>
        <w:bidi w:val="0"/>
        <w:jc w:val="both"/>
        <w:rPr/>
      </w:pPr>
      <w:r>
        <w:rPr>
          <w:rFonts w:ascii="Times New Roman" w:hAnsi="Times New Roman"/>
          <w:color w:val="000000"/>
          <w:sz w:val="22"/>
        </w:rPr>
        <w:t>Following the review of the Gene Targets nominated by each Party under this Section 3.2 at the Initial JSC Meeting (if there are no Replacement Gene Targets named) or within [***] of the subsequent JSC meeting (if there is one or more Replacement Gene Targets named), the JSC shall agree in writing on a list of Gene Targets to be Collaboration Targets subject to this Agreement (such list, the “</w:t>
      </w:r>
      <w:r>
        <w:rPr>
          <w:rFonts w:ascii="Times New Roman" w:hAnsi="Times New Roman"/>
          <w:b/>
          <w:color w:val="000000"/>
          <w:sz w:val="22"/>
        </w:rPr>
        <w:t>Collaboration Target List</w:t>
      </w:r>
      <w:r>
        <w:rPr>
          <w:color w:val="000000"/>
        </w:rPr>
        <w:t xml:space="preserve">” </w:t>
      </w:r>
      <w:r>
        <w:rPr>
          <w:rFonts w:ascii="Times New Roman" w:hAnsi="Times New Roman"/>
          <w:color w:val="000000"/>
          <w:sz w:val="22"/>
        </w:rPr>
        <w:t>and the date such list is agreed in writing, the “</w:t>
      </w:r>
      <w:r>
        <w:rPr>
          <w:rFonts w:ascii="Times New Roman" w:hAnsi="Times New Roman"/>
          <w:b/>
          <w:color w:val="000000"/>
          <w:sz w:val="22"/>
        </w:rPr>
        <w:t>Collaboration Target List Finalization Date</w:t>
      </w:r>
      <w:r>
        <w:rPr>
          <w:color w:val="000000"/>
        </w:rPr>
        <w:t>”</w:t>
      </w:r>
      <w:r>
        <w:rPr>
          <w:rFonts w:ascii="Times New Roman" w:hAnsi="Times New Roman"/>
          <w:color w:val="000000"/>
          <w:sz w:val="22"/>
        </w:rPr>
        <w:t xml:space="preserve">). The Collaboration Target List will identify each Gene Target as one of the following: (a) a Tenaya Gene Target, (b) a Selected Non-Novel Gene Target, (c) an Overlapping Gene Target, or (d) an Alnylam Gene Target. Alnylam may prioritize the order the Alnylam Gene Targets enter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Validation Activities by written notice to Tenaya. The Parties may agree to update the Collaboration Target List from time to time through mutual agreement.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w:t>
      </w:r>
    </w:p>
    <w:p>
      <w:pPr>
        <w:pStyle w:val="TextBody"/>
        <w:bidi w:val="0"/>
        <w:jc w:val="both"/>
        <w:rPr/>
      </w:pPr>
      <w:r>
        <w:rPr>
          <w:rFonts w:ascii="Times New Roman" w:hAnsi="Times New Roman"/>
          <w:b/>
          <w:color w:val="000000"/>
          <w:sz w:val="22"/>
        </w:rPr>
        <w:t>Target Validation</w:t>
      </w:r>
      <w:r>
        <w:rPr>
          <w:rFonts w:ascii="Times New Roman" w:hAnsi="Times New Roman"/>
          <w:color w:val="000000"/>
          <w:sz w:val="22"/>
        </w:rPr>
        <w:t xml:space="preserve">. During the Validation Term (which may be extended upon the mutual agreement of the Parties), the Parties will conduct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and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target validation research and development activities in accordance with the Research Plan and Research Budget; provided however that notwithstanding the expiration of the Validation Term, Tenaya will complete any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validation activities in progress at the time of expiration of the Validation Term, at Alnylam’s cost and expense, in accordance with the Research Plan and Research Budget and shall remain obligated to deliver to Alnylam the associated </w:t>
      </w:r>
      <w:r>
        <w:rPr>
          <w:rFonts w:ascii="Times New Roman" w:hAnsi="Times New Roman"/>
          <w:i/>
          <w:color w:val="000000"/>
          <w:sz w:val="22"/>
        </w:rPr>
        <w:t>In Vivo</w:t>
      </w:r>
      <w:r>
        <w:rPr>
          <w:color w:val="000000"/>
        </w:rPr>
        <w:t xml:space="preserve"> </w:t>
      </w:r>
      <w:r>
        <w:rPr>
          <w:rFonts w:ascii="Times New Roman" w:hAnsi="Times New Roman"/>
          <w:color w:val="000000"/>
          <w:sz w:val="22"/>
        </w:rPr>
        <w:t>Data Package; provided further that Alnylam shall not modify or amend the Research Plan after the expiration of the Validation Term without Tenaya’s prior written consent. Alnylam may request that Tenaya utilize a Third Party Model in the Tenaya Research Activities, provided that the Parties will agree in writing in advance regarding the selection of the Third Party Model and the costs and expenses for such Third Party Model that will be reimbursed by Alnylam.</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3.3.1</w:t>
      </w:r>
    </w:p>
    <w:p>
      <w:pPr>
        <w:pStyle w:val="TextBody"/>
        <w:bidi w:val="0"/>
        <w:jc w:val="both"/>
        <w:rPr/>
      </w:pPr>
      <w:r>
        <w:rPr>
          <w:rFonts w:ascii="Times New Roman" w:hAnsi="Times New Roman"/>
          <w:b/>
          <w:i/>
          <w:color w:val="000000"/>
          <w:sz w:val="22"/>
        </w:rPr>
        <w:t>In Vitro</w:t>
      </w:r>
      <w:r>
        <w:rPr>
          <w:color w:val="000000"/>
        </w:rPr>
        <w:t xml:space="preserve"> </w:t>
      </w:r>
      <w:r>
        <w:rPr>
          <w:rFonts w:ascii="Times New Roman" w:hAnsi="Times New Roman"/>
          <w:b/>
          <w:color w:val="000000"/>
          <w:sz w:val="22"/>
        </w:rPr>
        <w:t>Validation Activities</w:t>
      </w:r>
      <w:r>
        <w:rPr>
          <w:rFonts w:ascii="Times New Roman" w:hAnsi="Times New Roman"/>
          <w:color w:val="000000"/>
          <w:sz w:val="22"/>
        </w:rPr>
        <w:t xml:space="preserve">. During the Validation Term, Tenaya will use the Tenaya Platform Technology to conduct </w:t>
      </w:r>
      <w:r>
        <w:rPr>
          <w:rFonts w:ascii="Times New Roman" w:hAnsi="Times New Roman"/>
          <w:i/>
          <w:color w:val="000000"/>
          <w:sz w:val="22"/>
        </w:rPr>
        <w:t>in vitro</w:t>
      </w:r>
      <w:r>
        <w:rPr>
          <w:color w:val="000000"/>
        </w:rPr>
        <w:t xml:space="preserve"> </w:t>
      </w:r>
      <w:r>
        <w:rPr>
          <w:rFonts w:ascii="Times New Roman" w:hAnsi="Times New Roman"/>
          <w:color w:val="000000"/>
          <w:sz w:val="22"/>
        </w:rPr>
        <w:t>assessments to validate the Alnylam Gene Targets (and, if needed, any Replacement Gene Target, if any) in accordance with the Research Plan and Research Budget (“</w:t>
      </w:r>
      <w:r>
        <w:rPr>
          <w:rFonts w:ascii="Times New Roman" w:hAnsi="Times New Roman"/>
          <w:b/>
          <w:i/>
          <w:color w:val="000000"/>
          <w:sz w:val="22"/>
        </w:rPr>
        <w:t>In Vitro</w:t>
      </w:r>
      <w:r>
        <w:rPr>
          <w:color w:val="000000"/>
        </w:rPr>
        <w:t xml:space="preserve"> </w:t>
      </w:r>
      <w:r>
        <w:rPr>
          <w:rFonts w:ascii="Times New Roman" w:hAnsi="Times New Roman"/>
          <w:b/>
          <w:color w:val="000000"/>
          <w:sz w:val="22"/>
        </w:rPr>
        <w:t>Validation Activities</w:t>
      </w:r>
      <w:r>
        <w:rPr>
          <w:color w:val="000000"/>
        </w:rPr>
        <w:t>”</w:t>
      </w:r>
      <w:r>
        <w:rPr>
          <w:rFonts w:ascii="Times New Roman" w:hAnsi="Times New Roman"/>
          <w:color w:val="000000"/>
          <w:sz w:val="22"/>
        </w:rPr>
        <w:t xml:space="preserve">). Tenaya shall not be obligated to conduct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Validation Activities for more than [***] Alnylam Gene Targets without Tenaya’s prior written consent. During the Validation Term, Tenaya shall conduct additional </w:t>
      </w:r>
      <w:r>
        <w:rPr>
          <w:rFonts w:ascii="Times New Roman" w:hAnsi="Times New Roman"/>
          <w:i/>
          <w:color w:val="000000"/>
          <w:sz w:val="22"/>
        </w:rPr>
        <w:t>In Vitro</w:t>
      </w:r>
      <w:r>
        <w:rPr>
          <w:color w:val="000000"/>
        </w:rPr>
        <w:t xml:space="preserve"> </w:t>
      </w:r>
      <w:r>
        <w:rPr>
          <w:rFonts w:ascii="Times New Roman" w:hAnsi="Times New Roman"/>
          <w:color w:val="000000"/>
          <w:sz w:val="22"/>
        </w:rPr>
        <w:t>Validation Activities with respect to each Collaboration Target at Alnylam’s written request and at Alnylam’s cost and expense.</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3.3.2</w:t>
      </w:r>
    </w:p>
    <w:p>
      <w:pPr>
        <w:pStyle w:val="TextBody"/>
        <w:bidi w:val="0"/>
        <w:spacing w:before="0" w:after="240"/>
        <w:jc w:val="both"/>
        <w:rPr/>
      </w:pPr>
      <w:r>
        <w:rPr>
          <w:rFonts w:ascii="Times New Roman" w:hAnsi="Times New Roman"/>
          <w:b/>
          <w:i/>
          <w:color w:val="000000"/>
          <w:sz w:val="22"/>
        </w:rPr>
        <w:t>In Vitro</w:t>
      </w:r>
      <w:r>
        <w:rPr>
          <w:color w:val="000000"/>
        </w:rPr>
        <w:t xml:space="preserve"> </w:t>
      </w:r>
      <w:r>
        <w:rPr>
          <w:rFonts w:ascii="Times New Roman" w:hAnsi="Times New Roman"/>
          <w:b/>
          <w:color w:val="000000"/>
          <w:sz w:val="22"/>
        </w:rPr>
        <w:t>Data Package</w:t>
      </w:r>
      <w:r>
        <w:rPr>
          <w:rFonts w:ascii="Times New Roman" w:hAnsi="Times New Roman"/>
          <w:color w:val="000000"/>
          <w:sz w:val="22"/>
        </w:rPr>
        <w:t xml:space="preserve">. Upon the completion of the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Validation Activities under the Research Plan with respect to each Collaboration Target, Tenaya will deliver to Alnylam a distinct data package including (a) the results of the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Validation Activities conducted by Tenaya with respect to such Collaboration Target under this Agreement and (b) any other Know-How, including information about the applicable Associated Primary Cardiovascular Indication, Controlled by Tenaya reasonably necessary or useful for Alnylam to determine whether to proceed to </w:t>
      </w:r>
      <w:r>
        <w:rPr>
          <w:rFonts w:ascii="Times New Roman" w:hAnsi="Times New Roman"/>
          <w:i/>
          <w:color w:val="000000"/>
          <w:sz w:val="22"/>
        </w:rPr>
        <w:t>in vivo</w:t>
      </w:r>
      <w:r>
        <w:rPr>
          <w:color w:val="000000"/>
        </w:rPr>
        <w:t xml:space="preserve"> </w:t>
      </w:r>
      <w:r>
        <w:rPr>
          <w:rFonts w:ascii="Times New Roman" w:hAnsi="Times New Roman"/>
          <w:color w:val="000000"/>
          <w:sz w:val="22"/>
        </w:rPr>
        <w:t>validation activities with respect to such Collaboration Target under the Research Plan (each such data package, an “</w:t>
      </w:r>
      <w:r>
        <w:rPr>
          <w:rFonts w:ascii="Times New Roman" w:hAnsi="Times New Roman"/>
          <w:b/>
          <w:i/>
          <w:color w:val="000000"/>
          <w:sz w:val="22"/>
        </w:rPr>
        <w:t>In Vitro</w:t>
      </w:r>
      <w:r>
        <w:rPr>
          <w:color w:val="000000"/>
        </w:rPr>
        <w:t xml:space="preserve"> </w:t>
      </w:r>
      <w:r>
        <w:rPr>
          <w:rFonts w:ascii="Times New Roman" w:hAnsi="Times New Roman"/>
          <w:b/>
          <w:color w:val="000000"/>
          <w:sz w:val="22"/>
        </w:rPr>
        <w:t>Data Package</w:t>
      </w:r>
      <w:r>
        <w:rPr>
          <w:color w:val="000000"/>
        </w:rPr>
        <w: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3.3.3</w:t>
      </w:r>
    </w:p>
    <w:p>
      <w:pPr>
        <w:pStyle w:val="TextBody"/>
        <w:bidi w:val="0"/>
        <w:jc w:val="both"/>
        <w:rPr/>
      </w:pPr>
      <w:r>
        <w:rPr>
          <w:rFonts w:ascii="Times New Roman" w:hAnsi="Times New Roman"/>
          <w:b/>
          <w:i/>
          <w:color w:val="000000"/>
          <w:sz w:val="22"/>
        </w:rPr>
        <w:t>In Vivo</w:t>
      </w:r>
      <w:r>
        <w:rPr>
          <w:color w:val="000000"/>
        </w:rPr>
        <w:t xml:space="preserve"> </w:t>
      </w:r>
      <w:r>
        <w:rPr>
          <w:rFonts w:ascii="Times New Roman" w:hAnsi="Times New Roman"/>
          <w:b/>
          <w:color w:val="000000"/>
          <w:sz w:val="22"/>
        </w:rPr>
        <w:t>Validation Activities</w:t>
      </w:r>
      <w:r>
        <w:rPr>
          <w:rFonts w:ascii="Times New Roman" w:hAnsi="Times New Roman"/>
          <w:color w:val="000000"/>
          <w:sz w:val="22"/>
        </w:rPr>
        <w:t xml:space="preserve">. Tenaya will conduct </w:t>
      </w:r>
      <w:r>
        <w:rPr>
          <w:rFonts w:ascii="Times New Roman" w:hAnsi="Times New Roman"/>
          <w:i/>
          <w:color w:val="000000"/>
          <w:sz w:val="22"/>
        </w:rPr>
        <w:t>in vivo</w:t>
      </w:r>
      <w:r>
        <w:rPr>
          <w:color w:val="000000"/>
        </w:rPr>
        <w:t xml:space="preserve"> </w:t>
      </w:r>
      <w:r>
        <w:rPr>
          <w:rFonts w:ascii="Times New Roman" w:hAnsi="Times New Roman"/>
          <w:color w:val="000000"/>
          <w:sz w:val="22"/>
        </w:rPr>
        <w:t>target validation using animal models in accordance with the Research Plan and Research Budget (“</w:t>
      </w:r>
      <w:r>
        <w:rPr>
          <w:rFonts w:ascii="Times New Roman" w:hAnsi="Times New Roman"/>
          <w:b/>
          <w:i/>
          <w:color w:val="000000"/>
          <w:sz w:val="22"/>
        </w:rPr>
        <w:t>In Vivo</w:t>
      </w:r>
      <w:r>
        <w:rPr>
          <w:color w:val="000000"/>
        </w:rPr>
        <w:t xml:space="preserve"> </w:t>
      </w:r>
      <w:r>
        <w:rPr>
          <w:rFonts w:ascii="Times New Roman" w:hAnsi="Times New Roman"/>
          <w:b/>
          <w:color w:val="000000"/>
          <w:sz w:val="22"/>
        </w:rPr>
        <w:t>Validation Activities</w:t>
      </w:r>
      <w:r>
        <w:rPr>
          <w:color w:val="000000"/>
        </w:rPr>
        <w:t>”</w:t>
      </w:r>
      <w:r>
        <w:rPr>
          <w:rFonts w:ascii="Times New Roman" w:hAnsi="Times New Roman"/>
          <w:color w:val="000000"/>
          <w:sz w:val="22"/>
        </w:rPr>
        <w:t xml:space="preserve">). Alnylam will generate and deliver to Tenaya reasonable quantities of Alnylam Tool Compounds for each Collaboration Target for which Alnylam desires Tenaya to conduct such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Validation Activities. Tenaya will not (a) reverse engineer or otherwise analyze any Alnylam Tool Compound for the purpose of determining the sequence or structure thereof, (b) transfer the Alnylam Tool Compounds to any Third Party (except to permitted Subcontractors for the purpose of conducting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Validation Activities), or (c) use any Alnylam Tool Compound for any purpose other than the </w:t>
      </w:r>
      <w:r>
        <w:rPr>
          <w:rFonts w:ascii="Times New Roman" w:hAnsi="Times New Roman"/>
          <w:i/>
          <w:color w:val="000000"/>
          <w:sz w:val="22"/>
        </w:rPr>
        <w:t>In Vivo</w:t>
      </w:r>
      <w:r>
        <w:rPr>
          <w:color w:val="000000"/>
        </w:rPr>
        <w:t xml:space="preserve"> </w:t>
      </w:r>
      <w:r>
        <w:rPr>
          <w:rFonts w:ascii="Times New Roman" w:hAnsi="Times New Roman"/>
          <w:color w:val="000000"/>
          <w:sz w:val="22"/>
        </w:rPr>
        <w:t>Validation Activities.</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3.3.4</w:t>
      </w:r>
    </w:p>
    <w:p>
      <w:pPr>
        <w:pStyle w:val="TextBody"/>
        <w:bidi w:val="0"/>
        <w:jc w:val="both"/>
        <w:rPr/>
      </w:pPr>
      <w:r>
        <w:rPr>
          <w:rFonts w:ascii="Times New Roman" w:hAnsi="Times New Roman"/>
          <w:b/>
          <w:i/>
          <w:color w:val="000000"/>
          <w:sz w:val="22"/>
        </w:rPr>
        <w:t>In Vivo</w:t>
      </w:r>
      <w:r>
        <w:rPr>
          <w:color w:val="000000"/>
        </w:rPr>
        <w:t xml:space="preserve"> </w:t>
      </w:r>
      <w:r>
        <w:rPr>
          <w:rFonts w:ascii="Times New Roman" w:hAnsi="Times New Roman"/>
          <w:b/>
          <w:color w:val="000000"/>
          <w:sz w:val="22"/>
        </w:rPr>
        <w:t>Data Package</w:t>
      </w:r>
      <w:r>
        <w:rPr>
          <w:rFonts w:ascii="Times New Roman" w:hAnsi="Times New Roman"/>
          <w:color w:val="000000"/>
          <w:sz w:val="22"/>
        </w:rPr>
        <w:t xml:space="preserve">. Upon completion of the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Validation Activities under the Research Plan with respect to each Collaboration Target, Tenaya will deliver to Alnylam a distinct data package including (a) the results of the </w:t>
      </w:r>
      <w:r>
        <w:rPr>
          <w:rFonts w:ascii="Times New Roman" w:hAnsi="Times New Roman"/>
          <w:i/>
          <w:color w:val="000000"/>
          <w:sz w:val="22"/>
        </w:rPr>
        <w:t>In Vivo</w:t>
      </w:r>
      <w:r>
        <w:rPr>
          <w:color w:val="000000"/>
        </w:rPr>
        <w:t xml:space="preserve"> </w:t>
      </w:r>
      <w:r>
        <w:rPr>
          <w:rFonts w:ascii="Times New Roman" w:hAnsi="Times New Roman"/>
          <w:color w:val="000000"/>
          <w:sz w:val="22"/>
        </w:rPr>
        <w:t>Validation Activities conducted by Tenaya with respect to such Collaboration Target under this Agreement and (b) any other Know-How, including information about the applicable Associated Primary Cardiovascular Indication, controlled by Tenaya and reasonably necessary or useful for Alnylam to determine whether Alnylam should proceed and conduct further Development of such Collaboration Target (each such data package, an “</w:t>
      </w:r>
      <w:r>
        <w:rPr>
          <w:rFonts w:ascii="Times New Roman" w:hAnsi="Times New Roman"/>
          <w:b/>
          <w:i/>
          <w:color w:val="000000"/>
          <w:sz w:val="22"/>
        </w:rPr>
        <w:t>In Vivo</w:t>
      </w:r>
      <w:r>
        <w:rPr>
          <w:color w:val="000000"/>
        </w:rPr>
        <w:t xml:space="preserve"> </w:t>
      </w:r>
      <w:r>
        <w:rPr>
          <w:rFonts w:ascii="Times New Roman" w:hAnsi="Times New Roman"/>
          <w:b/>
          <w:color w:val="000000"/>
          <w:sz w:val="22"/>
        </w:rPr>
        <w:t>Data Package</w:t>
      </w:r>
      <w:r>
        <w:rPr>
          <w:color w:val="000000"/>
        </w:rPr>
        <w:t>”</w:t>
      </w:r>
      <w:r>
        <w:rPr>
          <w:rFonts w:ascii="Times New Roman" w:hAnsi="Times New Roman"/>
          <w:color w:val="000000"/>
          <w:sz w:val="22"/>
        </w:rPr>
        <w:t xml:space="preser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3.3.5</w:t>
      </w:r>
    </w:p>
    <w:p>
      <w:pPr>
        <w:pStyle w:val="TextBody"/>
        <w:bidi w:val="0"/>
        <w:jc w:val="both"/>
        <w:rPr/>
      </w:pPr>
      <w:r>
        <w:rPr>
          <w:rFonts w:ascii="Times New Roman" w:hAnsi="Times New Roman"/>
          <w:b/>
          <w:color w:val="000000"/>
          <w:sz w:val="22"/>
        </w:rPr>
        <w:t>Validation Term Expiration</w:t>
      </w:r>
      <w:r>
        <w:rPr>
          <w:rFonts w:ascii="Times New Roman" w:hAnsi="Times New Roman"/>
          <w:color w:val="000000"/>
          <w:sz w:val="22"/>
        </w:rPr>
        <w:t xml:space="preserve">. If, upon the expiration of the Validation Term (including any extended period for the completion of work under Section 3.3), Alnylam has not instructed Tenaya to start or continue the </w:t>
      </w:r>
      <w:r>
        <w:rPr>
          <w:rFonts w:ascii="Times New Roman" w:hAnsi="Times New Roman"/>
          <w:i/>
          <w:color w:val="000000"/>
          <w:sz w:val="22"/>
        </w:rPr>
        <w:t>In Vivo</w:t>
      </w:r>
      <w:r>
        <w:rPr>
          <w:color w:val="000000"/>
        </w:rPr>
        <w:t xml:space="preserve"> </w:t>
      </w:r>
      <w:r>
        <w:rPr>
          <w:rFonts w:ascii="Times New Roman" w:hAnsi="Times New Roman"/>
          <w:color w:val="000000"/>
          <w:sz w:val="22"/>
        </w:rPr>
        <w:t>Validation Activities with respect to a Non-Alnylam Collaboration Target, then such Non-Alnylam Collaboration Target shall cease to be a Collaboration Target (and shall be considered a Terminated Collaboration Target) upon the expiration of the Validation Term.</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3.4</w:t>
      </w:r>
    </w:p>
    <w:p>
      <w:pPr>
        <w:pStyle w:val="TextBody"/>
        <w:bidi w:val="0"/>
        <w:jc w:val="both"/>
        <w:rPr/>
      </w:pPr>
      <w:r>
        <w:rPr>
          <w:rFonts w:ascii="Times New Roman" w:hAnsi="Times New Roman"/>
          <w:b/>
          <w:color w:val="000000"/>
          <w:sz w:val="22"/>
        </w:rPr>
        <w:t>Evaluation Term</w:t>
      </w:r>
      <w:r>
        <w:rPr>
          <w:rFonts w:ascii="Times New Roman" w:hAnsi="Times New Roman"/>
          <w:color w:val="000000"/>
          <w:sz w:val="22"/>
        </w:rPr>
        <w:t xml:space="preserve">. During the Evaluation Term for each Collaboration Target, at Alnylam’s cost and expense, Alnylam will have the right to evaluate each Collaboration Target by conducting additional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and </w:t>
      </w:r>
      <w:r>
        <w:rPr>
          <w:rFonts w:ascii="Times New Roman" w:hAnsi="Times New Roman"/>
          <w:i/>
          <w:color w:val="000000"/>
          <w:sz w:val="22"/>
        </w:rPr>
        <w:t>in vivo</w:t>
      </w:r>
      <w:r>
        <w:rPr>
          <w:color w:val="000000"/>
        </w:rPr>
        <w:t xml:space="preserve"> </w:t>
      </w:r>
      <w:r>
        <w:rPr>
          <w:rFonts w:ascii="Times New Roman" w:hAnsi="Times New Roman"/>
          <w:color w:val="000000"/>
          <w:sz w:val="22"/>
        </w:rPr>
        <w:t xml:space="preserve">animal studies and by evaluating and utilizing all data and information delivered by Tenaya to Alnylam for such Collaboration Target, in order to evaluate whether to further Develop Products Directed To such Collaboration Target. On a Non-Alnylam Collaboration Target-by-Non-Alnylam Collaboration Target basis, in the event Alnylam fails to commence an NHP PD Study prior to the expiration of the Evaluation Term for such Non-Alnylam Collaboration Target, then such Non-Alnylam Collaboration Target will be deemed a Terminated Collaboration Target and the license granted to Alnylam pursuant to Section 6.2 will terminate with respect to such Terminated Collaboration Target. For clarity, Alnylam will be free at all times during and after the Term of this Agreement, in its discretion, to evaluate each Alnylam Gene Target by conducting additional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and </w:t>
      </w:r>
      <w:r>
        <w:rPr>
          <w:rFonts w:ascii="Times New Roman" w:hAnsi="Times New Roman"/>
          <w:i/>
          <w:color w:val="000000"/>
          <w:sz w:val="22"/>
        </w:rPr>
        <w:t>in vivo</w:t>
      </w:r>
      <w:r>
        <w:rPr>
          <w:color w:val="000000"/>
        </w:rPr>
        <w:t xml:space="preserve"> </w:t>
      </w:r>
      <w:r>
        <w:rPr>
          <w:rFonts w:ascii="Times New Roman" w:hAnsi="Times New Roman"/>
          <w:color w:val="000000"/>
          <w:sz w:val="22"/>
        </w:rPr>
        <w:t>animal studies and by evaluating and utilizing all data and information delivered by Tenaya to Alnylam for such Alnylam Gene Target, in order to evaluate whether to further Develop and Commercialize Products Directed To such Alnylam Gene Target.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b/>
          <w:color w:val="000000"/>
          <w:sz w:val="22"/>
        </w:rPr>
        <w:t>PRODUCT DEVELOPMENT AND COMMERCIALIZATION</w:t>
      </w:r>
      <w:r>
        <w:rPr>
          <w:rFonts w:ascii="Times New Roman" w:hAnsi="Times New Roman"/>
          <w:color w:val="000000"/>
          <w:sz w:val="22"/>
        </w:rPr>
        <w:t>.</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b/>
          <w:color w:val="000000"/>
          <w:sz w:val="22"/>
        </w:rPr>
        <w:t>Development of Products</w:t>
      </w:r>
      <w:r>
        <w:rPr>
          <w:rFonts w:ascii="Times New Roman" w:hAnsi="Times New Roman"/>
          <w:color w:val="000000"/>
          <w:sz w:val="22"/>
        </w:rPr>
        <w:t xml:space="preserve">. Except as expressly set forth herein, for each Collaboration Target, for the Term of this Agreement, as between the Parties, Alnylam will have the sole right and responsibility, at its cost and expense, for the research and Development of Products Directed To a Collaboration Target in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Field in the Territory (including having an Affiliate or, subject to Section 2.8 and Section 6.3, a Third Party, research and Develop on its behalf).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4.2</w:t>
      </w:r>
    </w:p>
    <w:p>
      <w:pPr>
        <w:pStyle w:val="TextBody"/>
        <w:bidi w:val="0"/>
        <w:jc w:val="both"/>
        <w:rPr/>
      </w:pPr>
      <w:r>
        <w:rPr>
          <w:rFonts w:ascii="Times New Roman" w:hAnsi="Times New Roman"/>
          <w:b/>
          <w:color w:val="000000"/>
          <w:sz w:val="22"/>
        </w:rPr>
        <w:t>Regulatory Matters</w:t>
      </w:r>
      <w:r>
        <w:rPr>
          <w:rFonts w:ascii="Times New Roman" w:hAnsi="Times New Roman"/>
          <w:color w:val="000000"/>
          <w:sz w:val="22"/>
        </w:rPr>
        <w:t>. Except with respect to Tenaya’s responsibilities under Section 3.3, Alnylam will have sole right, responsibility and decision making authority with respect to regulatory matters for Products Directed To a Collaboration Target in the Field in the Territory, including the content of any regulatory filing or dossier, pharmacovigilance reporting, labeling, safety, and the decision to file or withdraw any IND or to cease or suspend any Clinical Trial. Alnylam will have sole responsibility for preparing and submitting all Regulatory Materials for such Products in the Field in the Territory, including preparing, submitting and holding all INDs and marketing authorization applications for Products. Tenaya will reasonably cooperate with Alnylam and provide to Alnylam all Know-How Controlled by Tenaya regarding any Collaboration Target, in each case as may be reasonably requested by Alnylam, in order to prepare or support any Regulatory Materials for Products Directed To a Collaboration Target in the Field in the Territory and interactions with any Regulatory Authority in connection with Development or Regulatory Approval of such Products. Tenaya will provide [***] free of charge for such cooperation and assistance, and Alnylam will reimburse Tenaya for all (a) Out-of-Pocket Costs and (b) FTE Costs (after such [***]), in each case ((a) and (b)) associated with such cooperation and assistance. Alnylam will own all Regulatory Materials for such Products and all such Regulatory Materials will be submitted in the name of Alnylam (or its Affiliate, Sublicensee or designee, as applicable).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w:t>
      </w:r>
    </w:p>
    <w:p>
      <w:pPr>
        <w:pStyle w:val="TextBody"/>
        <w:bidi w:val="0"/>
        <w:jc w:val="both"/>
        <w:rPr/>
      </w:pPr>
      <w:r>
        <w:rPr>
          <w:rFonts w:ascii="Times New Roman" w:hAnsi="Times New Roman"/>
          <w:b/>
          <w:color w:val="000000"/>
          <w:sz w:val="22"/>
        </w:rPr>
        <w:t>Commercialization</w:t>
      </w:r>
      <w:r>
        <w:rPr>
          <w:rFonts w:ascii="Times New Roman" w:hAnsi="Times New Roman"/>
          <w:color w:val="000000"/>
          <w:sz w:val="22"/>
        </w:rPr>
        <w:t>. For the Term of this Agreement, as between the Parties, Alnylam will have the sole right and responsibility, at its cost and expense, for the Commercialization of Products Directed To any Collaboration Target in the Field in the Territory (including having an Affiliate or, subject to Section 2.8 and Section 6.3, a Third Party, Commercialize on its behalf).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4.4</w:t>
      </w:r>
    </w:p>
    <w:p>
      <w:pPr>
        <w:pStyle w:val="TextBody"/>
        <w:bidi w:val="0"/>
        <w:jc w:val="both"/>
        <w:rPr/>
      </w:pPr>
      <w:r>
        <w:rPr>
          <w:rFonts w:ascii="Times New Roman" w:hAnsi="Times New Roman"/>
          <w:b/>
          <w:color w:val="000000"/>
          <w:sz w:val="22"/>
        </w:rPr>
        <w:t>Progress Reports</w:t>
      </w:r>
      <w:r>
        <w:rPr>
          <w:rFonts w:ascii="Times New Roman" w:hAnsi="Times New Roman"/>
          <w:color w:val="000000"/>
          <w:sz w:val="22"/>
        </w:rPr>
        <w:t xml:space="preserve">. Following the discontinuation of the JSC, Alnylam shall, on or before [***] of each year, provide Tenaya with a reasonably detailed annual written report summarizing Alnylam’s progress in the Development of Licensed Products Directed To a Non-Alnylam Collaboration Target. Each progress report shall include a summary of pre-clinical and/or clinical development activities with respect to such Licensed Products during the preceding year.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4.5</w:t>
      </w:r>
    </w:p>
    <w:p>
      <w:pPr>
        <w:pStyle w:val="TextBody"/>
        <w:bidi w:val="0"/>
        <w:jc w:val="both"/>
        <w:rPr/>
      </w:pPr>
      <w:r>
        <w:rPr>
          <w:rFonts w:ascii="Times New Roman" w:hAnsi="Times New Roman"/>
          <w:b/>
          <w:color w:val="000000"/>
          <w:sz w:val="22"/>
        </w:rPr>
        <w:t>Standards of Conduct</w:t>
      </w:r>
      <w:r>
        <w:rPr>
          <w:rFonts w:ascii="Times New Roman" w:hAnsi="Times New Roman"/>
          <w:color w:val="000000"/>
          <w:sz w:val="22"/>
        </w:rPr>
        <w:t>. Each Party will perform, and will use reasonable efforts to ensure that its Affiliates, Sublicensees and Third Party contractors perform, its Development activities in good scientific manner, and in compliance in all material respects with the requirements of Applicable Law.</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b/>
          <w:color w:val="000000"/>
          <w:sz w:val="22"/>
        </w:rPr>
        <w:t>GOVERNANCE</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b/>
          <w:color w:val="000000"/>
          <w:sz w:val="22"/>
        </w:rPr>
        <w:t>Joint Steering Committee</w:t>
      </w:r>
      <w:r>
        <w:rPr>
          <w:rFonts w:ascii="Times New Roman" w:hAnsi="Times New Roman"/>
          <w:color w:val="000000"/>
          <w:sz w:val="22"/>
        </w:rPr>
        <w:t>. On the Effective Date, the Parties will establish a joint steering committee with the roles set forth in Section 5.2 (the “</w:t>
      </w:r>
      <w:r>
        <w:rPr>
          <w:rFonts w:ascii="Times New Roman" w:hAnsi="Times New Roman"/>
          <w:b/>
          <w:color w:val="000000"/>
          <w:sz w:val="22"/>
        </w:rPr>
        <w:t>Joint Steering Committee</w:t>
      </w:r>
      <w:r>
        <w:rPr>
          <w:color w:val="000000"/>
        </w:rPr>
        <w:t xml:space="preserve">” </w:t>
      </w:r>
      <w:r>
        <w:rPr>
          <w:rFonts w:ascii="Times New Roman" w:hAnsi="Times New Roman"/>
          <w:color w:val="000000"/>
          <w:sz w:val="22"/>
        </w:rPr>
        <w:t>or “</w:t>
      </w:r>
      <w:r>
        <w:rPr>
          <w:rFonts w:ascii="Times New Roman" w:hAnsi="Times New Roman"/>
          <w:b/>
          <w:color w:val="000000"/>
          <w:sz w:val="22"/>
        </w:rPr>
        <w:t>JSC</w:t>
      </w:r>
      <w:r>
        <w:rPr>
          <w:color w:val="000000"/>
        </w:rPr>
        <w:t>”</w:t>
      </w:r>
      <w:r>
        <w:rPr>
          <w:rFonts w:ascii="Times New Roman" w:hAnsi="Times New Roman"/>
          <w:color w:val="000000"/>
          <w:sz w:val="22"/>
        </w:rPr>
        <w:t xml:space="preserve">) consisting of the [***] representatives from each Party set forth on </w:t>
      </w:r>
      <w:r>
        <w:rPr>
          <w:rFonts w:ascii="Times New Roman" w:hAnsi="Times New Roman"/>
          <w:b/>
          <w:color w:val="000000"/>
          <w:sz w:val="22"/>
        </w:rPr>
        <w:t>Schedule 5.1</w:t>
      </w:r>
      <w:r>
        <w:rPr>
          <w:color w:val="000000"/>
        </w:rPr>
        <w:t xml:space="preserve"> </w:t>
      </w:r>
      <w:r>
        <w:rPr>
          <w:rFonts w:ascii="Times New Roman" w:hAnsi="Times New Roman"/>
          <w:color w:val="000000"/>
          <w:sz w:val="22"/>
        </w:rPr>
        <w:t xml:space="preserve">with a co-chairperson from each Party. The JSC may change its size from time to time by mutual consent of both Parties, provided that the JSC will consist at all times of an equal number of representatives of each of Tenaya and Alnylam. Each Party may at any time appoint different JSC representatives or change its designated co-chairperson by written notice to the other Party. Other employees or consultants of a Party who are not the Alliance Managers of such Party or representatives of such Party on the JSC may attend meetings of the JSC with the prior written consent of the other Party, not to be unreasonably withheld, conditioned or delayed; provided, however, that such attendees (a) will not vote or otherwise participate in the decision-making process of the JSC and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are bound by obligations of confidentiality and non-disclosure at least as protective of the other Party as those set forth in Article 8.</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5.2</w:t>
      </w:r>
    </w:p>
    <w:p>
      <w:pPr>
        <w:pStyle w:val="TextBody"/>
        <w:bidi w:val="0"/>
        <w:jc w:val="both"/>
        <w:rPr/>
      </w:pPr>
      <w:r>
        <w:rPr>
          <w:rFonts w:ascii="Times New Roman" w:hAnsi="Times New Roman"/>
          <w:b/>
          <w:color w:val="000000"/>
          <w:sz w:val="22"/>
        </w:rPr>
        <w:t>Responsibilities</w:t>
      </w:r>
      <w:r>
        <w:rPr>
          <w:rFonts w:ascii="Times New Roman" w:hAnsi="Times New Roman"/>
          <w:color w:val="000000"/>
          <w:sz w:val="22"/>
        </w:rPr>
        <w:t xml:space="preserve">. The JSC will be responsible for (a) reviewing the Tenaya Nominated Gene Targets (including for clarity Replacement Gene Targets) and Gene Targets nominated by Alnylam and compiling the Collaboration Target List, (b) overseeing the activities under the Research Plan through the completion of the Validation Term, (c) serving as an information-sharing forum during the period beginning upon the completion of the Validation Term until the completion of the Evaluation Term, (d) approving any changes and updates to the Research Plan (including the Research Budget), and (e) monitoring, reviewing and recording of the progress of the Research Plan.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5.3</w:t>
      </w:r>
    </w:p>
    <w:p>
      <w:pPr>
        <w:pStyle w:val="TextBody"/>
        <w:bidi w:val="0"/>
        <w:jc w:val="both"/>
        <w:rPr/>
      </w:pPr>
      <w:r>
        <w:rPr>
          <w:rFonts w:ascii="Times New Roman" w:hAnsi="Times New Roman"/>
          <w:b/>
          <w:color w:val="000000"/>
          <w:sz w:val="22"/>
        </w:rPr>
        <w:t>Decisions</w:t>
      </w:r>
      <w:r>
        <w:rPr>
          <w:rFonts w:ascii="Times New Roman" w:hAnsi="Times New Roman"/>
          <w:color w:val="000000"/>
          <w:sz w:val="22"/>
        </w:rPr>
        <w:t>. Decisions of the JSC will be by unanimous vote, with each Party having collectively one (1) vote, provided that if, after attempts to amicably resolve any disagreement at the JSC, the Parties are unable to agree on a matter to be decided by the JSC, [***] after escalation to Executive Officers in accordance with Section 13.12; provided further that, (a) [***], and (b)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5.4</w:t>
      </w:r>
    </w:p>
    <w:p>
      <w:pPr>
        <w:pStyle w:val="TextBody"/>
        <w:bidi w:val="0"/>
        <w:jc w:val="both"/>
        <w:rPr/>
      </w:pPr>
      <w:r>
        <w:rPr>
          <w:rFonts w:ascii="Times New Roman" w:hAnsi="Times New Roman"/>
          <w:b/>
          <w:color w:val="000000"/>
          <w:sz w:val="22"/>
        </w:rPr>
        <w:t>JSC Meetings</w:t>
      </w:r>
      <w:r>
        <w:rPr>
          <w:rFonts w:ascii="Times New Roman" w:hAnsi="Times New Roman"/>
          <w:color w:val="000000"/>
          <w:sz w:val="22"/>
        </w:rPr>
        <w:t>. The JSC will hold meetings at such times and places as the co-chairpersons may determine. The JSC will meet at least [***] during the Validation Term and thereafter during the Evaluation Term on an ad hoc basis as reasonably requested by Alnylam until discontinuation of the JSC in accordance with Section 5.8. The meetings of the JSC need not be in person and may be by telephone or any other method determined by the JSC. Each Party will bear its own costs associated with attending such meetings, including any costs relating to travel or such Party’s participation in such meetings. Each Party will be responsible for all of its own costs and expenses of participating in the JSC. Either Party’s representatives on the JSC may call a special meeting of the JSC upon at least [***] prior written notice, except that emergency meetings may be called with at least [***] prior written notice. The Alliance Managers will be responsible for preparing and circulating an agenda in advance of each meeting.</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5.5</w:t>
      </w:r>
    </w:p>
    <w:p>
      <w:pPr>
        <w:pStyle w:val="TextBody"/>
        <w:bidi w:val="0"/>
        <w:jc w:val="both"/>
        <w:rPr/>
      </w:pPr>
      <w:r>
        <w:rPr>
          <w:rFonts w:ascii="Times New Roman" w:hAnsi="Times New Roman"/>
          <w:b/>
          <w:color w:val="000000"/>
          <w:sz w:val="22"/>
        </w:rPr>
        <w:t>Minutes</w:t>
      </w:r>
      <w:r>
        <w:rPr>
          <w:rFonts w:ascii="Times New Roman" w:hAnsi="Times New Roman"/>
          <w:color w:val="000000"/>
          <w:sz w:val="22"/>
        </w:rPr>
        <w:t>. The Parties will alternate responsibility for preparing and circulating minutes of each meeting of the JSC, setting forth, inter alia, an overview of the discussions at the meeting and a list of any actions, decisions or determinations approved by the JSC. Such minutes will be effective only after such minutes have been approved by both Parties in writing. Definitive minutes of all JSC meetings will be finalized no later than [***] after the meeting to which the minutes pertain.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5.6</w:t>
      </w:r>
    </w:p>
    <w:p>
      <w:pPr>
        <w:pStyle w:val="TextBody"/>
        <w:bidi w:val="0"/>
        <w:jc w:val="both"/>
        <w:rPr/>
      </w:pPr>
      <w:r>
        <w:rPr>
          <w:rFonts w:ascii="Times New Roman" w:hAnsi="Times New Roman"/>
          <w:b/>
          <w:color w:val="000000"/>
          <w:sz w:val="22"/>
        </w:rPr>
        <w:t>Limitations on Authority of the JSC</w:t>
      </w:r>
      <w:r>
        <w:rPr>
          <w:rFonts w:ascii="Times New Roman" w:hAnsi="Times New Roman"/>
          <w:color w:val="000000"/>
          <w:sz w:val="22"/>
        </w:rPr>
        <w:t>. The JSC will have solely the roles and responsibilities assigned to it in this Article 5. The JSC will have no authority to (a) amend, alter or modify, or determine or waive compliance by a Party with, a Party’s obligations under this Agreement, or (b) make any decision that is expressly stated in this Agreement to require the mutual agreement of the Parties or the consent of one Party against which such decision will be made. For avoidance of doubt, the JSC will have no authority with respect to Alnylam Gene Targets or Products.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5.7</w:t>
      </w:r>
    </w:p>
    <w:p>
      <w:pPr>
        <w:pStyle w:val="TextBody"/>
        <w:bidi w:val="0"/>
        <w:jc w:val="both"/>
        <w:rPr/>
      </w:pPr>
      <w:r>
        <w:rPr>
          <w:rFonts w:ascii="Times New Roman" w:hAnsi="Times New Roman"/>
          <w:b/>
          <w:color w:val="000000"/>
          <w:sz w:val="22"/>
        </w:rPr>
        <w:t>Alliance Managers</w:t>
      </w:r>
      <w:r>
        <w:rPr>
          <w:rFonts w:ascii="Times New Roman" w:hAnsi="Times New Roman"/>
          <w:color w:val="000000"/>
          <w:sz w:val="22"/>
        </w:rPr>
        <w:t>. Each Party will appoint a representative who possesses a general understanding of this Agreement and pharmaceutical research, clinical, regulatory, manufacturing and commercialization matters and who will oversee contact between the Parties for all matters between meetings of the JSC (each an “</w:t>
      </w:r>
      <w:r>
        <w:rPr>
          <w:rFonts w:ascii="Times New Roman" w:hAnsi="Times New Roman"/>
          <w:b/>
          <w:color w:val="000000"/>
          <w:sz w:val="22"/>
        </w:rPr>
        <w:t>Alliance Manage</w:t>
      </w:r>
      <w:r>
        <w:rPr>
          <w:rFonts w:ascii="Times New Roman" w:hAnsi="Times New Roman"/>
          <w:color w:val="000000"/>
          <w:sz w:val="22"/>
        </w:rPr>
        <w:t>r”). Each Party may replace its Alliance Manager at any time by notice in writing to the other Party.</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5.8</w:t>
      </w:r>
    </w:p>
    <w:p>
      <w:pPr>
        <w:pStyle w:val="TextBody"/>
        <w:bidi w:val="0"/>
        <w:spacing w:before="0" w:after="240"/>
        <w:jc w:val="both"/>
        <w:rPr/>
      </w:pPr>
      <w:r>
        <w:rPr>
          <w:rFonts w:ascii="Times New Roman" w:hAnsi="Times New Roman"/>
          <w:b/>
          <w:color w:val="000000"/>
          <w:sz w:val="22"/>
        </w:rPr>
        <w:t>Discontinuation of JSC</w:t>
      </w:r>
      <w:r>
        <w:rPr>
          <w:rFonts w:ascii="Times New Roman" w:hAnsi="Times New Roman"/>
          <w:color w:val="000000"/>
          <w:sz w:val="22"/>
        </w:rPr>
        <w:t xml:space="preserve">. The JSC will exist from the Effective Date until the expiration of the Evaluation Term; provided that after the end of the Validation Term, the JSC will primarily serve as an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information-sharing body. Thereafter, the JSC will have no further roles or responsibilities under this Agreement.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b/>
          <w:color w:val="000000"/>
          <w:sz w:val="22"/>
        </w:rPr>
        <w:t>LICENSES</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6.1</w:t>
      </w:r>
    </w:p>
    <w:p>
      <w:pPr>
        <w:pStyle w:val="TextBody"/>
        <w:bidi w:val="0"/>
        <w:jc w:val="both"/>
        <w:rPr/>
      </w:pPr>
      <w:r>
        <w:rPr>
          <w:rFonts w:ascii="Times New Roman" w:hAnsi="Times New Roman"/>
          <w:b/>
          <w:color w:val="000000"/>
          <w:sz w:val="22"/>
        </w:rPr>
        <w:t>Grants to Tenaya</w:t>
      </w:r>
      <w:r>
        <w:rPr>
          <w:rFonts w:ascii="Times New Roman" w:hAnsi="Times New Roman"/>
          <w:color w:val="000000"/>
          <w:sz w:val="22"/>
        </w:rPr>
        <w:t>. Subject to the terms and conditions of this Agreement, Alnylam hereby grants to Tenaya, during the Validation Term, a non-exclusive, non-transferable (except as permitted by Section 13.1), fully paid-up, worldwide, non-sublicensable (except to permitted Subcontractors) license under the Alnylam Know-How and Alnylam Patents to perform the Tenaya Research Activities in accordance with the Research Plan and Research Budget.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6.2</w:t>
      </w:r>
    </w:p>
    <w:p>
      <w:pPr>
        <w:pStyle w:val="TextBody"/>
        <w:bidi w:val="0"/>
        <w:jc w:val="both"/>
        <w:rPr/>
      </w:pPr>
      <w:r>
        <w:rPr>
          <w:rFonts w:ascii="Times New Roman" w:hAnsi="Times New Roman"/>
          <w:b/>
          <w:color w:val="000000"/>
          <w:sz w:val="22"/>
        </w:rPr>
        <w:t>Grants to Alnylam</w:t>
      </w:r>
      <w:r>
        <w:rPr>
          <w:rFonts w:ascii="Times New Roman" w:hAnsi="Times New Roman"/>
          <w:color w:val="000000"/>
          <w:sz w:val="22"/>
        </w:rPr>
        <w:t>. On a Collaboration Target-by-Collaboration Target basis, Tenaya grants to Alnylam an exclusive worldwide license, with the right to grant sublicenses through multiple tiers, under the Licensed Technology to evaluate and utilize such Collaboration Target and to research, Develop, manufacture, Commercialize or otherwise Exploit any Product Directed To such Collaboration Target in the Field in the Territory; provided that, subject to Tenaya’s exclusivity obligations under Section 6.6 with respect to the Non-Alnylam Collaboration Targets, Tenaya will retain the right to use the generalized results from the Tenaya Research Activities for the purpose of generally enhancing or improving the Tenaya Platform Technology.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6.3</w:t>
      </w:r>
    </w:p>
    <w:p>
      <w:pPr>
        <w:pStyle w:val="TextBody"/>
        <w:bidi w:val="0"/>
        <w:jc w:val="both"/>
        <w:rPr/>
      </w:pPr>
      <w:r>
        <w:rPr>
          <w:rFonts w:ascii="Times New Roman" w:hAnsi="Times New Roman"/>
          <w:b/>
          <w:color w:val="000000"/>
          <w:sz w:val="22"/>
        </w:rPr>
        <w:t>Sublicenses</w:t>
      </w:r>
      <w:r>
        <w:rPr>
          <w:rFonts w:ascii="Times New Roman" w:hAnsi="Times New Roman"/>
          <w:color w:val="000000"/>
          <w:sz w:val="22"/>
        </w:rPr>
        <w:t>. Alnylam will have the right to grant sublicenses, through multiple tiers, under the licenses granted to Alnylam in Section 6.2, as applicable, provided that each sublicense (a) is pursuant to a written agreement consistent with and subject to the terms and conditions of this Agreement, and (b) contains a requirement that the Sublicensee comply with confidentiality and non-use provisions that are no less restrictive than those set forth in Article 8 with respect to Tenaya’s Confidential Information. Notwithstanding any sublicense to a Sublicensee, Alnylam will remain responsible to Tenaya for the performance of all of Alnylam’s obligations under, and compliance with, all applicable terms and conditions of, this Agreement, including any obligations delegated to its Sublicensees. Alnylam shall provide Tenaya with written notice of any grant of sublicense to a Sublicensee of the rights and licenses granted to Alnylam in Section 6.2 no later than [***] following any such grant.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6.4</w:t>
      </w:r>
    </w:p>
    <w:p>
      <w:pPr>
        <w:pStyle w:val="TextBody"/>
        <w:bidi w:val="0"/>
        <w:jc w:val="both"/>
        <w:rPr/>
      </w:pPr>
      <w:r>
        <w:rPr>
          <w:rFonts w:ascii="Times New Roman" w:hAnsi="Times New Roman"/>
          <w:b/>
          <w:color w:val="000000"/>
          <w:sz w:val="22"/>
        </w:rPr>
        <w:t>No Implied License; Retention of Rights</w:t>
      </w:r>
      <w:r>
        <w:rPr>
          <w:rFonts w:ascii="Times New Roman" w:hAnsi="Times New Roman"/>
          <w:color w:val="000000"/>
          <w:sz w:val="22"/>
        </w:rPr>
        <w:t>. Except as expressly provided herein, nothing in this Agreement grants either Party or vests in either Party any right, title or interest in and to the Know-How, Patent Rights, Confidential Information, Trademarks or other intellectual property of the other Party (either expressly or by implication, estoppel or otherwise), other than the license rights expressly granted hereunder and the assignments expressly made hereunder. Neither Party will practice or otherwise exploit the Know-How, Patent Rights, Confidential Information, Trademarks or other intellectual property of the other Party outside the scope of the license rights expressly granted hereunder and the assignments expressly made hereunder. Without limiting the foregoing, nothing in this Agreement shall be deemed to grant (a) Alnylam any license or right to access the Tenaya Platform Technology or to otherwise use the Tenaya Platform Technology for any purpose whatsoever or (b) Tenaya any license or right of access to Alnylam Gene Targets, Confidential Information of Alnylam, or Alnylam Collaboration Technology other than as expressly set forth in this Agreement.</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b/>
          <w:color w:val="000000"/>
          <w:sz w:val="22"/>
        </w:rPr>
        <w:t>Bankruptcy</w:t>
      </w:r>
      <w:r>
        <w:rPr>
          <w:rFonts w:ascii="Times New Roman" w:hAnsi="Times New Roman"/>
          <w:color w:val="000000"/>
          <w:sz w:val="22"/>
        </w:rPr>
        <w:t xml:space="preserve">. If this Agreement is rejected by a Party as a debtor under Section 365 of the United States Bankruptcy Code (or similar provision in the bankruptcy laws of another jurisdiction), then, notwithstanding anything else in this Agreement to the contrary, all licenses and rights to licenses granted under or pursuant to this Agreement by the Party in bankruptcy to the other Party are, and will otherwise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 deemed to be, for purposes of Section 365(n) of the United States Bankruptcy Code (or similar provision in the bankruptcy laws of the jurisdiction), licenses of rights to "intellectual property" as defined under Section 101(35A) of the United States Bankruptcy Code (or similar provision in the bankruptcy laws of the jurisdiction).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6.6</w:t>
      </w:r>
    </w:p>
    <w:p>
      <w:pPr>
        <w:pStyle w:val="TextBody"/>
        <w:bidi w:val="0"/>
        <w:jc w:val="both"/>
        <w:rPr/>
      </w:pPr>
      <w:r>
        <w:rPr>
          <w:rFonts w:ascii="Times New Roman" w:hAnsi="Times New Roman"/>
          <w:b/>
          <w:color w:val="000000"/>
          <w:sz w:val="22"/>
        </w:rPr>
        <w:t>Exclusivity</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6.6.1</w:t>
      </w:r>
    </w:p>
    <w:p>
      <w:pPr>
        <w:pStyle w:val="TextBody"/>
        <w:bidi w:val="0"/>
        <w:jc w:val="both"/>
        <w:rPr>
          <w:rFonts w:ascii="Times New Roman" w:hAnsi="Times New Roman"/>
          <w:color w:val="000000"/>
          <w:sz w:val="22"/>
        </w:rPr>
      </w:pPr>
      <w:r>
        <w:rPr>
          <w:rFonts w:ascii="Times New Roman" w:hAnsi="Times New Roman"/>
          <w:color w:val="000000"/>
          <w:sz w:val="22"/>
        </w:rPr>
        <w:t>During the Term, on a Non-Alnylam Collaboration Target-by-Non-Alnylam Collaboration Target basis, except in connection with the conduct of activities under the Research Plan, Tenaya shall not, itself or with any Third Party, conduct any research or Development activities with respect to (a) such Non-Alnylam Collaboration Target or (b) any therapeutic product designed to be Directed To such Non-Alnylam Collaboration Target, in each case for so long as such Non-Alnylam Collaboration Target remains a Collaboration Target.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6.6.2</w:t>
      </w:r>
    </w:p>
    <w:p>
      <w:pPr>
        <w:pStyle w:val="TextBody"/>
        <w:bidi w:val="0"/>
        <w:jc w:val="both"/>
        <w:rPr>
          <w:rFonts w:ascii="Times New Roman" w:hAnsi="Times New Roman"/>
          <w:color w:val="000000"/>
          <w:sz w:val="22"/>
        </w:rPr>
      </w:pPr>
      <w:r>
        <w:rPr>
          <w:rFonts w:ascii="Times New Roman" w:hAnsi="Times New Roman"/>
          <w:color w:val="000000"/>
          <w:sz w:val="22"/>
        </w:rPr>
        <w:t>If there is a Change of Control of Tenaya, the obligations of Section 6.6.1 will not preclude the Acquirer or any of its Affiliates (other than Tenaya or any Person that was an Affiliate of Tenaya prior to such Change of Control or any successor entity to Tenaya or any such Affiliates of Tenaya) from exploiting any program, compound or product of the Acquirer; provided that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b/>
          <w:color w:val="000000"/>
          <w:sz w:val="22"/>
        </w:rPr>
        <w:t>FINANCIAL TERMS</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7.1</w:t>
      </w:r>
    </w:p>
    <w:p>
      <w:pPr>
        <w:pStyle w:val="TextBody"/>
        <w:bidi w:val="0"/>
        <w:jc w:val="both"/>
        <w:rPr/>
      </w:pPr>
      <w:r>
        <w:rPr>
          <w:rFonts w:ascii="Times New Roman" w:hAnsi="Times New Roman"/>
          <w:b/>
          <w:color w:val="000000"/>
          <w:sz w:val="22"/>
        </w:rPr>
        <w:t>Platform Access Fee</w:t>
      </w:r>
      <w:r>
        <w:rPr>
          <w:rFonts w:ascii="Times New Roman" w:hAnsi="Times New Roman"/>
          <w:color w:val="000000"/>
          <w:sz w:val="22"/>
        </w:rPr>
        <w:t>. As partial consideration for the licenses and other rights granted by Tenaya to Alnylam under this Agreement, Alnylam will pay to Tenaya a one-time, non-creditable, non-refundable technology access fee of the amount calculated as follows: Ten Million Dollars ($10,000,000) minus any $500,000 reduction(s), if any, pursuant to Section 3.2.4 for Rejected Gene Targets (such calculated amount, the “</w:t>
      </w:r>
      <w:r>
        <w:rPr>
          <w:rFonts w:ascii="Times New Roman" w:hAnsi="Times New Roman"/>
          <w:b/>
          <w:color w:val="000000"/>
          <w:sz w:val="22"/>
        </w:rPr>
        <w:t>Platform Access Fee</w:t>
      </w:r>
      <w:r>
        <w:rPr>
          <w:color w:val="000000"/>
        </w:rPr>
        <w:t>”</w:t>
      </w:r>
      <w:r>
        <w:rPr>
          <w:rFonts w:ascii="Times New Roman" w:hAnsi="Times New Roman"/>
          <w:color w:val="000000"/>
          <w:sz w:val="22"/>
        </w:rPr>
        <w:t>). Tenaya will send Alnylam an invoice for the Platform Access Fee on or after the Collaboration Target List Finalization Date and Alnylam will pay such amount within thirty (30) days after Alnylam’s receipt of such invoice.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7.2</w:t>
      </w:r>
    </w:p>
    <w:p>
      <w:pPr>
        <w:pStyle w:val="TextBody"/>
        <w:bidi w:val="0"/>
        <w:jc w:val="both"/>
        <w:rPr/>
      </w:pPr>
      <w:r>
        <w:rPr>
          <w:rFonts w:ascii="Times New Roman" w:hAnsi="Times New Roman"/>
          <w:b/>
          <w:color w:val="000000"/>
          <w:sz w:val="22"/>
        </w:rPr>
        <w:t>Development and Regulatory Milestone Payments</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7.2.1</w:t>
      </w:r>
    </w:p>
    <w:p>
      <w:pPr>
        <w:pStyle w:val="TextBody"/>
        <w:bidi w:val="0"/>
        <w:jc w:val="both"/>
        <w:rPr/>
      </w:pPr>
      <w:r>
        <w:rPr>
          <w:rFonts w:ascii="Times New Roman" w:hAnsi="Times New Roman"/>
          <w:b/>
          <w:color w:val="000000"/>
          <w:sz w:val="22"/>
        </w:rPr>
        <w:t>Development and Regulatory Milestone Events</w:t>
      </w:r>
      <w:r>
        <w:rPr>
          <w:rFonts w:ascii="Times New Roman" w:hAnsi="Times New Roman"/>
          <w:color w:val="000000"/>
          <w:sz w:val="22"/>
        </w:rPr>
        <w:t>. Subject to the terms of this Section 7.2, Alnylam will notify Tenaya promptly (but in all cases within [***]) following the first achievement by Alnylam or its Affiliate or Sublicensee of each milestone event described below in this Section 7.2.1 (each, a “</w:t>
      </w:r>
      <w:r>
        <w:rPr>
          <w:rFonts w:ascii="Times New Roman" w:hAnsi="Times New Roman"/>
          <w:b/>
          <w:color w:val="000000"/>
          <w:sz w:val="22"/>
        </w:rPr>
        <w:t>Development and Regulatory Milestone</w:t>
      </w:r>
      <w:r>
        <w:rPr>
          <w:color w:val="000000"/>
        </w:rPr>
        <w:t>”</w:t>
      </w:r>
      <w:r>
        <w:rPr>
          <w:rFonts w:ascii="Times New Roman" w:hAnsi="Times New Roman"/>
          <w:color w:val="000000"/>
          <w:sz w:val="22"/>
        </w:rPr>
        <w:t>) with respect to, on a Non-Alnylam Collaboration Target-by-Non-Alnylam Collaboration Target basis, the first Licensed Product that: (a) is Directed To any Tenaya Gene Target, Overlapping Gene Target, or Selected Non-Novel Gene Target, as applicable, and (b) is being studied or has Regulatory Approval for a Primary Cardiovascular Indication, to achieve such milestone event, and shall pay Tenaya the corresponding non-creditable, non-refundable milestone payment:</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4123"/>
        <w:gridCol w:w="2923"/>
        <w:gridCol w:w="2918"/>
      </w:tblGrid>
      <w:tr>
        <w:trPr/>
        <w:tc>
          <w:tcPr>
            <w:tcW w:w="241" w:type="dxa"/>
            <w:tcBorders/>
            <w:vAlign w:val="center"/>
          </w:tcPr>
          <w:p>
            <w:pPr>
              <w:pStyle w:val="TableContents"/>
              <w:bidi w:val="0"/>
              <w:spacing w:before="0" w:after="283"/>
              <w:jc w:val="left"/>
              <w:rPr>
                <w:sz w:val="4"/>
                <w:szCs w:val="4"/>
              </w:rPr>
            </w:pPr>
            <w:r>
              <w:rPr>
                <w:sz w:val="4"/>
                <w:szCs w:val="4"/>
              </w:rPr>
            </w:r>
          </w:p>
        </w:tc>
        <w:tc>
          <w:tcPr>
            <w:tcW w:w="412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both"/>
              <w:rPr/>
            </w:pPr>
            <w:r>
              <w:rPr/>
              <w:t> </w:t>
            </w:r>
          </w:p>
        </w:tc>
        <w:tc>
          <w:tcPr>
            <w:tcW w:w="41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pPr>
            <w:r>
              <w:rPr/>
              <w:t> </w:t>
            </w:r>
          </w:p>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Development and Regulatory Milestone Event</w:t>
            </w:r>
          </w:p>
        </w:tc>
        <w:tc>
          <w:tcPr>
            <w:tcW w:w="29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sz w:val="22"/>
              </w:rPr>
            </w:pPr>
            <w:r>
              <w:rPr>
                <w:rFonts w:ascii="Times New Roman" w:hAnsi="Times New Roman"/>
                <w:b/>
                <w:color w:val="000000"/>
                <w:sz w:val="22"/>
              </w:rPr>
              <w:t xml:space="preserve">First Product Directed To </w:t>
            </w:r>
            <w:r>
              <w:rPr>
                <w:rFonts w:ascii="Times New Roman" w:hAnsi="Times New Roman"/>
                <w:color w:val="000000"/>
                <w:sz w:val="22"/>
              </w:rPr>
              <w:t xml:space="preserve">[***] </w:t>
            </w:r>
          </w:p>
        </w:tc>
        <w:tc>
          <w:tcPr>
            <w:tcW w:w="291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sz w:val="22"/>
              </w:rPr>
            </w:pPr>
            <w:r>
              <w:rPr>
                <w:rFonts w:ascii="Times New Roman" w:hAnsi="Times New Roman"/>
                <w:b/>
                <w:color w:val="000000"/>
                <w:sz w:val="22"/>
              </w:rPr>
              <w:t xml:space="preserve">First Product Directed To </w:t>
            </w: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1</w:t>
            </w:r>
          </w:p>
        </w:tc>
        <w:tc>
          <w:tcPr>
            <w:tcW w:w="41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c>
          <w:tcPr>
            <w:tcW w:w="2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9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2</w:t>
            </w:r>
          </w:p>
        </w:tc>
        <w:tc>
          <w:tcPr>
            <w:tcW w:w="41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c>
          <w:tcPr>
            <w:tcW w:w="2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9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3</w:t>
            </w:r>
          </w:p>
        </w:tc>
        <w:tc>
          <w:tcPr>
            <w:tcW w:w="41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c>
          <w:tcPr>
            <w:tcW w:w="2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9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4</w:t>
            </w:r>
          </w:p>
        </w:tc>
        <w:tc>
          <w:tcPr>
            <w:tcW w:w="41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c>
          <w:tcPr>
            <w:tcW w:w="2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9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5</w:t>
            </w:r>
          </w:p>
        </w:tc>
        <w:tc>
          <w:tcPr>
            <w:tcW w:w="41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c>
          <w:tcPr>
            <w:tcW w:w="2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9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6</w:t>
            </w:r>
          </w:p>
        </w:tc>
        <w:tc>
          <w:tcPr>
            <w:tcW w:w="41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c>
          <w:tcPr>
            <w:tcW w:w="2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9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7.2.2</w:t>
      </w:r>
    </w:p>
    <w:p>
      <w:pPr>
        <w:pStyle w:val="TextBody"/>
        <w:bidi w:val="0"/>
        <w:jc w:val="both"/>
        <w:rPr/>
      </w:pPr>
      <w:r>
        <w:rPr>
          <w:rFonts w:ascii="Times New Roman" w:hAnsi="Times New Roman"/>
          <w:b/>
          <w:color w:val="000000"/>
          <w:sz w:val="22"/>
        </w:rPr>
        <w:t>Maximum Development and Regulatory Milestone Payments</w:t>
      </w:r>
      <w:r>
        <w:rPr>
          <w:rFonts w:ascii="Times New Roman" w:hAnsi="Times New Roman"/>
          <w:color w:val="000000"/>
          <w:sz w:val="22"/>
        </w:rPr>
        <w:t>. In no event will the aggregate Development and Regulatory Milestone payments pursuant to Section 7.2.1 exceed: (a) with respect to each [***], [***], (b) with respect to each [***], [***], or (c) with respect to each [***], [***], in each case ((a) through (c)) irrespective of the number of Licensed Products that achieve such Development and Regulatory Milestone. For example, [***]. For clarity, no Development and Regulatory Milestone payments will be due to Tenaya for any Product Directed To an Alnylam Gene Target.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7.2.3</w:t>
      </w:r>
    </w:p>
    <w:p>
      <w:pPr>
        <w:pStyle w:val="TextBody"/>
        <w:bidi w:val="0"/>
        <w:jc w:val="both"/>
        <w:rPr/>
      </w:pPr>
      <w:r>
        <w:rPr>
          <w:rFonts w:ascii="Times New Roman" w:hAnsi="Times New Roman"/>
          <w:b/>
          <w:color w:val="000000"/>
          <w:sz w:val="22"/>
        </w:rPr>
        <w:t>Development and Regulatory Milestone Payment Reduction</w:t>
      </w:r>
      <w:r>
        <w:rPr>
          <w:rFonts w:ascii="Times New Roman" w:hAnsi="Times New Roman"/>
          <w:color w:val="000000"/>
          <w:sz w:val="22"/>
        </w:rPr>
        <w:t>.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7.3</w:t>
      </w:r>
    </w:p>
    <w:p>
      <w:pPr>
        <w:pStyle w:val="TextBody"/>
        <w:bidi w:val="0"/>
        <w:jc w:val="left"/>
        <w:rPr/>
      </w:pPr>
      <w:r>
        <w:rPr>
          <w:rFonts w:ascii="Times New Roman" w:hAnsi="Times New Roman"/>
          <w:b/>
          <w:color w:val="000000"/>
          <w:sz w:val="22"/>
        </w:rPr>
        <w:t>Sales Milestones</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7.3.1</w:t>
      </w:r>
    </w:p>
    <w:p>
      <w:pPr>
        <w:pStyle w:val="TextBody"/>
        <w:bidi w:val="0"/>
        <w:jc w:val="both"/>
        <w:rPr/>
      </w:pPr>
      <w:r>
        <w:rPr>
          <w:rFonts w:ascii="Times New Roman" w:hAnsi="Times New Roman"/>
          <w:b/>
          <w:color w:val="000000"/>
          <w:sz w:val="22"/>
        </w:rPr>
        <w:t>Sales Milestone Events</w:t>
      </w:r>
      <w:r>
        <w:rPr>
          <w:rFonts w:ascii="Times New Roman" w:hAnsi="Times New Roman"/>
          <w:color w:val="000000"/>
          <w:sz w:val="22"/>
        </w:rPr>
        <w:t>. Subject to the terms of this Section 7.3, Alnylam will notify Tenaya promptly (but in all cases within [***] after the Calendar Quarter during which the applicable milestone event is achieved) following the first achievement by a Selling Party of each milestone event described below in this Section 7.3.1 (each, a “</w:t>
      </w:r>
      <w:r>
        <w:rPr>
          <w:rFonts w:ascii="Times New Roman" w:hAnsi="Times New Roman"/>
          <w:b/>
          <w:color w:val="000000"/>
          <w:sz w:val="22"/>
        </w:rPr>
        <w:t>Sales Milestone</w:t>
      </w:r>
      <w:r>
        <w:rPr>
          <w:color w:val="000000"/>
        </w:rPr>
        <w:t>”</w:t>
      </w:r>
      <w:r>
        <w:rPr>
          <w:rFonts w:ascii="Times New Roman" w:hAnsi="Times New Roman"/>
          <w:color w:val="000000"/>
          <w:sz w:val="22"/>
        </w:rPr>
        <w:t>) with respect to, on a Non-Alnylam Collaboration Target-by-Non-Alnylam Collaboration Target basis, aggregate Net Sales of all Licensed Products Directed To such Tenaya Gene Target, Overlapping Gene Target, or Selected Non-Novel Gene Target, as applicable, that has Regulatory Approval for a Primary Cardiovascular Indication, to achieve such milestone event, and shall pay Tenaya the corresponding non-creditable, non-refundable milestone payment:</w:t>
      </w:r>
    </w:p>
    <w:p>
      <w:pPr>
        <w:pStyle w:val="TextBody"/>
        <w:bidi w:val="0"/>
        <w:spacing w:before="0" w:after="240"/>
        <w:jc w:val="both"/>
        <w:rPr/>
      </w:pPr>
      <w:r>
        <w:rPr/>
        <w:t> </w:t>
      </w:r>
    </w:p>
    <w:tbl>
      <w:tblPr>
        <w:tblW w:w="10205" w:type="dxa"/>
        <w:jc w:val="left"/>
        <w:tblInd w:w="0" w:type="dxa"/>
        <w:tblLayout w:type="fixed"/>
        <w:tblCellMar>
          <w:top w:w="28" w:type="dxa"/>
          <w:left w:w="28" w:type="dxa"/>
          <w:bottom w:w="28" w:type="dxa"/>
          <w:right w:w="28" w:type="dxa"/>
        </w:tblCellMar>
      </w:tblPr>
      <w:tblGrid>
        <w:gridCol w:w="241"/>
        <w:gridCol w:w="5925"/>
        <w:gridCol w:w="1996"/>
        <w:gridCol w:w="2043"/>
      </w:tblGrid>
      <w:tr>
        <w:trPr/>
        <w:tc>
          <w:tcPr>
            <w:tcW w:w="241" w:type="dxa"/>
            <w:tcBorders/>
            <w:vAlign w:val="center"/>
          </w:tcPr>
          <w:p>
            <w:pPr>
              <w:pStyle w:val="TableContents"/>
              <w:bidi w:val="0"/>
              <w:spacing w:before="0" w:after="283"/>
              <w:jc w:val="left"/>
              <w:rPr>
                <w:sz w:val="4"/>
                <w:szCs w:val="4"/>
              </w:rPr>
            </w:pPr>
            <w:r>
              <w:rPr>
                <w:sz w:val="4"/>
                <w:szCs w:val="4"/>
              </w:rPr>
            </w:r>
          </w:p>
        </w:tc>
        <w:tc>
          <w:tcPr>
            <w:tcW w:w="592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left"/>
              <w:rPr/>
            </w:pPr>
            <w:r>
              <w:rPr/>
              <w:t> </w:t>
            </w:r>
          </w:p>
        </w:tc>
        <w:tc>
          <w:tcPr>
            <w:tcW w:w="592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pPr>
            <w:r>
              <w:rPr/>
              <w:t> </w:t>
            </w:r>
          </w:p>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Sales Milestone Event</w:t>
            </w:r>
          </w:p>
        </w:tc>
        <w:tc>
          <w:tcPr>
            <w:tcW w:w="19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left"/>
              <w:rPr>
                <w:rFonts w:ascii="Times New Roman" w:hAnsi="Times New Roman"/>
                <w:sz w:val="22"/>
              </w:rPr>
            </w:pPr>
            <w:r>
              <w:rPr>
                <w:rFonts w:ascii="Times New Roman" w:hAnsi="Times New Roman"/>
                <w:b/>
                <w:color w:val="000000"/>
                <w:sz w:val="22"/>
              </w:rPr>
              <w:t xml:space="preserve">Licensed Products Directed To </w:t>
            </w:r>
            <w:r>
              <w:rPr>
                <w:rFonts w:ascii="Times New Roman" w:hAnsi="Times New Roman"/>
                <w:color w:val="000000"/>
                <w:sz w:val="22"/>
              </w:rPr>
              <w:t>[***]</w:t>
            </w:r>
          </w:p>
        </w:tc>
        <w:tc>
          <w:tcPr>
            <w:tcW w:w="204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left"/>
              <w:rPr>
                <w:rFonts w:ascii="Times New Roman" w:hAnsi="Times New Roman"/>
                <w:sz w:val="22"/>
              </w:rPr>
            </w:pPr>
            <w:r>
              <w:rPr>
                <w:rFonts w:ascii="Times New Roman" w:hAnsi="Times New Roman"/>
                <w:b/>
                <w:color w:val="000000"/>
                <w:sz w:val="22"/>
              </w:rPr>
              <w:t xml:space="preserve">Licensed Products Directed To </w:t>
            </w: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1</w:t>
            </w:r>
          </w:p>
        </w:tc>
        <w:tc>
          <w:tcPr>
            <w:tcW w:w="59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Aggregate Net Sales of all Licensed Products Directed To a given Non-Alnylam Collaboration Target in the Territory in a Calendar Year [***]</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0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2</w:t>
            </w:r>
          </w:p>
        </w:tc>
        <w:tc>
          <w:tcPr>
            <w:tcW w:w="59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Aggregate Net Sales of all Licensed Products Directed To a given Non-Alnylam Collaboration Target in the Territory in a Calendar Year [***]</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20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bl>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8976"/>
        <w:gridCol w:w="471"/>
        <w:gridCol w:w="517"/>
      </w:tblGrid>
      <w:tr>
        <w:trPr/>
        <w:tc>
          <w:tcPr>
            <w:tcW w:w="241" w:type="dxa"/>
            <w:tcBorders/>
            <w:vAlign w:val="center"/>
          </w:tcPr>
          <w:p>
            <w:pPr>
              <w:pStyle w:val="TableContents"/>
              <w:bidi w:val="0"/>
              <w:spacing w:before="0" w:after="283"/>
              <w:jc w:val="left"/>
              <w:rPr>
                <w:sz w:val="4"/>
                <w:szCs w:val="4"/>
              </w:rPr>
            </w:pPr>
            <w:r>
              <w:rPr>
                <w:sz w:val="4"/>
                <w:szCs w:val="4"/>
              </w:rPr>
            </w:r>
          </w:p>
        </w:tc>
        <w:tc>
          <w:tcPr>
            <w:tcW w:w="89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3</w:t>
            </w:r>
          </w:p>
        </w:tc>
        <w:tc>
          <w:tcPr>
            <w:tcW w:w="8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Aggregate Net Sales of all Licensed Products Directed To a given Non-Alnylam Collaboration Target in the Territory in a Calendar Year [***]</w:t>
            </w:r>
          </w:p>
        </w:tc>
        <w:tc>
          <w:tcPr>
            <w:tcW w:w="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5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4</w:t>
            </w:r>
          </w:p>
        </w:tc>
        <w:tc>
          <w:tcPr>
            <w:tcW w:w="8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Aggregate Net Sales of all Licensed Products Directed To a given Non-Alnylam Collaboration Target in the Territory in a Calendar Year [***]</w:t>
            </w:r>
          </w:p>
        </w:tc>
        <w:tc>
          <w:tcPr>
            <w:tcW w:w="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c>
          <w:tcPr>
            <w:tcW w:w="5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7.3.2</w:t>
      </w:r>
    </w:p>
    <w:p>
      <w:pPr>
        <w:pStyle w:val="TextBody"/>
        <w:bidi w:val="0"/>
        <w:jc w:val="both"/>
        <w:rPr/>
      </w:pPr>
      <w:r>
        <w:rPr>
          <w:rFonts w:ascii="Times New Roman" w:hAnsi="Times New Roman"/>
          <w:b/>
          <w:color w:val="000000"/>
          <w:sz w:val="22"/>
        </w:rPr>
        <w:t>Maximum Sales Milestone Payments</w:t>
      </w:r>
      <w:r>
        <w:rPr>
          <w:rFonts w:ascii="Times New Roman" w:hAnsi="Times New Roman"/>
          <w:color w:val="000000"/>
          <w:sz w:val="22"/>
        </w:rPr>
        <w:t>. In no event will the aggregate Sales Milestone payments pursuant to Section 7.3.1 exceed: (a) with respect to each [***], [***], (b) with respect to each [***], [***], or (c) with respect to each [***], [***], in each case ((a) through (c)) irrespective of the number of times achieved. For example, [***]. For clarity, no Sales Milestone payments will be due to Tenaya for any Product Directed To an Alnylam Gene Target. If more than one (1) Sales Milestone is first achieved in a given Calendar Year, Alnylam shall pay to Tenaya the applicable milestone payments for each such Sales Milestone.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7.3.3</w:t>
      </w:r>
    </w:p>
    <w:p>
      <w:pPr>
        <w:pStyle w:val="TextBody"/>
        <w:bidi w:val="0"/>
        <w:jc w:val="both"/>
        <w:rPr/>
      </w:pPr>
      <w:r>
        <w:rPr>
          <w:rFonts w:ascii="Times New Roman" w:hAnsi="Times New Roman"/>
          <w:b/>
          <w:color w:val="000000"/>
          <w:sz w:val="22"/>
        </w:rPr>
        <w:t>Sales Milestone Payment Reduction</w:t>
      </w:r>
      <w:r>
        <w:rPr>
          <w:rFonts w:ascii="Times New Roman" w:hAnsi="Times New Roman"/>
          <w:color w:val="000000"/>
          <w:sz w:val="22"/>
        </w:rPr>
        <w: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7.4</w:t>
      </w:r>
    </w:p>
    <w:p>
      <w:pPr>
        <w:pStyle w:val="TextBody"/>
        <w:bidi w:val="0"/>
        <w:jc w:val="both"/>
        <w:rPr/>
      </w:pPr>
      <w:r>
        <w:rPr>
          <w:rFonts w:ascii="Times New Roman" w:hAnsi="Times New Roman"/>
          <w:b/>
          <w:color w:val="000000"/>
          <w:sz w:val="22"/>
        </w:rPr>
        <w:t>Payment Method and Currency</w:t>
      </w:r>
      <w:r>
        <w:rPr>
          <w:rFonts w:ascii="Times New Roman" w:hAnsi="Times New Roman"/>
          <w:color w:val="000000"/>
          <w:sz w:val="22"/>
        </w:rPr>
        <w:t xml:space="preserve">. All payments under this Agreement will be made in immediately available funds to an account designated by Tenaya. All sums due under this Agreement will be payable in Dollars. Upon the notice by Alnylam of the achievement of any Development and Regulatory Milestone or Sales Milestone, Tenaya will send Alnylam an invoice for the amount due and Alnylam will pay such amount within [***] after Alnylam’s receipt of such invoice.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7.5</w:t>
      </w:r>
    </w:p>
    <w:p>
      <w:pPr>
        <w:pStyle w:val="TextBody"/>
        <w:bidi w:val="0"/>
        <w:jc w:val="both"/>
        <w:rPr/>
      </w:pPr>
      <w:r>
        <w:rPr>
          <w:rFonts w:ascii="Times New Roman" w:hAnsi="Times New Roman"/>
          <w:b/>
          <w:color w:val="000000"/>
          <w:sz w:val="22"/>
        </w:rPr>
        <w:t>Taxes</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7.5.1</w:t>
      </w:r>
    </w:p>
    <w:p>
      <w:pPr>
        <w:pStyle w:val="TextBody"/>
        <w:bidi w:val="0"/>
        <w:jc w:val="both"/>
        <w:rPr/>
      </w:pPr>
      <w:r>
        <w:rPr>
          <w:rFonts w:ascii="Times New Roman" w:hAnsi="Times New Roman"/>
          <w:b/>
          <w:color w:val="000000"/>
          <w:sz w:val="22"/>
        </w:rPr>
        <w:t>General</w:t>
      </w:r>
      <w:r>
        <w:rPr>
          <w:rFonts w:ascii="Times New Roman" w:hAnsi="Times New Roman"/>
          <w:color w:val="000000"/>
          <w:sz w:val="22"/>
        </w:rPr>
        <w:t>. Each Party will be responsible for all taxes imposed on such Party’s net income, or on net income allocated to such Party under Applicable Law. To the extent one Party pays (pursuant to a legal requirement) taxes imposed on net income of the other Party, the other Party will reimburse the paying Party for any such taxes paid. The amounts payable pursuant to this Agreement will not be reduced on account of any taxes unless required by Applicable Law.</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7.5.2</w:t>
      </w:r>
    </w:p>
    <w:p>
      <w:pPr>
        <w:pStyle w:val="TextBody"/>
        <w:bidi w:val="0"/>
        <w:jc w:val="both"/>
        <w:rPr/>
      </w:pPr>
      <w:r>
        <w:rPr>
          <w:rFonts w:ascii="Times New Roman" w:hAnsi="Times New Roman"/>
          <w:b/>
          <w:color w:val="000000"/>
          <w:sz w:val="22"/>
        </w:rPr>
        <w:t>Indirect taxes</w:t>
      </w:r>
      <w:r>
        <w:rPr>
          <w:rFonts w:ascii="Times New Roman" w:hAnsi="Times New Roman"/>
          <w:color w:val="000000"/>
          <w:sz w:val="22"/>
        </w:rPr>
        <w:t>. It is understood and agreed between the Parties that all amounts to be paid pursuant to this Agreement are exclusive of any value-added tax (“</w:t>
      </w:r>
      <w:r>
        <w:rPr>
          <w:rFonts w:ascii="Times New Roman" w:hAnsi="Times New Roman"/>
          <w:b/>
          <w:color w:val="000000"/>
          <w:sz w:val="22"/>
        </w:rPr>
        <w:t>VAT</w:t>
      </w:r>
      <w:r>
        <w:rPr>
          <w:color w:val="000000"/>
        </w:rPr>
        <w:t>”</w:t>
      </w:r>
      <w:r>
        <w:rPr>
          <w:rFonts w:ascii="Times New Roman" w:hAnsi="Times New Roman"/>
          <w:color w:val="000000"/>
          <w:sz w:val="22"/>
        </w:rPr>
        <w:t>) and other indirect tax (customs duties, sales, use or excise taxes and similar indirect taxes). If any VAT or other indirect tax should apply to the payments by Alnylam under this Agreement, Alnylam shall pay VAT or any other indirect tax at the applicable rate in addition to any such payments following the receipt of a valid VAT or other indirect tax invoice in accordance with local law, issued by Tenaya in respect of those payments. Where such VAT or other indirect tax is incorrectly charged to Alnylam, Tenaya shall either issue a credit invoice or reimburse Alnylam in an amount that equals such incorrectly charged VAT or other indirect tax amount.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7.5.3</w:t>
      </w:r>
    </w:p>
    <w:p>
      <w:pPr>
        <w:pStyle w:val="TextBody"/>
        <w:bidi w:val="0"/>
        <w:spacing w:before="0" w:after="240"/>
        <w:jc w:val="both"/>
        <w:rPr/>
      </w:pPr>
      <w:r>
        <w:rPr>
          <w:rFonts w:ascii="Times New Roman" w:hAnsi="Times New Roman"/>
          <w:b/>
          <w:color w:val="000000"/>
          <w:sz w:val="22"/>
        </w:rPr>
        <w:t>Withholding Taxes</w:t>
      </w:r>
      <w:r>
        <w:rPr>
          <w:rFonts w:ascii="Times New Roman" w:hAnsi="Times New Roman"/>
          <w:color w:val="000000"/>
          <w:sz w:val="22"/>
        </w:rPr>
        <w:t xml:space="preserve">. Tenaya will bear any and all withholding taxes levied on Tenaya on account of all payments it receives under this Agreement. Alnylam may withhold from payments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due to Tenaya amounts for payment of any withholding tax that is required by Applicable Law to be paid to any taxing authority with respect to such payments. In such case, Alnylam will promptly provide to Tenaya all relevant documents and information relating to such withholding tax, including and to the extent necessary, original receipts or other evidence reasonably desirable and sufficient to allow Tenaya to document such withholding tax for the purposes of reclaiming the withholding taxes or claiming foreign tax credits or similar benefits. The Parties will cooperate with each other in reducing withholding taxes under any double taxation or other similar treaty or agreement from time to time in force and Tenaya will provide Alnylam, as of the date hereof (and at any such time its status changes for purposes hereof or such form expires), any such IRS Form W-9 or W-8 it is eligible to provide to reduce the rate of withholding hereunder. Notwithstanding anything herein to the contrary, to the extent Alnylam fails to withhold pursuant to this Section 7.5.3 in respect of any payment under this Agreement and a taxing authority subsequently asserts that withholding was required, Tenaya will indemnify and hold harmless Alnylam for any such payments Alnylam is required to pay to such taxing authority. All payments hereunder shall be made by Alnylam from an entity resident in the United States. The provisions of this Section 7.5.3 are intended to apply only if any payment under this Agreement becomes subject to withholding taxes in the future. Notwithstanding the foregoing, the Parties acknowledge and agree that if Alnylam (or its Affiliates, successor or assignee) is required to make a payment to Tenaya subject to deduction or withholding of taxes, as described in this Section 7.5.3, and if the obligation to deduct or withhold taxes arises, or if the amount of such taxes required to be deducted or withheld is increased solely as a result of any action taken by Alnylam (or its Affiliates or a successor or assignee), including the assignment or transfer of this Agreement by Alnylam pursuant to Section 13.1 or otherwise, or there is a change, whether by corporate continuance, merger or other means, in the tax residency of Alnylam (each, a “</w:t>
      </w:r>
      <w:r>
        <w:rPr>
          <w:rFonts w:ascii="Times New Roman" w:hAnsi="Times New Roman"/>
          <w:b/>
          <w:color w:val="000000"/>
          <w:sz w:val="22"/>
        </w:rPr>
        <w:t>Withholding Tax Action</w:t>
      </w:r>
      <w:r>
        <w:rPr>
          <w:color w:val="000000"/>
        </w:rPr>
        <w:t>”</w:t>
      </w:r>
      <w:r>
        <w:rPr>
          <w:rFonts w:ascii="Times New Roman" w:hAnsi="Times New Roman"/>
          <w:color w:val="000000"/>
          <w:sz w:val="22"/>
        </w:rPr>
        <w:t>), then notwithstanding anything to the contrary herein, if Alnylam (or its Affiliates, successor or assignee) is required to deduct or withhold taxes from any payment to Tenaya as a result of a Withholding Tax Action, Alnylam shall increase the amount of such payment only to the extent necessary to ensure that Tenaya receives the same net amount that it would have received without such Withholding Tax Action, provided that such increase shall apply solely to the extent that such withholding taxes constitute a final, non</w:t>
        <w:noBreakHyphen/>
        <w:t>creditable and non</w:t>
        <w:noBreakHyphen/>
        <w:t>refundable tax cost to Tenaya.</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7.6</w:t>
      </w:r>
    </w:p>
    <w:p>
      <w:pPr>
        <w:pStyle w:val="TextBody"/>
        <w:bidi w:val="0"/>
        <w:jc w:val="both"/>
        <w:rPr/>
      </w:pPr>
      <w:r>
        <w:rPr>
          <w:rFonts w:ascii="Times New Roman" w:hAnsi="Times New Roman"/>
          <w:b/>
          <w:color w:val="000000"/>
          <w:sz w:val="22"/>
        </w:rPr>
        <w:t>Resolution of Payment Disputes</w:t>
      </w:r>
      <w:r>
        <w:rPr>
          <w:rFonts w:ascii="Times New Roman" w:hAnsi="Times New Roman"/>
          <w:color w:val="000000"/>
          <w:sz w:val="22"/>
        </w:rPr>
        <w:t>. In the event there is a dispute relating to any payment obligations or reports hereunder, the Party with the dispute will provide the other Party with written notice setting forth in reasonable detail the nature and factual basis for such good faith dispute and the Parties will seek to resolve the dispute as promptly as possible, but no later than [***] after such written notice is received. If the Parties are unable to resolve such payment dispute within such period then the matter will be resolved pursuant to Section 13.12. The Parties agree that if there is a dispute regarding any payment amount, only the disputed amount will be withheld from the payment, and the undisputed amount will be paid within the applicable timeframes.</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7.7</w:t>
      </w:r>
    </w:p>
    <w:p>
      <w:pPr>
        <w:pStyle w:val="TextBody"/>
        <w:bidi w:val="0"/>
        <w:jc w:val="both"/>
        <w:rPr/>
      </w:pPr>
      <w:r>
        <w:rPr>
          <w:rFonts w:ascii="Times New Roman" w:hAnsi="Times New Roman"/>
          <w:b/>
          <w:color w:val="000000"/>
          <w:sz w:val="22"/>
        </w:rPr>
        <w:t>Late Payments</w:t>
      </w:r>
      <w:r>
        <w:rPr>
          <w:rFonts w:ascii="Times New Roman" w:hAnsi="Times New Roman"/>
          <w:color w:val="000000"/>
          <w:sz w:val="22"/>
        </w:rPr>
        <w:t>.</w:t>
      </w:r>
      <w:r>
        <w:rPr>
          <w:color w:val="000000"/>
        </w:rPr>
        <w:t xml:space="preserve"> </w:t>
      </w:r>
      <w:r>
        <w:rPr>
          <w:rFonts w:ascii="Times New Roman" w:hAnsi="Times New Roman"/>
          <w:color w:val="000000"/>
          <w:sz w:val="22"/>
        </w:rPr>
        <w:t>If any payment properly due under this Agreement and not subject to a good faith dispute is not paid when due in accordance with the applicable provisions of this Agreement, the payment shall accrue interest at the rate equal to [***], or the maximum rate allowable by Applicable Law, whichever is less.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7.8</w:t>
      </w:r>
    </w:p>
    <w:p>
      <w:pPr>
        <w:pStyle w:val="TextBody"/>
        <w:bidi w:val="0"/>
        <w:spacing w:before="0" w:after="240"/>
        <w:jc w:val="both"/>
        <w:rPr/>
      </w:pPr>
      <w:r>
        <w:rPr>
          <w:rFonts w:ascii="Times New Roman" w:hAnsi="Times New Roman"/>
          <w:b/>
          <w:color w:val="000000"/>
          <w:sz w:val="22"/>
        </w:rPr>
        <w:t>Record-Keeping; Audits</w:t>
      </w:r>
      <w:r>
        <w:rPr>
          <w:rFonts w:ascii="Times New Roman" w:hAnsi="Times New Roman"/>
          <w:color w:val="000000"/>
          <w:sz w:val="22"/>
        </w:rPr>
        <w:t>. Each Party will keep (and will cause its Affiliates and its Sublicensees to keep) complete and accurate books and records pertaining to (a) in the case of Alnylam, the Net Sales of Licensed Products (the “</w:t>
      </w:r>
      <w:r>
        <w:rPr>
          <w:rFonts w:ascii="Times New Roman" w:hAnsi="Times New Roman"/>
          <w:b/>
          <w:color w:val="000000"/>
          <w:sz w:val="22"/>
        </w:rPr>
        <w:t>Alnylam Records</w:t>
      </w:r>
      <w:r>
        <w:rPr>
          <w:color w:val="000000"/>
        </w:rPr>
        <w:t>”</w:t>
      </w:r>
      <w:r>
        <w:rPr>
          <w:rFonts w:ascii="Times New Roman" w:hAnsi="Times New Roman"/>
          <w:color w:val="000000"/>
          <w:sz w:val="22"/>
        </w:rPr>
        <w:t xml:space="preserve">) and (b) in the case of Tenaya, all FTEs utilized and Out-of-Pocket Costs incurred in connection with the performance of the Tenaya Research Activities and any other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amounts to be reimbursed by Alnylam under this Agreement (the “</w:t>
      </w:r>
      <w:r>
        <w:rPr>
          <w:rFonts w:ascii="Times New Roman" w:hAnsi="Times New Roman"/>
          <w:b/>
          <w:color w:val="000000"/>
          <w:sz w:val="22"/>
        </w:rPr>
        <w:t>Tenaya Records</w:t>
      </w:r>
      <w:r>
        <w:rPr>
          <w:color w:val="000000"/>
        </w:rPr>
        <w:t>”</w:t>
      </w:r>
      <w:r>
        <w:rPr>
          <w:rFonts w:ascii="Times New Roman" w:hAnsi="Times New Roman"/>
          <w:color w:val="000000"/>
          <w:sz w:val="22"/>
        </w:rPr>
        <w:t>), in each case ((a) and (b)), in reasonable detail to permit the other Party to confirm the accuracy of all payments or costs reported. Such records shall be kept for [***] (or such longer period as required by Applicable Law) following the end of the Calendar Quarter to which they pertain. Upon reasonable request, but in any case no less than [***] advance notice by one Party (the “</w:t>
      </w:r>
      <w:r>
        <w:rPr>
          <w:rFonts w:ascii="Times New Roman" w:hAnsi="Times New Roman"/>
          <w:b/>
          <w:color w:val="000000"/>
          <w:sz w:val="22"/>
        </w:rPr>
        <w:t>Auditing Party</w:t>
      </w:r>
      <w:r>
        <w:rPr>
          <w:color w:val="000000"/>
        </w:rPr>
        <w:t>”</w:t>
      </w:r>
      <w:r>
        <w:rPr>
          <w:rFonts w:ascii="Times New Roman" w:hAnsi="Times New Roman"/>
          <w:color w:val="000000"/>
          <w:sz w:val="22"/>
        </w:rPr>
        <w:t>) to the other Party (the “</w:t>
      </w:r>
      <w:r>
        <w:rPr>
          <w:rFonts w:ascii="Times New Roman" w:hAnsi="Times New Roman"/>
          <w:b/>
          <w:color w:val="000000"/>
          <w:sz w:val="22"/>
        </w:rPr>
        <w:t>Audited Party</w:t>
      </w:r>
      <w:r>
        <w:rPr>
          <w:color w:val="000000"/>
        </w:rPr>
        <w:t>”</w:t>
      </w:r>
      <w:r>
        <w:rPr>
          <w:rFonts w:ascii="Times New Roman" w:hAnsi="Times New Roman"/>
          <w:color w:val="000000"/>
          <w:sz w:val="22"/>
        </w:rPr>
        <w:t>) and not more than once in each Calendar Year and once per audited period (in each case, except for cause), the Audited Party and its Affiliates will permit an independent certified public accounting firm of nationally recognized standing in the United States, selected by the Auditing Party and reasonably acceptable to the Audited Party, to have access during normal business hours to such of the records of the Audited Party and its Affiliates and, if applicable, their Sublicensees, as may be reasonably necessary to verify the accuracy of (i) in the case of Alnylam as the Audited Party, the applicable Alnylam Records and the payments amounts owed to Tenaya hereunder, and (ii) in the case of Tenaya as the Audited Party, the Tenaya Records and all FTEs utilized and Out-of-Pocket Costs reported to have been incurred in connection with the performance of the Tenaya Research Activities, for any year ending not more than [***] prior to the date of such request. The accounting firm will enter a confidentiality agreement reasonably acceptable to the Audited Party governing the use and disclosure of the Audited Party’s information disclosed to such firm, and such firm will disclose to the Auditing Party only whether information provided by the Audited Party to the Auditing Party as described in clauses (a) and (b) above was accurate and the specific details concerning any discrepancies, which information will be Confidential Information of the Audited Party. Either Party may refer any disputes with respect to the findings of such accounting firm for resolution in accordance with the dispute resolution procedures set forth in Section 13.12. If either Party is found to have been underpaid any amounts payable to such Party hereunder then such Party will be entitled to recover any undisputed discrepancy, together with interest calculated pursuant to Section 7.7, no later than [***] after delivery to the Parties of the final report of such accounting firm. If either Party is found to have overpaid any amounts payable to the other Party, such Party shall credit the amount of the overpayment against future payments payable to the other Party (and if no further payments are due, shall be refunded by the other Party within [***] of request). The fees charged by such accounting firm will be paid by the Auditing Party; provided that if the audit discloses a net underpayment of amounts owed or overreporting of expenses by the Audited Party of more than [***], then, [***], the Audited Party will pay the reasonable fees and expenses charged by such accounting firm. The Auditing Party will treat all financial information disclosed by its accounting firm pursuant to this Section 7.8 as Confidential Information of the Audited Party for purposes of this Agreement.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b/>
          <w:color w:val="000000"/>
          <w:sz w:val="22"/>
        </w:rPr>
        <w:t>CONFIDENTIALITY AND PUBLICATION</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8.1</w:t>
      </w:r>
    </w:p>
    <w:p>
      <w:pPr>
        <w:pStyle w:val="TextBody"/>
        <w:bidi w:val="0"/>
        <w:jc w:val="both"/>
        <w:rPr/>
      </w:pPr>
      <w:r>
        <w:rPr>
          <w:rFonts w:ascii="Times New Roman" w:hAnsi="Times New Roman"/>
          <w:b/>
          <w:color w:val="000000"/>
          <w:sz w:val="22"/>
        </w:rPr>
        <w:t>Nondisclosure and Non-Use Obligations</w:t>
      </w:r>
      <w:r>
        <w:rPr>
          <w:rFonts w:ascii="Times New Roman" w:hAnsi="Times New Roman"/>
          <w:color w:val="000000"/>
          <w:sz w:val="22"/>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8.1.1</w:t>
      </w:r>
    </w:p>
    <w:p>
      <w:pPr>
        <w:pStyle w:val="TextBody"/>
        <w:bidi w:val="0"/>
        <w:spacing w:before="0" w:after="240"/>
        <w:jc w:val="both"/>
        <w:rPr/>
      </w:pPr>
      <w:r>
        <w:rPr>
          <w:rFonts w:ascii="Times New Roman" w:hAnsi="Times New Roman"/>
          <w:b/>
          <w:color w:val="000000"/>
          <w:sz w:val="22"/>
        </w:rPr>
        <w:t>Confidential Information</w:t>
      </w:r>
      <w:r>
        <w:rPr>
          <w:rFonts w:ascii="Times New Roman" w:hAnsi="Times New Roman"/>
          <w:color w:val="000000"/>
          <w:sz w:val="22"/>
        </w:rPr>
        <w:t>. For purposes of this Agreement, “</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means, with respect to a Party, any and all confidential or proprietary information and data, and all other scientific, pre-clinical, clinical, regulatory, manufacturing, marketing, financial and commercial information or data, including information of Third Parties, whether communicated in writing or orally or by any other method, which is provided by one Party (the “</w:t>
      </w:r>
      <w:r>
        <w:rPr>
          <w:rFonts w:ascii="Times New Roman" w:hAnsi="Times New Roman"/>
          <w:b/>
          <w:color w:val="000000"/>
          <w:sz w:val="22"/>
        </w:rPr>
        <w:t>Disclosing Party</w:t>
      </w:r>
      <w:r>
        <w:rPr>
          <w:color w:val="000000"/>
        </w:rPr>
        <w:t>”</w:t>
      </w:r>
      <w:r>
        <w:rPr>
          <w:rFonts w:ascii="Times New Roman" w:hAnsi="Times New Roman"/>
          <w:color w:val="000000"/>
          <w:sz w:val="22"/>
        </w:rPr>
        <w:t>) to the other Party (the “</w:t>
      </w:r>
      <w:r>
        <w:rPr>
          <w:rFonts w:ascii="Times New Roman" w:hAnsi="Times New Roman"/>
          <w:b/>
          <w:color w:val="000000"/>
          <w:sz w:val="22"/>
        </w:rPr>
        <w:t>Receiving Party</w:t>
      </w:r>
      <w:r>
        <w:rPr>
          <w:color w:val="000000"/>
        </w:rPr>
        <w:t>”</w:t>
      </w:r>
      <w:r>
        <w:rPr>
          <w:rFonts w:ascii="Times New Roman" w:hAnsi="Times New Roman"/>
          <w:color w:val="000000"/>
          <w:sz w:val="22"/>
        </w:rPr>
        <w:t xml:space="preserve">) in connection with this Agreement; provided that (a) [***], will at all times be considered Confidential Information of Alnylam as if Alnylam were the Disclosing Party with respect thereto and there will be no restriction on Alnylam’s use or disclosure of the [***], and (b) [***] will be considered Confidential Information of each Party until the expiration of the Evaluation Term. Upon the expiration of the applicable Evaluation Term, (i) in the event that Alnylam had not commenced an NHP PD Study with respect to a particular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Non-Alnylam Collaboration Target prior to the expiration of the applicable Evaluation Term, the [***] with respect to the applicable Non-Alnylam Collaboration Target will be the Confidential Information of Tenaya and will no longer be the Confidential Information of Alnylam and (ii) in the event that Alnylam has commenced an NHP PD Study with respect to a particular Non-Alnylam Collaboration Target prior to the expiration of the Evaluation Term, the [***] with respect to the applicable Non-Alnylam Collaboration Target will be the Confidential Information of Alnylam and will no longer the Confidential Information of Tenaya; provided that, upon the termination (but not expiration) of the Agreement, such Non-Alnylam Collaboration Target Information disclosed by Tenaya to Alnylam will be the Confidential Information of Tenaya and will no longer be the Confidential Information of Alnylam. Notwithstanding anything to the contrary under this Agreement, Tenaya Platform Technology will be the Confidential Information of Tenaya (and not Alnylam).</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Parties agree that all information disclosed pursuant to the Confidentiality Agreement (x) by Alnylam, shall be deemed to be Confidential Information of Alnylam hereunder and subject to the terms of this Agreement, and (y) by Tenaya, shall be deemed to be the Confidential Information of Tenaya hereunder and subject to the terms of this Agreement.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8.1.2</w:t>
      </w:r>
    </w:p>
    <w:p>
      <w:pPr>
        <w:pStyle w:val="TextBody"/>
        <w:bidi w:val="0"/>
        <w:jc w:val="both"/>
        <w:rPr/>
      </w:pPr>
      <w:r>
        <w:rPr>
          <w:rFonts w:ascii="Times New Roman" w:hAnsi="Times New Roman"/>
          <w:b/>
          <w:color w:val="000000"/>
          <w:sz w:val="22"/>
        </w:rPr>
        <w:t>Obligations</w:t>
      </w:r>
      <w:r>
        <w:rPr>
          <w:rFonts w:ascii="Times New Roman" w:hAnsi="Times New Roman"/>
          <w:color w:val="000000"/>
          <w:sz w:val="22"/>
        </w:rPr>
        <w:t>. At all times during the Term and for a period of [***] following termination or expiration hereof in its entirety, each Receiving Party will, and will cause its officers, directors, employees and agents to, keep confidential and not publish or otherwise disclose to a Third Party and not use, directly or indirectly, for any purpose, any Confidential Information furnished or otherwise made known to it, directly or indirectly, by the Disclosing Party, except to the extent such disclosure or use is expressly permitted by the terms of this Agreement or is necessary or reasonably useful for the performance of, or the exercise of such Party’s rights under, this Agreement. Notwithstanding the foregoing, the confidentiality and non-use obligations under this Section 8.1 with respect to any Confidential Information will not include any information that: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is known by the Receiving Party at the time of its receipt, without an obligation of confidentiality, and not through a prior disclosure by the Disclosing Party, as demonstrated by the Receiving Party’s business records, documentation or other competent proof;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is in the public domain or publicly known by use and/or publication before its receipt from the Disclosing Party (or, with respect to the Association of a Gene Target with the modulation of disease phenotype for a given indication, before identification or discovery of such Association hereunder), or thereafter enters the public domain or becomes publicly known through no fault of the Receiving Party;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is subsequently disclosed to the Receiving Party by a Third Party who may lawfully do so and is not under an obligation of confidentiality to the Disclosing Party; or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(iv)</w:t>
      </w:r>
    </w:p>
    <w:p>
      <w:pPr>
        <w:pStyle w:val="TextBody"/>
        <w:bidi w:val="0"/>
        <w:jc w:val="both"/>
        <w:rPr>
          <w:rFonts w:ascii="Times New Roman" w:hAnsi="Times New Roman"/>
          <w:color w:val="000000"/>
          <w:sz w:val="22"/>
        </w:rPr>
      </w:pPr>
      <w:r>
        <w:rPr>
          <w:rFonts w:ascii="Times New Roman" w:hAnsi="Times New Roman"/>
          <w:color w:val="000000"/>
          <w:sz w:val="22"/>
        </w:rPr>
        <w:t xml:space="preserve">is independently developed by the Receiving Party without use of or reference to the Disclosing Party’s Confidential Information, as demonstrated by the Receiving Party’s business records, documentation or other competent written proof.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Specific aspects or details of Confidential Information will not be deemed to be within the public domain or in the possession of the Receiving Party merely because the Confidential Information 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embraced by more general information in the public domain or in the possession of the Receiving Party. Further, any combination of Confidential Information will not be considered to be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8.1.3</w:t>
      </w:r>
    </w:p>
    <w:p>
      <w:pPr>
        <w:pStyle w:val="TextBody"/>
        <w:bidi w:val="0"/>
        <w:jc w:val="both"/>
        <w:rPr>
          <w:rFonts w:ascii="Times New Roman" w:hAnsi="Times New Roman"/>
          <w:color w:val="000000"/>
          <w:sz w:val="22"/>
        </w:rPr>
      </w:pPr>
      <w:r>
        <w:rPr>
          <w:rFonts w:ascii="Times New Roman" w:hAnsi="Times New Roman"/>
          <w:color w:val="000000"/>
          <w:sz w:val="22"/>
        </w:rPr>
        <w:t>Notwithstanding the obligations of confidentiality and non-use set forth in this Section 8.1, a Receiving Party may provide Confidential Information disclosed to it, and disclose the existence and terms of this Agreement, (i) as may be reasonably required in order to perform its obligations and to exploit its rights under this Agreement, to Affiliates and, with respect to Alnylam, Sublicensees, and its or their employees, directors, agents, consultants, advisors and/or other Third Parties who have a need to know such Confidential Information for the performance of its obligations hereunder (or for such entities to determine their interest in performing such activities) in accordance with this Agreement, in each case who are obligated in writing to keep such Confidential Information confidential on terms no less stringent than those in this Section 8.1; (ii) Regulatory Authorities or other Governmental Authorities in order to obtain marketing approval for Products Directed To a Collaboration Target or prosecute or maintain patents in accordance with this Agreement, or otherwise perform its obligations or exploit its rights under this Agreement; provided, that such Confidential Information will be disclosed only to the extent reasonably necessary to do so; (iii) the extent required by law, including by the rules or regulations of the United States Securities and Exchange Commission or similar regulatory agency in a country other than the United States or of any stock exchange or listing entity; (iv) any bona fide actual or prospective underwriters, investors, lenders, other financing sources, acquirers, collaborators or strategic partners and to consultants and advisors of such parties who have a need to know such Confidential Information, in each case who are obligated in writing to keep such Confidential Information confidential on terms no less stringent than those in this Section 8.1 (except, solely with respect to banks, lenders and other financing sources, the duration of such obligations may be shorter but shall be customary for the type of disclosure, provided that the Receiving Party has used reasonable efforts to negotiate the same duration as this Section 8.1 and in no event shall the duration of such obligations be less than [***]); and (v) the extent necessary for a Party to prosecute and maintain Patent Rights in accordance with Section 11.4 or to make any regulatory submissions and other filings with Governmental Authorities (including Regulatory Authorities) related to the Exploitation of a Product Directed To a Collaboration Target.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 Party is required by a valid order of a court of competent jurisdiction or other supra-national, federal, national, regional, state, provincial or local governmental or regulatory body of competent jurisdiction or, if in the reasonable opinion of the Receiving Party’s legal counsel, such disclosure is otherwise required by Applicable Law to disclose Confidential Information that is subject to the non-disclosure provisions of this Section 8.1 or Section 8.2, such Party will, to the extent permitted by law, promptly inform the other Party of the disclosure that is being sought in order to provide the other Party an opportunity to challenge or limit the disclosure obligations and assist the other Party in such endeavors. Confidential Information that is required to be disclosed in response to such court or governmental order or as required by Applicable Law will remain otherwise subject to the confidentiality and non-use provisions of this Section 8.1 and Section 8.2. If either Party concludes that a copy of this Agreement must be filed with the United States Securities and Exchange Commission or similar regulatory agency in a country other than the United States or any stock exchange or listing entity, such Party will provide the other Party with a copy of this Agreement showing any provisions hereof as to which the Party proposes to request confidential treatment, will provide the other Party with an opportunity to comment on any such proposed redactions and to suggest additional redactions, and will take such Party’s reasonable and timely comments into consideration before filing the Agreement.</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8.2</w:t>
      </w:r>
    </w:p>
    <w:p>
      <w:pPr>
        <w:pStyle w:val="TextBody"/>
        <w:bidi w:val="0"/>
        <w:jc w:val="both"/>
        <w:rPr/>
      </w:pPr>
      <w:r>
        <w:rPr>
          <w:rFonts w:ascii="Times New Roman" w:hAnsi="Times New Roman"/>
          <w:b/>
          <w:color w:val="000000"/>
          <w:sz w:val="22"/>
        </w:rPr>
        <w:t>Publication and Publicity</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8.2.1</w:t>
      </w:r>
    </w:p>
    <w:p>
      <w:pPr>
        <w:pStyle w:val="TextBody"/>
        <w:bidi w:val="0"/>
        <w:jc w:val="both"/>
        <w:rPr/>
      </w:pPr>
      <w:r>
        <w:rPr>
          <w:rFonts w:ascii="Times New Roman" w:hAnsi="Times New Roman"/>
          <w:b/>
          <w:color w:val="000000"/>
          <w:sz w:val="22"/>
        </w:rPr>
        <w:t>Publication</w:t>
      </w:r>
      <w:r>
        <w:rPr>
          <w:rFonts w:ascii="Times New Roman" w:hAnsi="Times New Roman"/>
          <w:color w:val="000000"/>
          <w:sz w:val="22"/>
        </w:rPr>
        <w:t>. As between the Parties, Alnylam will have the sole right, in consultation with Tenaya, to issue and control all publications in scientific journals and make scientific presentations related to the Collaboration Targets, the association between a Collaboration Target and the applicable Primary Cardiovascular Indication and any Products (for clarity, prosecution and maintenance of Patent Rights and the associated publication shall be governed by Section 11.4). In any event, Alnylam will not issue any publications or presentations that disclose any Tenaya Confidential Information or that discuss the Tenaya Platform Technology without Tenaya’s prior written consent. Any publication will include recognition of the contributions of Tenaya according to standard practice for assigning scientific credit, either through authorship or acknowledgement, as may be appropriate. Without limiting the foregoing, for any such publications and presentations that specifically reference any Non-Alnylam Collaboration Target and a Primary Cardiovascular Indication, Alnylam shall: (a) provide Tenaya with a draft of such publication or presentation at least [***] prior to submission to the publisher; (b) remove any Confidential Information of Tenaya, as requested by Tenaya; and (c) if requested by Tenaya, delay the submission for publication of such publication or presentation of such presentation, as applicable, for an additional [***] to seek patent protection with respect to the content relating to the Tenaya Platform Technology of such publication or presentation in accordance with Section 11.4.</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8.2.2</w:t>
      </w:r>
    </w:p>
    <w:p>
      <w:pPr>
        <w:pStyle w:val="TextBody"/>
        <w:bidi w:val="0"/>
        <w:jc w:val="both"/>
        <w:rPr/>
      </w:pPr>
      <w:r>
        <w:rPr>
          <w:rFonts w:ascii="Times New Roman" w:hAnsi="Times New Roman"/>
          <w:b/>
          <w:color w:val="000000"/>
          <w:sz w:val="22"/>
        </w:rPr>
        <w:t>Publicity</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Except as set forth in Section 8.1 and clause (b) below, the terms of this Agreement may not be disclosed by either Party, and no Party will use the name, trademark, trade name or logo of the other Party or its employees in any publicity, news release or disclosure relating to this Agreement or its subject matter, without the prior express written permission of the other Party, except as may be required by law or expressly permitted by the terms of this Agreement.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 xml:space="preserve">On or promptly after the Effective Date, Tenaya will issue a press release announcing the execution of this Agreement in the form attached hereto as </w:t>
      </w:r>
      <w:r>
        <w:rPr>
          <w:rFonts w:ascii="Times New Roman" w:hAnsi="Times New Roman"/>
          <w:b/>
          <w:color w:val="000000"/>
          <w:sz w:val="22"/>
        </w:rPr>
        <w:t>Schedule 8.2.2</w:t>
      </w:r>
      <w:r>
        <w:rPr>
          <w:rFonts w:ascii="Times New Roman" w:hAnsi="Times New Roman"/>
          <w:color w:val="000000"/>
          <w:sz w:val="22"/>
        </w:rPr>
        <w:t>. Except as provided in Sections 8.1 or 8.2, neither Party will issue a press release or public announcement relating to this Agreement without the prior written approval of the other Party, which approval will not be unreasonably withheld, conditioned or delayed, except that a Party may, (i) once a press release or other public statement is approved in writing by both Parties, make subsequent public disclosure of the information contained in such press release or other written statement without the further approval of the other Party, and (ii) issue a press release or public announcement as required, in the reasonable judgment of such Party, by law, including by the rules or regulations of the United States Securities and Exchange Commission or similar regulatory agency in a country other than the United States or of any stock exchange or listing entity.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Alnylam and its Affiliates and Sublicensees may make public announcements or disclosures reasonably necessary or useful to Develop or Commercialize Products Directed To a Collaboration Target in the Field in the Territory, including disclosures necessary to recruit subjects to Clinical Trials and disclosures to advertise, promote and otherwise Commercialize such Products.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b/>
          <w:color w:val="000000"/>
          <w:sz w:val="22"/>
        </w:rPr>
        <w:t>REPRESENTATIONS, WARRANTIES AND COVENANTS</w:t>
      </w:r>
      <w:r>
        <w:rPr>
          <w:rFonts w:ascii="Times New Roman" w:hAnsi="Times New Roman"/>
          <w:color w:val="000000"/>
          <w:sz w:val="22"/>
        </w:rPr>
        <w:t>.</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9.1</w:t>
      </w:r>
    </w:p>
    <w:p>
      <w:pPr>
        <w:pStyle w:val="TextBody"/>
        <w:bidi w:val="0"/>
        <w:jc w:val="both"/>
        <w:rPr/>
      </w:pPr>
      <w:r>
        <w:rPr>
          <w:rFonts w:ascii="Times New Roman" w:hAnsi="Times New Roman"/>
          <w:b/>
          <w:color w:val="000000"/>
          <w:sz w:val="22"/>
        </w:rPr>
        <w:t>Mutual Representations and Warranties</w:t>
      </w:r>
      <w:r>
        <w:rPr>
          <w:rFonts w:ascii="Times New Roman" w:hAnsi="Times New Roman"/>
          <w:color w:val="000000"/>
          <w:sz w:val="22"/>
        </w:rPr>
        <w:t>. Each Party hereby represents and warrants to the other Party that as of the Effective Date: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9.1.1</w:t>
      </w:r>
    </w:p>
    <w:p>
      <w:pPr>
        <w:pStyle w:val="TextBody"/>
        <w:bidi w:val="0"/>
        <w:jc w:val="both"/>
        <w:rPr>
          <w:rFonts w:ascii="Times New Roman" w:hAnsi="Times New Roman"/>
          <w:color w:val="000000"/>
          <w:sz w:val="22"/>
        </w:rPr>
      </w:pPr>
      <w:r>
        <w:rPr>
          <w:rFonts w:ascii="Times New Roman" w:hAnsi="Times New Roman"/>
          <w:color w:val="000000"/>
          <w:sz w:val="22"/>
        </w:rPr>
        <w:t>It is duly organized and validly existing under the laws of its jurisdiction of incorporation or formation, and has full corporate or other power and authority to enter into this Agreement, and to carry out the provisions hereof.</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9.1.2</w:t>
      </w:r>
    </w:p>
    <w:p>
      <w:pPr>
        <w:pStyle w:val="TextBody"/>
        <w:bidi w:val="0"/>
        <w:jc w:val="both"/>
        <w:rPr>
          <w:rFonts w:ascii="Times New Roman" w:hAnsi="Times New Roman"/>
          <w:color w:val="000000"/>
          <w:sz w:val="22"/>
        </w:rPr>
      </w:pPr>
      <w:r>
        <w:rPr>
          <w:rFonts w:ascii="Times New Roman" w:hAnsi="Times New Roman"/>
          <w:color w:val="000000"/>
          <w:sz w:val="22"/>
        </w:rPr>
        <w:t>It is duly authorized to execute and deliver this Agreement, and to perform its obligations hereunder, and the person or persons executing this Agreement on its behalf has been duly authorized to do so by all requisite corporate action.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9.1.3</w:t>
      </w:r>
    </w:p>
    <w:p>
      <w:pPr>
        <w:pStyle w:val="TextBody"/>
        <w:bidi w:val="0"/>
        <w:jc w:val="both"/>
        <w:rPr>
          <w:rFonts w:ascii="Times New Roman" w:hAnsi="Times New Roman"/>
          <w:color w:val="000000"/>
          <w:sz w:val="22"/>
        </w:rPr>
      </w:pPr>
      <w:r>
        <w:rPr>
          <w:rFonts w:ascii="Times New Roman" w:hAnsi="Times New Roman"/>
          <w:color w:val="000000"/>
          <w:sz w:val="22"/>
        </w:rPr>
        <w:t>This Agreement is legally binding upon it and enforceable in accordance with its terms. The execution, delivery and performance of this Agreement by the representing and warranting Party does not conflict with any agreement, instrument or understanding, oral or written, to which it is a party and by which it may be bound, or with its charter or by-laws.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9.1.4</w:t>
      </w:r>
    </w:p>
    <w:p>
      <w:pPr>
        <w:pStyle w:val="TextBody"/>
        <w:bidi w:val="0"/>
        <w:jc w:val="both"/>
        <w:rPr>
          <w:rFonts w:ascii="Times New Roman" w:hAnsi="Times New Roman"/>
          <w:color w:val="000000"/>
          <w:sz w:val="22"/>
        </w:rPr>
      </w:pPr>
      <w:r>
        <w:rPr>
          <w:rFonts w:ascii="Times New Roman" w:hAnsi="Times New Roman"/>
          <w:color w:val="000000"/>
          <w:sz w:val="22"/>
        </w:rPr>
        <w:t>It has not granted, and will not grant, during the Term, any right to any Affiliate or Third Party that would conflict with the rights granted to the other Party hereunder.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w:t>
      </w:r>
    </w:p>
    <w:p>
      <w:pPr>
        <w:pStyle w:val="TextBody"/>
        <w:bidi w:val="0"/>
        <w:jc w:val="both"/>
        <w:rPr/>
      </w:pPr>
      <w:r>
        <w:rPr>
          <w:rFonts w:ascii="Times New Roman" w:hAnsi="Times New Roman"/>
          <w:b/>
          <w:color w:val="000000"/>
          <w:sz w:val="22"/>
        </w:rPr>
        <w:t>Representations and Warranties of Tenaya</w:t>
      </w:r>
      <w:r>
        <w:rPr>
          <w:rFonts w:ascii="Times New Roman" w:hAnsi="Times New Roman"/>
          <w:color w:val="000000"/>
          <w:sz w:val="22"/>
        </w:rPr>
        <w:t xml:space="preserve">. Tenaya represents and warrants to Alnylam that as of the Effective Date: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9.2.1</w:t>
      </w:r>
    </w:p>
    <w:p>
      <w:pPr>
        <w:pStyle w:val="TextBody"/>
        <w:bidi w:val="0"/>
        <w:jc w:val="both"/>
        <w:rPr>
          <w:rFonts w:ascii="Times New Roman" w:hAnsi="Times New Roman"/>
          <w:color w:val="000000"/>
          <w:sz w:val="22"/>
        </w:rPr>
      </w:pPr>
      <w:r>
        <w:rPr>
          <w:rFonts w:ascii="Times New Roman" w:hAnsi="Times New Roman"/>
          <w:color w:val="000000"/>
          <w:sz w:val="22"/>
        </w:rPr>
        <w:t>Except for agreements with vendors or services providers that are entered into in the ordinary course of business where certain intellectual property rights may have been non-exclusively licensed to Tenaya or its Affiliates for Tenaya to exploit the deliverables under such agreements and such non-exclusive licenses are incidental to such agreements, Tenaya is the sole and exclusive owner of, or otherwise Controls, the Tenaya Technology, and all of the Licensed Technology is solely and exclusively owned by Tenaya and is free and clear of liens, charges or encumbrances other than licenses and rights granted to Third Parties that are not inconsistent with the rights and licenses granted to Alnylam under this Agreement.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9.2.2</w:t>
      </w:r>
    </w:p>
    <w:p>
      <w:pPr>
        <w:pStyle w:val="TextBody"/>
        <w:bidi w:val="0"/>
        <w:jc w:val="both"/>
        <w:rPr>
          <w:rFonts w:ascii="Times New Roman" w:hAnsi="Times New Roman"/>
          <w:color w:val="000000"/>
          <w:sz w:val="22"/>
        </w:rPr>
      </w:pPr>
      <w:r>
        <w:rPr>
          <w:rFonts w:ascii="Times New Roman" w:hAnsi="Times New Roman"/>
          <w:color w:val="000000"/>
          <w:sz w:val="22"/>
        </w:rPr>
        <w:t>Tenaya has sufficient legal or beneficial title and ownership of, or sufficient license rights under, the Licensed Technology to grant the licenses to such Licensed Technology granted to Alnylam pursuant to this Agreement. Tenaya does not possess or Control any Tenaya Platform Technology which, absent a license to Alnylam, would be infringed by the evaluation and utilization of the Collaboration Targets or the Exploitation of Products by Alnylam under the licenses to Licensed Technology granted to Alnylam under Section 6.2 as contemplated under this Agreement. Tenaya has the right to practice the Tenaya Platform Technology in conducting the Tenaya Research Activities as contemplated as of the Effective Date.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9.2.3</w:t>
      </w:r>
    </w:p>
    <w:p>
      <w:pPr>
        <w:pStyle w:val="TextBody"/>
        <w:bidi w:val="0"/>
        <w:jc w:val="both"/>
        <w:rPr>
          <w:rFonts w:ascii="Times New Roman" w:hAnsi="Times New Roman"/>
          <w:color w:val="000000"/>
          <w:sz w:val="22"/>
        </w:rPr>
      </w:pPr>
      <w:r>
        <w:rPr>
          <w:rFonts w:ascii="Times New Roman" w:hAnsi="Times New Roman"/>
          <w:color w:val="000000"/>
          <w:sz w:val="22"/>
        </w:rPr>
        <w:t>To Tenaya’s knowledge, Tenaya does not possess any information as of the Effective Date from which it may be reasonably concluded that the Exploitation of the Tenaya Technology as contemplated under this Agreement, infringes any issued Patent Right of any Third Party or misappropriates any trade secrets, know-how or similar rights or property of any Third Party.</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There is no (a) claim, demand, suit, proceeding, arbitration, inquiry, investigation or other legal action of any nature, civil, criminal, regulatory or otherwise, pending or, to Tenaya’s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knowledge, threatened against Tenaya or any of its Affiliates or (b) judgment or settlement against or owed by Tenaya or any of its Affiliates, in each case ((a) and (b)), in connection with the Tenaya Technology, as of the Effective Date, including any claim alleging that the issued patents in the Tenaya Patents are invalid or unenforceable.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9.2.5</w:t>
      </w:r>
    </w:p>
    <w:p>
      <w:pPr>
        <w:pStyle w:val="TextBody"/>
        <w:bidi w:val="0"/>
        <w:jc w:val="both"/>
        <w:rPr>
          <w:rFonts w:ascii="Times New Roman" w:hAnsi="Times New Roman"/>
          <w:color w:val="000000"/>
          <w:sz w:val="22"/>
        </w:rPr>
      </w:pPr>
      <w:r>
        <w:rPr>
          <w:rFonts w:ascii="Times New Roman" w:hAnsi="Times New Roman"/>
          <w:color w:val="000000"/>
          <w:sz w:val="22"/>
        </w:rPr>
        <w:t>To Tenaya’s knowledge, the conception, development and reduction to practice of the Tenaya Technology, as it exists on the Effective Date, have not constituted or involved the infringement of any intellectual property rights, misappropriation of trade secrets or know-how or otherwise violate similar rights or property of any person.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9.2.6</w:t>
      </w:r>
    </w:p>
    <w:p>
      <w:pPr>
        <w:pStyle w:val="TextBody"/>
        <w:bidi w:val="0"/>
        <w:jc w:val="both"/>
        <w:rPr>
          <w:rFonts w:ascii="Times New Roman" w:hAnsi="Times New Roman"/>
          <w:color w:val="000000"/>
          <w:sz w:val="22"/>
        </w:rPr>
      </w:pPr>
      <w:r>
        <w:rPr>
          <w:rFonts w:ascii="Times New Roman" w:hAnsi="Times New Roman"/>
          <w:color w:val="000000"/>
          <w:sz w:val="22"/>
        </w:rPr>
        <w:t>To Tenaya’s knowledge, no Third Party is infringing, misappropriating, or otherwise violating, or threatening to infringe, misappropriate, or otherwise violate, the Tenaya Technology.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9.2.7</w:t>
      </w:r>
    </w:p>
    <w:p>
      <w:pPr>
        <w:pStyle w:val="TextBody"/>
        <w:bidi w:val="0"/>
        <w:jc w:val="both"/>
        <w:rPr>
          <w:rFonts w:ascii="Times New Roman" w:hAnsi="Times New Roman"/>
          <w:color w:val="000000"/>
          <w:sz w:val="22"/>
        </w:rPr>
      </w:pPr>
      <w:r>
        <w:rPr>
          <w:rFonts w:ascii="Times New Roman" w:hAnsi="Times New Roman"/>
          <w:color w:val="000000"/>
          <w:sz w:val="22"/>
        </w:rPr>
        <w:t>There are no agreements between Tenaya and a Third Party entered into prior to the Effective Date pursuant to which Tenaya has transferred or transfers aspects of the Tenaya Technology to such Third Party for such Third Party’s use independent of Tenaya involvement in the discovery and development of Gene Targets therefrom.</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9.2.8</w:t>
      </w:r>
    </w:p>
    <w:p>
      <w:pPr>
        <w:pStyle w:val="TextBody"/>
        <w:bidi w:val="0"/>
        <w:jc w:val="both"/>
        <w:rPr>
          <w:rFonts w:ascii="Times New Roman" w:hAnsi="Times New Roman"/>
          <w:color w:val="000000"/>
          <w:sz w:val="22"/>
        </w:rPr>
      </w:pPr>
      <w:r>
        <w:rPr>
          <w:rFonts w:ascii="Times New Roman" w:hAnsi="Times New Roman"/>
          <w:color w:val="000000"/>
          <w:sz w:val="22"/>
        </w:rPr>
        <w:t xml:space="preserve">There is no agreement between Tenaya and a Third Party entered into prior to the Effective Date pursuant to which Tenaya receives a license or grant of any right to Patent Rights or Know-How included in the Licensed Technology that are necessary or reasonably useful to the practice of the Licensed Technology as contemplated in this Agreement, excluding for agreements with vendors or services providers that are entered into in the ordinary course of business where certain intellectual property rights may have been non-exclusively licensed to Tenaya or its Affiliates for Tenaya to exploit the deliverables under such agreements and such non-exclusive licenses are incidental to such agreements.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9.2.9</w:t>
      </w:r>
    </w:p>
    <w:p>
      <w:pPr>
        <w:pStyle w:val="TextBody"/>
        <w:bidi w:val="0"/>
        <w:jc w:val="both"/>
        <w:rPr>
          <w:rFonts w:ascii="Times New Roman" w:hAnsi="Times New Roman"/>
          <w:color w:val="000000"/>
          <w:sz w:val="22"/>
        </w:rPr>
      </w:pPr>
      <w:r>
        <w:rPr>
          <w:rFonts w:ascii="Times New Roman" w:hAnsi="Times New Roman"/>
          <w:color w:val="000000"/>
          <w:sz w:val="22"/>
        </w:rPr>
        <w:t>Tenaya and its Affiliates have taken measures necessary to protect the secrecy, confidentiality, and value of the Know-How included in the Tenaya Technology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Know-How included in the Tenaya Technology).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clarity, Tenaya does not make any representation or warranty with respect to any Alnylam Gene Targets.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9.3</w:t>
      </w:r>
    </w:p>
    <w:p>
      <w:pPr>
        <w:pStyle w:val="TextBody"/>
        <w:bidi w:val="0"/>
        <w:jc w:val="both"/>
        <w:rPr/>
      </w:pPr>
      <w:r>
        <w:rPr>
          <w:rFonts w:ascii="Times New Roman" w:hAnsi="Times New Roman"/>
          <w:b/>
          <w:color w:val="000000"/>
          <w:sz w:val="22"/>
        </w:rPr>
        <w:t>Debarment</w:t>
      </w:r>
      <w:r>
        <w:rPr>
          <w:rFonts w:ascii="Times New Roman" w:hAnsi="Times New Roman"/>
          <w:color w:val="000000"/>
          <w:sz w:val="22"/>
        </w:rPr>
        <w:t>. Neither Party nor, to such Party’s knowledge, any individual or organization providing services on its behalf in connection with this Agreement has ever been debarred under 21 U.S.C. §335a, disqualified under 21 C.F.R. §312.70 or §812.119, sanctioned by a Federal Health Care Program (as defined in 42 U.S.C §1320 a-7b(f)), including without limitation the federal Medicare or a state Medicaid program, or debarred, suspended, excluded or otherwise declared ineligible from any other similar Federal or state agency or program or comparable laws in any other country or jurisdiction. In the event that either Party or any individual or organization providing services on its behalf receives notice of debarment, suspension, sanction, exclusion, ineligibility or disqualification under the above-referenced statutes, such Party shall immediately notify the other Party in writing.</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9.4</w:t>
      </w:r>
    </w:p>
    <w:p>
      <w:pPr>
        <w:pStyle w:val="TextBody"/>
        <w:bidi w:val="0"/>
        <w:jc w:val="both"/>
        <w:rPr/>
      </w:pPr>
      <w:r>
        <w:rPr>
          <w:rFonts w:ascii="Times New Roman" w:hAnsi="Times New Roman"/>
          <w:b/>
          <w:color w:val="000000"/>
          <w:sz w:val="22"/>
        </w:rPr>
        <w:t>Covenants</w:t>
      </w:r>
      <w:r>
        <w:rPr>
          <w:rFonts w:ascii="Times New Roman" w:hAnsi="Times New Roman"/>
          <w:color w:val="000000"/>
          <w:sz w:val="22"/>
        </w:rPr>
        <w:t>. In addition to the covenants made elsewhere in this Agreement.</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9.4.1</w:t>
      </w:r>
    </w:p>
    <w:p>
      <w:pPr>
        <w:pStyle w:val="TextBody"/>
        <w:bidi w:val="0"/>
        <w:jc w:val="both"/>
        <w:rPr>
          <w:rFonts w:ascii="Times New Roman" w:hAnsi="Times New Roman"/>
          <w:color w:val="000000"/>
          <w:sz w:val="22"/>
        </w:rPr>
      </w:pPr>
      <w:r>
        <w:rPr>
          <w:rFonts w:ascii="Times New Roman" w:hAnsi="Times New Roman"/>
          <w:color w:val="000000"/>
          <w:sz w:val="22"/>
        </w:rPr>
        <w:t>Each Party hereby covenants to the other Party that during the Term, it will not enter into any agreement with a Third Party that is inconsistent with or would preclude the rights granted hereunder;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9.4.2</w:t>
      </w:r>
    </w:p>
    <w:p>
      <w:pPr>
        <w:pStyle w:val="TextBody"/>
        <w:bidi w:val="0"/>
        <w:jc w:val="both"/>
        <w:rPr>
          <w:rFonts w:ascii="Times New Roman" w:hAnsi="Times New Roman"/>
          <w:color w:val="000000"/>
          <w:sz w:val="22"/>
        </w:rPr>
      </w:pPr>
      <w:r>
        <w:rPr>
          <w:rFonts w:ascii="Times New Roman" w:hAnsi="Times New Roman"/>
          <w:color w:val="000000"/>
          <w:sz w:val="22"/>
        </w:rPr>
        <w:t>Tenaya hereby covenants to Alnylam that during the Term, it will not enter into any agreement or arrangement which limits the ownership rights of Alnylam with respect to, or limits the ability of Alnylam to grant a license, sublicense or access, or provide access or other rights in, to or under, any intellectual property right or material (including any Patent Rights, Know-How or other data or information), in each case, that would, but for such agreement or arrangement, be included in the exclusive rights licensed or assigned to Alnylam pursuant to this Agreement;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9.4.3</w:t>
      </w:r>
    </w:p>
    <w:p>
      <w:pPr>
        <w:pStyle w:val="TextBody"/>
        <w:bidi w:val="0"/>
        <w:jc w:val="both"/>
        <w:rPr>
          <w:rFonts w:ascii="Times New Roman" w:hAnsi="Times New Roman"/>
          <w:color w:val="000000"/>
          <w:sz w:val="22"/>
        </w:rPr>
      </w:pPr>
      <w:r>
        <w:rPr>
          <w:rFonts w:ascii="Times New Roman" w:hAnsi="Times New Roman"/>
          <w:color w:val="000000"/>
          <w:sz w:val="22"/>
        </w:rPr>
        <w:t>Each Party hereby covenants to the other Party that it will maintain valid and enforceable agreements during the Term with all personnel acting by or on its behalf under this Agreement which require such personnel to assign to it their entire right, title and interest in and to all intellectual property rights to the extent necessary to effect ownership of such intellectual property rights as set forth in Section 11.2.</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9.5</w:t>
      </w:r>
    </w:p>
    <w:p>
      <w:pPr>
        <w:pStyle w:val="TextBody"/>
        <w:bidi w:val="0"/>
        <w:jc w:val="both"/>
        <w:rPr/>
      </w:pPr>
      <w:r>
        <w:rPr>
          <w:rFonts w:ascii="Times New Roman" w:hAnsi="Times New Roman"/>
          <w:b/>
          <w:color w:val="000000"/>
          <w:sz w:val="22"/>
        </w:rPr>
        <w:t>Warranty Disclaimer</w:t>
      </w:r>
      <w:r>
        <w:rPr>
          <w:rFonts w:ascii="Times New Roman" w:hAnsi="Times New Roman"/>
          <w:color w:val="000000"/>
          <w:sz w:val="22"/>
        </w:rPr>
        <w:t>. EXCEPT AS OTHERWISE EXPRESSLY PROVIDED IN THIS AGREEMENT, NEITHER PARTY MAKES ANY REPRESENTATION OR EXTENDS ANY WARRANTY OF ANY KIND, EITHER EXPRESS OR IMPLIED, TO THE OTHER PARTY WITH RESPECT TO ANY KNOW-HOW, PATENT RIGHTS, COLLABORATION TARGET, PRODUCT, GOODS, SERVICES, RIGHTS OR OTHER SUBJECT MATTER OF THIS AGREEMENT AND HEREBY DISCLAIMS ALL IMPLIED WARRANTIES OF MERCHANTABILITY, FITNESS FOR A PARTICULAR PURPOSE AND NON-INFRINGEMENT WITH RESPECT TO ANY AND ALL OF THE FOREGOING. EACH PARTY HEREBY DISCLAIMS ANY REPRESENTATION OR WARRANTY THAT THE DEVELOPMENT, MANUFACTURE OR COMMERCIALIZATION OF THE PRODUCTS PURSUANT TO THIS AGREEMENT WILL BE SUCCESSFUL OR THAT ANY PARTICULAR SALES LEVEL WITH RESPECT TO THE PRODUCTS WILL BE ACHIEVED.</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b/>
          <w:color w:val="000000"/>
          <w:sz w:val="22"/>
        </w:rPr>
        <w:t>INDEMNIFICATION; LIMITATION OF LIABILITY; INSURANCE</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10.1</w:t>
      </w:r>
    </w:p>
    <w:p>
      <w:pPr>
        <w:pStyle w:val="TextBody"/>
        <w:bidi w:val="0"/>
        <w:jc w:val="both"/>
        <w:rPr/>
      </w:pPr>
      <w:r>
        <w:rPr>
          <w:rFonts w:ascii="Times New Roman" w:hAnsi="Times New Roman"/>
          <w:b/>
          <w:color w:val="000000"/>
          <w:sz w:val="22"/>
        </w:rPr>
        <w:t>General Indemnification by Tenaya</w:t>
      </w:r>
      <w:r>
        <w:rPr>
          <w:rFonts w:ascii="Times New Roman" w:hAnsi="Times New Roman"/>
          <w:color w:val="000000"/>
          <w:sz w:val="22"/>
        </w:rPr>
        <w:t>. Tenaya hereby agrees to indemnify and hold Alnylam harmless, and defend Alnylam, its Affiliates and Sublicensees, and their respective directors, officers, employees and agents (“</w:t>
      </w:r>
      <w:r>
        <w:rPr>
          <w:rFonts w:ascii="Times New Roman" w:hAnsi="Times New Roman"/>
          <w:b/>
          <w:color w:val="000000"/>
          <w:sz w:val="22"/>
        </w:rPr>
        <w:t>Alnylam Indemnitees</w:t>
      </w:r>
      <w:r>
        <w:rPr>
          <w:color w:val="000000"/>
        </w:rPr>
        <w:t>”</w:t>
      </w:r>
      <w:r>
        <w:rPr>
          <w:rFonts w:ascii="Times New Roman" w:hAnsi="Times New Roman"/>
          <w:color w:val="000000"/>
          <w:sz w:val="22"/>
        </w:rPr>
        <w:t>) from and against any and all Third Party claims, suits, losses, liabilities, damages, costs, fees and expenses (including reasonable attorneys’ fees) (collectively, “</w:t>
      </w:r>
      <w:r>
        <w:rPr>
          <w:rFonts w:ascii="Times New Roman" w:hAnsi="Times New Roman"/>
          <w:b/>
          <w:color w:val="000000"/>
          <w:sz w:val="22"/>
        </w:rPr>
        <w:t>Losses</w:t>
      </w:r>
      <w:r>
        <w:rPr>
          <w:color w:val="000000"/>
        </w:rPr>
        <w:t>”</w:t>
      </w:r>
      <w:r>
        <w:rPr>
          <w:rFonts w:ascii="Times New Roman" w:hAnsi="Times New Roman"/>
          <w:color w:val="000000"/>
          <w:sz w:val="22"/>
        </w:rPr>
        <w:t>) to the extent such Losses arise out of or result from, directly or indirectly, (a) any breach of, or inaccuracy in, any representation or warranty made by Tenaya in this Agreement or any breach or violation of any covenant or agreement of Tenaya in this Agreement, or (b) the negligence or willful misconduct by or of Tenaya and its Affiliates, and their respective directors, officers, employees and agents, in the performance of Tenaya’s obligations under this Agreement. Tenaya will have no obligation to indemnify the Alnylam Indemnitees to the extent that the Losses arise out of or result from, directly or indirectly, any breach of, or inaccuracy in, any representation or warranty made by Alnylam in this Agreement, or any breach or violation of any covenant or agreement of Alnylam in this Agreement, or the negligence or willful misconduct by or of any of the Alnylam Indemnitees.</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240"/>
        <w:jc w:val="both"/>
        <w:rPr/>
      </w:pPr>
      <w:r>
        <w:rPr>
          <w:rFonts w:ascii="Times New Roman" w:hAnsi="Times New Roman"/>
          <w:b/>
          <w:color w:val="000000"/>
          <w:sz w:val="22"/>
        </w:rPr>
        <w:t>General Indemnification by Alnylam</w:t>
      </w:r>
      <w:r>
        <w:rPr>
          <w:rFonts w:ascii="Times New Roman" w:hAnsi="Times New Roman"/>
          <w:color w:val="000000"/>
          <w:sz w:val="22"/>
        </w:rPr>
        <w:t xml:space="preserve">. Alnylam hereby agrees to indemnify and hold Tenaya harmless, and defend Tenaya, its Affiliates and their respective directors, officers, employees and agents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w:t>
      </w:r>
      <w:r>
        <w:rPr>
          <w:rFonts w:ascii="Times New Roman" w:hAnsi="Times New Roman"/>
          <w:b/>
          <w:color w:val="000000"/>
          <w:sz w:val="22"/>
        </w:rPr>
        <w:t>Tenaya Indemnitees</w:t>
      </w:r>
      <w:r>
        <w:rPr>
          <w:color w:val="000000"/>
        </w:rPr>
        <w:t>”</w:t>
      </w:r>
      <w:r>
        <w:rPr>
          <w:rFonts w:ascii="Times New Roman" w:hAnsi="Times New Roman"/>
          <w:color w:val="000000"/>
          <w:sz w:val="22"/>
        </w:rPr>
        <w:t>) from and against any and all Losses to the extent such Losses arise out of or result from, directly or indirectly, (a) any breach of, or inaccuracy in, any representation or warranty made by Alnylam in this Agreement or any breach or violation of any covenant or agreement of Alnylam in this Agreement, (b) the negligence or willful misconduct by or of Alnylam and its Affiliates, and their respective directors, officers, employees and agents, in the performance of Alnylam’s obligations under this Agreement, or (c) the Development, manufacture, Commercialization or other Exploitation of Products by Alnylam or its Affiliates or Sublicensees (other than [***]). Alnylam will have no obligation to indemnify the Tenaya Indemnitees to the extent that the Losses arise out of or result from, directly or indirectly, any breach of, or inaccuracy in, any representation or warranty made by Tenaya in this Agreement, or any breach or violation of any covenant or agreement of Tenaya in this Agreement, or the negligence or willful misconduct by or of any of the Tenaya Indemnitees.</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10.3</w:t>
      </w:r>
    </w:p>
    <w:p>
      <w:pPr>
        <w:pStyle w:val="TextBody"/>
        <w:bidi w:val="0"/>
        <w:jc w:val="both"/>
        <w:rPr/>
      </w:pPr>
      <w:r>
        <w:rPr>
          <w:rFonts w:ascii="Times New Roman" w:hAnsi="Times New Roman"/>
          <w:b/>
          <w:color w:val="000000"/>
          <w:sz w:val="22"/>
        </w:rPr>
        <w:t>Indemnification Procedure</w:t>
      </w:r>
      <w:r>
        <w:rPr>
          <w:rFonts w:ascii="Times New Roman" w:hAnsi="Times New Roman"/>
          <w:color w:val="000000"/>
          <w:sz w:val="22"/>
        </w:rPr>
        <w:t>. Each of the foregoing agreements to indemnify is conditioned on the relevant Alnylam Indemnitees or Tenaya Indemnitees (a) providing prompt written notice of any Third Party claim giving rise to an indemnification obligation hereunder; provided, however, that any delay or failure to provide such notice shall relieve the indemnifying Party of its obligations under this Article 10 only to the extent it is materially prejudiced by such delay or failure; (b) permitting the indemnifying Party to assume full responsibility to investigate, prepare for and defend against any such Third Party claim (but only to the extent and for such period of time as such indemnifying Party agrees in writing with such indemnified Party that the indemnifying Party will be solely responsible for any and all such monetary damages), (c) providing reasonable assistance in the defense of such claim at the indemnifying Party’s reasonable expense, and (d) not compromising or settling such Third Party claim without the indemnifying Party’s advance written consent. If the Parties cannot agree as to the application of Section 10.1 and Section 10.2, each may conduct separate defenses of the Third Party claim, and each Party reserves the right to claim indemnity from the other in accordance with this Article 10 upon the resolution of the underlying Third Party claim.</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10.4</w:t>
      </w:r>
    </w:p>
    <w:p>
      <w:pPr>
        <w:pStyle w:val="TextBody"/>
        <w:bidi w:val="0"/>
        <w:jc w:val="both"/>
        <w:rPr/>
      </w:pPr>
      <w:r>
        <w:rPr>
          <w:rFonts w:ascii="Times New Roman" w:hAnsi="Times New Roman"/>
          <w:b/>
          <w:color w:val="000000"/>
          <w:sz w:val="22"/>
        </w:rPr>
        <w:t>Limitation of Liability</w:t>
      </w:r>
      <w:r>
        <w:rPr>
          <w:rFonts w:ascii="Times New Roman" w:hAnsi="Times New Roman"/>
          <w:color w:val="000000"/>
          <w:sz w:val="22"/>
        </w:rPr>
        <w:t>. NEITHER PARTY HERETO WILL BE LIABLE FOR SPECIAL, INCIDENTAL, CONSEQUENTIAL OR PUNITIVE DAMAGES ARISING OUT OF THIS AGREEMENT OR THE EXERCISE OF ITS RIGHTS HEREUNDER, INCLUDING LOST PROFITS ARISING FROM OR RELATING TO ANY BREACH OF THIS AGREEMENT, REGARDLESS OF ANY NOTICE OF SUCH DAMAGES, EXCEPT AS A RESULT OF A PARTY’S GROSS NEGLIGENCE, WILLFUL MISCONDUCT OR A MATERIAL BREACH OF THE CONFIDENTIALITY AND NON-USE OBLIGATIONS IN ARTICLE 8 OR A BREACH OF THE EXCLUSIVITY PROVISION IN SECTION 6.6. NOTHING IN THIS SECTION 10.4 IS INTENDED TO LIMIT OR RESTRICT THE INDEMNIFICATION RIGHTS OR OBLIGATIONS OF EITHER PARTY.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10.5</w:t>
      </w:r>
    </w:p>
    <w:p>
      <w:pPr>
        <w:pStyle w:val="TextBody"/>
        <w:bidi w:val="0"/>
        <w:jc w:val="both"/>
        <w:rPr/>
      </w:pPr>
      <w:r>
        <w:rPr>
          <w:rFonts w:ascii="Times New Roman" w:hAnsi="Times New Roman"/>
          <w:b/>
          <w:color w:val="000000"/>
          <w:sz w:val="22"/>
        </w:rPr>
        <w:t>Insurance</w:t>
      </w:r>
      <w:r>
        <w:rPr>
          <w:rFonts w:ascii="Times New Roman" w:hAnsi="Times New Roman"/>
          <w:color w:val="000000"/>
          <w:sz w:val="22"/>
        </w:rPr>
        <w:t>. Each Party will, at its own expense, procure and maintain during the Term and for a period of five years thereafter, insurance policies with insurers maintaining a rating of at least [***] adequate to cover its obligations hereunder and that are consistent with normal business practices of prudent companies similarly situated, including Cyber liability insurance (in an amount not less than [***] per occurrence), workers compensation, and product liability insurance when applicable. Such insurance will not be construed to create a limit of a Party’s liability with respect to its indemnification obligations under this Article 10. Each Party will provide the other Party with written evidence of such insurance. Notwithstanding any provision to the contrary set forth in this Agreement, Alnylam may self-insure, in whole or in part, the insurance requirements described above.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b/>
          <w:color w:val="000000"/>
          <w:sz w:val="22"/>
        </w:rPr>
        <w:t>INTELLECTUAL PROPERTY</w:t>
      </w:r>
      <w:r>
        <w:rPr>
          <w:rFonts w:ascii="Times New Roman" w:hAnsi="Times New Roman"/>
          <w:color w:val="000000"/>
          <w:sz w:val="22"/>
        </w:rPr>
        <w:t>.</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11.1</w:t>
      </w:r>
    </w:p>
    <w:p>
      <w:pPr>
        <w:pStyle w:val="TextBody"/>
        <w:bidi w:val="0"/>
        <w:jc w:val="both"/>
        <w:rPr/>
      </w:pPr>
      <w:r>
        <w:rPr>
          <w:rFonts w:ascii="Times New Roman" w:hAnsi="Times New Roman"/>
          <w:b/>
          <w:color w:val="000000"/>
          <w:sz w:val="22"/>
        </w:rPr>
        <w:t>Inventorship</w:t>
      </w:r>
      <w:r>
        <w:rPr>
          <w:rFonts w:ascii="Times New Roman" w:hAnsi="Times New Roman"/>
          <w:color w:val="000000"/>
          <w:sz w:val="22"/>
        </w:rPr>
        <w:t>. Inventorship for inventions and discoveries conceived or reduced to practice during the course of the performance of activities pursuant to this Agreement will be determined in accordance with United States patent laws for determining inventorship.</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w:t>
      </w:r>
    </w:p>
    <w:p>
      <w:pPr>
        <w:pStyle w:val="TextBody"/>
        <w:bidi w:val="0"/>
        <w:jc w:val="both"/>
        <w:rPr/>
      </w:pPr>
      <w:r>
        <w:rPr>
          <w:rFonts w:ascii="Times New Roman" w:hAnsi="Times New Roman"/>
          <w:b/>
          <w:color w:val="000000"/>
          <w:sz w:val="22"/>
        </w:rPr>
        <w:t>Ownership and Disclosure</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11.2.1</w:t>
      </w:r>
    </w:p>
    <w:p>
      <w:pPr>
        <w:pStyle w:val="TextBody"/>
        <w:bidi w:val="0"/>
        <w:jc w:val="both"/>
        <w:rPr>
          <w:rFonts w:ascii="Times New Roman" w:hAnsi="Times New Roman"/>
          <w:color w:val="000000"/>
          <w:sz w:val="22"/>
        </w:rPr>
      </w:pPr>
      <w:r>
        <w:rPr>
          <w:rFonts w:ascii="Times New Roman" w:hAnsi="Times New Roman"/>
          <w:color w:val="000000"/>
          <w:sz w:val="22"/>
        </w:rPr>
        <w:t>Each Party will at all times Control all intellectual property Controlled by such Party prior to the Effective Date or developed or acquired independently of the Agreement.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11.2.2</w:t>
      </w:r>
    </w:p>
    <w:p>
      <w:pPr>
        <w:pStyle w:val="TextBody"/>
        <w:bidi w:val="0"/>
        <w:jc w:val="both"/>
        <w:rPr>
          <w:rFonts w:ascii="Times New Roman" w:hAnsi="Times New Roman"/>
          <w:color w:val="000000"/>
          <w:sz w:val="22"/>
        </w:rPr>
      </w:pPr>
      <w:r>
        <w:rPr>
          <w:rFonts w:ascii="Times New Roman" w:hAnsi="Times New Roman"/>
          <w:color w:val="000000"/>
          <w:sz w:val="22"/>
        </w:rPr>
        <w:t>Except as set forth in Section 11.2.3, ownership of all inventions and discoveries (and Patent Rights claiming patentable inventions therein) first conceived or reduced to practice or, with respect to inventions and discoveries other than patentable inventions, otherwise identified, developed, made or discovered, by employees or consultants of a Party in the course of conducting activities under this Agreement will be based on inventorship, as determined in accordance with Section 11.1.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11.2.3</w:t>
      </w:r>
    </w:p>
    <w:p>
      <w:pPr>
        <w:pStyle w:val="TextBody"/>
        <w:bidi w:val="0"/>
        <w:jc w:val="both"/>
        <w:rPr>
          <w:rFonts w:ascii="Times New Roman" w:hAnsi="Times New Roman"/>
          <w:color w:val="000000"/>
          <w:sz w:val="22"/>
        </w:rPr>
      </w:pPr>
      <w:r>
        <w:rPr>
          <w:rFonts w:ascii="Times New Roman" w:hAnsi="Times New Roman"/>
          <w:color w:val="000000"/>
          <w:sz w:val="22"/>
        </w:rPr>
        <w:t xml:space="preserve">As between the Parties, (a) Alnylam will own all Alnylam Collaboration Know-How and all Alnylam Collaboration Patents and (b) Tenaya will own all Tenaya Collaboration Know-How, Tenaya Collaboration Patents, and Tenaya Platform Technology, including any Tenaya Platform Improvement.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11.2.4</w:t>
      </w:r>
    </w:p>
    <w:p>
      <w:pPr>
        <w:pStyle w:val="TextBody"/>
        <w:bidi w:val="0"/>
        <w:jc w:val="left"/>
        <w:rPr>
          <w:rFonts w:ascii="Times New Roman" w:hAnsi="Times New Roman"/>
          <w:color w:val="000000"/>
          <w:sz w:val="22"/>
        </w:rPr>
      </w:pPr>
      <w:r>
        <w:rPr>
          <w:rFonts w:ascii="Times New Roman" w:hAnsi="Times New Roman"/>
          <w:color w:val="000000"/>
          <w:sz w:val="22"/>
        </w:rPr>
        <w:t xml:space="preserve">The Parties shall jointly own the Joint Collaboration Technology.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11.2.5</w:t>
      </w:r>
    </w:p>
    <w:p>
      <w:pPr>
        <w:pStyle w:val="TextBody"/>
        <w:bidi w:val="0"/>
        <w:jc w:val="both"/>
        <w:rPr/>
      </w:pPr>
      <w:r>
        <w:rPr>
          <w:rFonts w:ascii="Times New Roman" w:hAnsi="Times New Roman"/>
          <w:color w:val="000000"/>
          <w:sz w:val="22"/>
        </w:rPr>
        <w:t>On the Collaboration Target List Finalization Date, Tenaya shall provide complete copies of all Tenaya Collaboration Patents (including any unpublished provisional or other Patent Right) owned or Controlled by Tenaya or any of its Affiliates as of the Collaboration Target List Finalization Date that are necessary or reasonably useful to perform the Tenaya Research Activities and to Exploit any Licensed Product Directed To a Collaboration Target. In addition, (a) Alnylam will promptly disclose to Tenaya all Know-How within the Joint Collaboration Technology (“</w:t>
      </w:r>
      <w:r>
        <w:rPr>
          <w:rFonts w:ascii="Times New Roman" w:hAnsi="Times New Roman"/>
          <w:b/>
          <w:color w:val="000000"/>
          <w:sz w:val="22"/>
        </w:rPr>
        <w:t>Joint Collaboration Know-How</w:t>
      </w:r>
      <w:r>
        <w:rPr>
          <w:color w:val="000000"/>
        </w:rPr>
        <w:t>”</w:t>
      </w:r>
      <w:r>
        <w:rPr>
          <w:rFonts w:ascii="Times New Roman" w:hAnsi="Times New Roman"/>
          <w:color w:val="000000"/>
          <w:sz w:val="22"/>
        </w:rPr>
        <w:t>) and Tenaya Platform Improvements, and (b) Tenaya will promptly disclose to Alnylam all Joint Collaboration Know-How and Alnylam Collaboration Know-How, in each case ((a) and (b)) that is developed or invented during the Term by or on behalf of such Party in the course of activities conducted pursuant to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11.3</w:t>
      </w:r>
    </w:p>
    <w:p>
      <w:pPr>
        <w:pStyle w:val="TextBody"/>
        <w:bidi w:val="0"/>
        <w:jc w:val="both"/>
        <w:rPr/>
      </w:pPr>
      <w:r>
        <w:rPr>
          <w:rFonts w:ascii="Times New Roman" w:hAnsi="Times New Roman"/>
          <w:b/>
          <w:color w:val="000000"/>
          <w:sz w:val="22"/>
        </w:rPr>
        <w:t>Assignment</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hereby assigns (and, to the extent such present assignment is not possible, agrees to assign) to the other Party all Patent Rights and Know-How as necessary to achieve ownership as provided in Section 11.2. Each assigning Party will execute and deliver all documents and instruments reasonably requested by the other Party to evidence or record such assignment or to file for, perfect or enforce the assigned rights. Each assigning Party hereby appoints the other Party as attorney-in-fact solely to execute and deliver the foregoing documents and instruments if such other Party after making reasonable inquiry does not obtain them from the assigning Party. Each Party will perform its activities under this Agreement through personnel who have made a similar assignment and appointment to and of such Party. Each assigning Party will make its relevant personnel (and their assignments and signatures on such documents and instruments) reasonably available to the other Party for assistance in accordance with this Section 11.3 at no charge.</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11.3.2</w:t>
      </w:r>
    </w:p>
    <w:p>
      <w:pPr>
        <w:pStyle w:val="TextBody"/>
        <w:bidi w:val="0"/>
        <w:jc w:val="both"/>
        <w:rPr>
          <w:rFonts w:ascii="Times New Roman" w:hAnsi="Times New Roman"/>
          <w:color w:val="000000"/>
          <w:sz w:val="22"/>
        </w:rPr>
      </w:pPr>
      <w:r>
        <w:rPr>
          <w:rFonts w:ascii="Times New Roman" w:hAnsi="Times New Roman"/>
          <w:color w:val="000000"/>
          <w:sz w:val="22"/>
        </w:rPr>
        <w:t>Each Party will cause all Persons who perform activities for such Party under this Agreement to be under an obligation to assign their rights in any Know-How and inventions resulting therefrom to such Party, except (a) if Applicable Law requires otherwise, (b), in the case of governmental, not-for-profit and public institutions which have standard policies against such an assignment, or (c) in the case of any Third Party services provider (such as a contract manufacturer or contract research organization), with respect to any Know-How or inventions that constitute improvements to the background intellectual property of such Third Party, in which case ((a) through (c)), such Party will use commercially reasonable efforts to obtain a suitable license, or right to obtain such a license, with respect to such Know-How and inventions, it being understood and agreed that in the case of Third Party service providers it may be commercially reasonable not to obtain a license.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11.4</w:t>
      </w:r>
    </w:p>
    <w:p>
      <w:pPr>
        <w:pStyle w:val="TextBody"/>
        <w:bidi w:val="0"/>
        <w:jc w:val="both"/>
        <w:rPr/>
      </w:pPr>
      <w:r>
        <w:rPr>
          <w:rFonts w:ascii="Times New Roman" w:hAnsi="Times New Roman"/>
          <w:b/>
          <w:color w:val="000000"/>
          <w:sz w:val="22"/>
        </w:rPr>
        <w:t>Prosecution, Maintenance and Enforcement of Patent Rights</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11.4.1</w:t>
      </w:r>
    </w:p>
    <w:p>
      <w:pPr>
        <w:pStyle w:val="TextBody"/>
        <w:bidi w:val="0"/>
        <w:jc w:val="both"/>
        <w:rPr/>
      </w:pPr>
      <w:r>
        <w:rPr>
          <w:rFonts w:ascii="Times New Roman" w:hAnsi="Times New Roman"/>
          <w:b/>
          <w:color w:val="000000"/>
          <w:sz w:val="22"/>
        </w:rPr>
        <w:t>By Tenaya</w:t>
      </w:r>
      <w:r>
        <w:rPr>
          <w:rFonts w:ascii="Times New Roman" w:hAnsi="Times New Roman"/>
          <w:color w:val="000000"/>
          <w:sz w:val="22"/>
        </w:rPr>
        <w:t>. Tenaya has the sole right (but not the obligation) to, at Tenaya’s discretion, file, conduct prosecution, maintain (including the defense of any interference, opposition or any other pre- or post-grant proceedings or challenges) and enforce, all Tenaya Platform Patents, in Tenaya’s name.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11.4.2</w:t>
      </w:r>
    </w:p>
    <w:p>
      <w:pPr>
        <w:pStyle w:val="TextBody"/>
        <w:bidi w:val="0"/>
        <w:jc w:val="both"/>
        <w:rPr/>
      </w:pPr>
      <w:r>
        <w:rPr>
          <w:rFonts w:ascii="Times New Roman" w:hAnsi="Times New Roman"/>
          <w:b/>
          <w:color w:val="000000"/>
          <w:sz w:val="22"/>
        </w:rPr>
        <w:t>By Alnylam</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b/>
          <w:color w:val="000000"/>
          <w:sz w:val="22"/>
        </w:rPr>
        <w:t>Alnylam Patents</w:t>
      </w:r>
      <w:r>
        <w:rPr>
          <w:rFonts w:ascii="Times New Roman" w:hAnsi="Times New Roman"/>
          <w:color w:val="000000"/>
          <w:sz w:val="22"/>
        </w:rPr>
        <w:t>. Alnylam has the sole right (but not the obligation) to, at Alnylam’s discretion, file, conduct prosecution, maintain (including the defense of any interference, opposition or any other pre- or post-grant proceedings or challenges) and enforce, all Alnylam Patents, in Alnylam’s name.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b/>
          <w:color w:val="000000"/>
          <w:sz w:val="22"/>
        </w:rPr>
        <w:t>Tenaya Collaboration Patents</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 xml:space="preserve">During the Term, Alnylam has the [***] right (but not the obligation) to file, conduct prosecution, and maintain (including the defense of any interference, opposition or any other pre- or post-grant proceedings or challenges), all Tenaya Collaboration Patents, in Tenaya’s name. Alnylam will (A) provide Tenaya with copies of all material communications to and from any patent authority regarding such Tenaya Collaboration Patents, including without limitation office actions, responses, and notices of allowance, in a timely manner; (B) consult with Tenaya and provide Tenaya with a reasonable opportunity to review and comment on Alnylam’s prosecution strategy for such Tenaya Collaboration Patents, including without limitation the countries in which applications will be filed, the scope of claims to be pursued, responses to office actions, and any decisions to abandon, disclaim, or narrow claims; and (C) consider in good faith all comments provided by Tenaya regarding prosecution strategy..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Alnylam has the [***] right (but not the obligation) to enforce all Tenaya Collaboration Patents against any infringement by a Third Party in connection with such Third Party’s Exploitation of a product that would have been a Product if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developed under this Agreement (“</w:t>
      </w:r>
      <w:r>
        <w:rPr>
          <w:rFonts w:ascii="Times New Roman" w:hAnsi="Times New Roman"/>
          <w:b/>
          <w:color w:val="000000"/>
          <w:sz w:val="22"/>
        </w:rPr>
        <w:t>Infringement</w:t>
      </w:r>
      <w:r>
        <w:rPr>
          <w:color w:val="000000"/>
        </w:rPr>
        <w:t>”</w:t>
      </w:r>
      <w:r>
        <w:rPr>
          <w:rFonts w:ascii="Times New Roman" w:hAnsi="Times New Roman"/>
          <w:color w:val="000000"/>
          <w:sz w:val="22"/>
        </w:rPr>
        <w:t>). Alnylam shall keep Tenaya regularly informed of the status and progress of such enforcement efforts, including providing Tenaya a reasonable opportunity to comment on Alnylam’s determination of litigation strategy and the filing of important papers to the competent court and Alnylam shall consider such comments in good faith. Tenaya shall have the right, at its own expense, to retain its own counsel with respect to its participation in any such action.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b/>
          <w:color w:val="000000"/>
          <w:sz w:val="22"/>
        </w:rPr>
        <w:t>Joint Collaboration Patents</w:t>
      </w:r>
      <w:r>
        <w:rPr>
          <w:rFonts w:ascii="Times New Roman" w:hAnsi="Times New Roman"/>
          <w:color w:val="000000"/>
          <w:sz w:val="22"/>
        </w:rPr>
        <w:t xml:space="preser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2"/>
        </w:rPr>
        <w:t>During the Term, Alnylam has the [***] right to file, prosecute, and maintain (including the defense of any interference, opposition or any other pre- or post-grant proceedings or challenges), all Patent Rights comprising Joint Collaboration Technology (“</w:t>
      </w:r>
      <w:r>
        <w:rPr>
          <w:rFonts w:ascii="Times New Roman" w:hAnsi="Times New Roman"/>
          <w:b/>
          <w:color w:val="000000"/>
          <w:sz w:val="22"/>
        </w:rPr>
        <w:t>Joint Collaboration Patents</w:t>
      </w:r>
      <w:r>
        <w:rPr>
          <w:color w:val="000000"/>
        </w:rPr>
        <w:t>”</w:t>
      </w:r>
      <w:r>
        <w:rPr>
          <w:rFonts w:ascii="Times New Roman" w:hAnsi="Times New Roman"/>
          <w:color w:val="000000"/>
          <w:sz w:val="22"/>
        </w:rPr>
        <w:t>), in both Parties’ names. Alnylam will (A) provide Tenaya with copies of all material communications to and from any patent authority regarding such Joint Collaboration Patents, including without limitation office actions, responses, and notices of allowance, in a timely manner; (B) consult with Tenaya and provide Tenaya with a reasonable opportunity to review and comment on Alnylam’s prosecution strategy for such Joint Collaboration Patents, including without limitation the countries in which applications will be filed, the scope of claims to be pursued, responses to office actions, and any decisions to abandon, disclaim, or narrow claims; and (C) consider in good faith all comments provided by Tenaya regarding prosecution strategy.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Alnylam has the [***] right (but not the obligation) to enforce all Joint Collaboration Patents against any Infringement.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11.4.3</w:t>
      </w:r>
    </w:p>
    <w:p>
      <w:pPr>
        <w:pStyle w:val="TextBody"/>
        <w:bidi w:val="0"/>
        <w:jc w:val="both"/>
        <w:rPr/>
      </w:pPr>
      <w:r>
        <w:rPr>
          <w:rFonts w:ascii="Times New Roman" w:hAnsi="Times New Roman"/>
          <w:b/>
          <w:color w:val="000000"/>
          <w:sz w:val="22"/>
        </w:rPr>
        <w:t>Cooperation</w:t>
      </w:r>
      <w:r>
        <w:rPr>
          <w:rFonts w:ascii="Times New Roman" w:hAnsi="Times New Roman"/>
          <w:color w:val="000000"/>
          <w:sz w:val="22"/>
        </w:rPr>
        <w:t>. At the reasonable request of the Party responsible for prosecution, maintenance, enforcement or defense under this Section 11.4, the other Party agrees to cooperate fully in the preparation, filing, prosecution, enforcement, defense and maintenance (including conducting or participating in inter partes reviews, post grant reviews, derivation proceedings, interferences and oppositions and the like) of any Patent Rights under this Agreement. 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defense or maintenance of any such Patent Rights.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11.4.4</w:t>
      </w:r>
    </w:p>
    <w:p>
      <w:pPr>
        <w:pStyle w:val="TextBody"/>
        <w:bidi w:val="0"/>
        <w:jc w:val="both"/>
        <w:rPr/>
      </w:pPr>
      <w:r>
        <w:rPr>
          <w:rFonts w:ascii="Times New Roman" w:hAnsi="Times New Roman"/>
          <w:b/>
          <w:color w:val="000000"/>
          <w:sz w:val="22"/>
        </w:rPr>
        <w:t>Patent Expenses</w:t>
      </w:r>
      <w:r>
        <w:rPr>
          <w:rFonts w:ascii="Times New Roman" w:hAnsi="Times New Roman"/>
          <w:color w:val="000000"/>
          <w:sz w:val="22"/>
        </w:rPr>
        <w:t>. The patent filing, prosecution and maintenance expenses incurred after the Effective Date with respect to (a) the Alnylam Patents, will be borne by [***], (b) the Tenaya Collaboration Patents, will be borne by [***], (c) the Tenaya Platform Patents, will be borne by [***], and (d) the Joint Collaboration Patents, will be borne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11.4.5</w:t>
      </w:r>
    </w:p>
    <w:p>
      <w:pPr>
        <w:pStyle w:val="TextBody"/>
        <w:bidi w:val="0"/>
        <w:spacing w:before="0" w:after="240"/>
        <w:jc w:val="both"/>
        <w:rPr/>
      </w:pPr>
      <w:r>
        <w:rPr>
          <w:rFonts w:ascii="Times New Roman" w:hAnsi="Times New Roman"/>
          <w:b/>
          <w:color w:val="000000"/>
          <w:sz w:val="22"/>
        </w:rPr>
        <w:t>Procedures; Expenses and Recoveries</w:t>
      </w:r>
      <w:r>
        <w:rPr>
          <w:rFonts w:ascii="Times New Roman" w:hAnsi="Times New Roman"/>
          <w:color w:val="000000"/>
          <w:sz w:val="22"/>
        </w:rPr>
        <w:t xml:space="preserve">. The Party having the right to initiate any infringement suit under this Section 11.4 will have the sole and exclusive right to select counsel for any such suit and will pay all expenses of the suit, including attorneys’ fees and court costs and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reimbursement of the other Party’s reasonable costs and expenses in rendering assistance requested by the initiating Party. If required under Applicable Law in order for the initiating Party to initiate and/or maintain such suit, or if either Party is unable to initiate or prosecute such suit solely in its own name or it is otherwise advisable to obtain an effective legal remedy, in each case, the other Party will join as a party to the suit and will execute and cause its Affiliates to execute all documents, and take all actions, reasonably necessary for the initiating Party to initiate litigation and maintain such action. In addition, at the initiating Party’s request, the other Party will provide other reasonable assistance to the initiating Party in connection with an infringement suit at no charge to the initiating Party except for reimbursement by the initiating Party of reasonable costs and expenses incurred in rendering such assistance. The non-initiating Party will have the right to participate and be represented in any such suit under this Section 11.4 by its own counsel at its own expense. If the Parties obtain from a Third Party, in connection with any such suit under this Section 11.4, any damages, license fees, royalties or other compensation (including any amount received in settlement of such litigation), such amounts will be allocated in all cases as follows: (a) first, to reimburse each Party for all costs and expenses of the suit incurred by the Parties, including attorneys’ fees and disbursements, court costs and other litigation expenses and, to the extent that such recovery is insufficient to fully reimburse each Party, each Party will be reimbursed pro rata in accordance with each Party’s costs and expenses; and (b) second, the balance will be paid as follows: (ii) if Tenaya is the initiating Party, [***]; and (ii) if Alnylam is the initiating Party,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11.5</w:t>
      </w:r>
    </w:p>
    <w:p>
      <w:pPr>
        <w:pStyle w:val="TextBody"/>
        <w:bidi w:val="0"/>
        <w:jc w:val="both"/>
        <w:rPr/>
      </w:pPr>
      <w:r>
        <w:rPr>
          <w:rFonts w:ascii="Times New Roman" w:hAnsi="Times New Roman"/>
          <w:b/>
          <w:color w:val="000000"/>
          <w:sz w:val="22"/>
        </w:rPr>
        <w:t>Exploitation of Joint Collaboration Technology</w:t>
      </w:r>
      <w:r>
        <w:rPr>
          <w:rFonts w:ascii="Times New Roman" w:hAnsi="Times New Roman"/>
          <w:color w:val="000000"/>
          <w:sz w:val="22"/>
        </w:rPr>
        <w:t>. Subject to the exclusive license granted to Alnylam in Section 6.2, Tenaya’s exclusivity obligation in Section 6.6, and the rights set forth in Section 11.4, each Party (a) will own an equal and undivided interest in the Joint Collaboration Technology and (b) may freely Exploit for any and all purposes, either by itself or through the grant of licenses to Third Parties, any Joint Collaboration Technology on a cost-free basis and with no accounting or obligation to the other Party. Each Party will grant and hereby does grant to the other Party all further permissions, consents, and waivers with respect to, and all licenses under, any Joint Collaboration Technology throughout the world necessary to provide the other Party with full rights of use and Exploitation of such Joint Collaboration Technology.</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11.6</w:t>
      </w:r>
    </w:p>
    <w:p>
      <w:pPr>
        <w:pStyle w:val="TextBody"/>
        <w:bidi w:val="0"/>
        <w:jc w:val="both"/>
        <w:rPr/>
      </w:pPr>
      <w:r>
        <w:rPr>
          <w:rFonts w:ascii="Times New Roman" w:hAnsi="Times New Roman"/>
          <w:b/>
          <w:color w:val="000000"/>
          <w:sz w:val="22"/>
        </w:rPr>
        <w:t>CREATE Act</w:t>
      </w:r>
      <w:r>
        <w:rPr>
          <w:rFonts w:ascii="Times New Roman" w:hAnsi="Times New Roman"/>
          <w:color w:val="000000"/>
          <w:sz w:val="22"/>
        </w:rPr>
        <w:t>. It is the Parties’ intention that this Agreement is a “joint research agreement” as that phrase is defined in 35 U.S.C. § 102(c) as amended by the Cooperative Research and Technology Enhancement (CREATE) Act, including the provisions of 35 U.S.C. § 102(b)(2)(c). The Parties agree to cooperate and to take reasonable actions to maximize the protections available for the Products under such safe harbor provisions.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11.7</w:t>
      </w:r>
    </w:p>
    <w:p>
      <w:pPr>
        <w:pStyle w:val="TextBody"/>
        <w:bidi w:val="0"/>
        <w:jc w:val="both"/>
        <w:rPr/>
      </w:pPr>
      <w:r>
        <w:rPr>
          <w:rFonts w:ascii="Times New Roman" w:hAnsi="Times New Roman"/>
          <w:b/>
          <w:color w:val="000000"/>
          <w:sz w:val="22"/>
        </w:rPr>
        <w:t>Common Interest Agreement</w:t>
      </w:r>
      <w:r>
        <w:rPr>
          <w:rFonts w:ascii="Times New Roman" w:hAnsi="Times New Roman"/>
          <w:color w:val="000000"/>
          <w:sz w:val="22"/>
        </w:rPr>
        <w:t>. All non-public information exchanged between the Parties or between a Party’s outside patent counsel and the other Party regarding the preparation, filing, prosecution, maintenance, defense and enforcement of the Tenaya Collaboration Patents (or counterparts thereto), Joint Collaboration Patents, or otherwise related to any Product, and all shared information regarding analyses or opinions of Third Party Patent Rights or Know-How, shall be deemed Confidential Information. The Parties agree and acknowledge that they have not waived, and nothing in this Agreement constitutes a waiver of, any legal privilege concerning any such Patent Rights, Know-How or Confidential Information, including privilege under the common interest doctrine and similar or related doctrines. In furtherance of the foregoing, if the Parties agree that a separate agreement memorializing this understanding would be advantageous, the Parties shall negotiate and enter into a common interest agreement reflecting this understanding or any other common interest agreement as the Parties may mutually agree, including with respect to any product liability for a Product.</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w:t>
      </w:r>
    </w:p>
    <w:p>
      <w:pPr>
        <w:pStyle w:val="TextBody"/>
        <w:bidi w:val="0"/>
        <w:jc w:val="both"/>
        <w:rPr/>
      </w:pPr>
      <w:r>
        <w:rPr>
          <w:rFonts w:ascii="Times New Roman" w:hAnsi="Times New Roman"/>
          <w:b/>
          <w:color w:val="000000"/>
          <w:sz w:val="22"/>
        </w:rPr>
        <w:t>TERM AND TERMINATION</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12.1</w:t>
      </w:r>
    </w:p>
    <w:p>
      <w:pPr>
        <w:pStyle w:val="TextBody"/>
        <w:bidi w:val="0"/>
        <w:jc w:val="both"/>
        <w:rPr/>
      </w:pPr>
      <w:r>
        <w:rPr>
          <w:rFonts w:ascii="Times New Roman" w:hAnsi="Times New Roman"/>
          <w:b/>
          <w:color w:val="000000"/>
          <w:sz w:val="22"/>
        </w:rPr>
        <w:t>Term</w:t>
      </w:r>
      <w:r>
        <w:rPr>
          <w:rFonts w:ascii="Times New Roman" w:hAnsi="Times New Roman"/>
          <w:color w:val="000000"/>
          <w:sz w:val="22"/>
        </w:rPr>
        <w:t xml:space="preserve">. The Agreement would commence on the Effective Date and would expire (a) on a Non-Alnylam Collaboration Target-by-Non-Alnylam Collaboration Target basis (i) in the event that Alnylam does not commence an NHP PD Study of a Product Directed To such Non-Alnylam Collaboration Target, upon the expiration of the Evaluation Term for such Non-Alnylam Collaboration Target or when such Non-Alnylam Collaboration Target otherwise ceases to be a Collaboration Target, or (ii) in the event that Alnylam does commence an NHP PD Study of a Product Directed To such Non-Alnylam Collaboration Target prior to the expiration of the Evaluation Term for such Non-Alnylam Collaboration Target, the date on which no more payments remain payable hereunder with respect to such Non-Alnylam Collaboration Target, or (b) on an Alnylam Gene Target-by-Alnylam Gene Target basis upon the completion of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Validation Activities and </w:t>
      </w:r>
      <w:r>
        <w:rPr>
          <w:rFonts w:ascii="Times New Roman" w:hAnsi="Times New Roman"/>
          <w:i/>
          <w:color w:val="000000"/>
          <w:sz w:val="22"/>
        </w:rPr>
        <w:t>In Vivo</w:t>
      </w:r>
      <w:r>
        <w:rPr>
          <w:color w:val="000000"/>
        </w:rPr>
        <w:t xml:space="preserve"> </w:t>
      </w:r>
      <w:r>
        <w:rPr>
          <w:rFonts w:ascii="Times New Roman" w:hAnsi="Times New Roman"/>
          <w:color w:val="000000"/>
          <w:sz w:val="22"/>
        </w:rPr>
        <w:t>Validation Activities under the Research Plan with respect thereto (the “</w:t>
      </w:r>
      <w:r>
        <w:rPr>
          <w:rFonts w:ascii="Times New Roman" w:hAnsi="Times New Roman"/>
          <w:b/>
          <w:color w:val="000000"/>
          <w:sz w:val="22"/>
        </w:rPr>
        <w:t>Term</w:t>
      </w:r>
      <w:r>
        <w:rPr>
          <w:color w:val="000000"/>
        </w:rPr>
        <w:t>”</w:t>
      </w:r>
      <w:r>
        <w:rPr>
          <w:rFonts w:ascii="Times New Roman" w:hAnsi="Times New Roman"/>
          <w:color w:val="000000"/>
          <w:sz w:val="22"/>
        </w:rPr>
        <w:t>). Upon expiration under the foregoing subsections (a)(ii) and (b), Alnylam would have a perpetual, exclusive, royalty-free license (with the right to sublicense) under the Licensed Technology to discover, research, Develop, manufacture, Commercialize and otherwise Exploit Products Directed To the applicable Collaboration Target.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12.2</w:t>
      </w:r>
    </w:p>
    <w:p>
      <w:pPr>
        <w:pStyle w:val="TextBody"/>
        <w:bidi w:val="0"/>
        <w:jc w:val="both"/>
        <w:rPr/>
      </w:pPr>
      <w:r>
        <w:rPr>
          <w:rFonts w:ascii="Times New Roman" w:hAnsi="Times New Roman"/>
          <w:b/>
          <w:color w:val="000000"/>
          <w:sz w:val="22"/>
        </w:rPr>
        <w:t>Termination Rights</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12.2.1</w:t>
      </w:r>
    </w:p>
    <w:p>
      <w:pPr>
        <w:pStyle w:val="TextBody"/>
        <w:bidi w:val="0"/>
        <w:jc w:val="both"/>
        <w:rPr/>
      </w:pPr>
      <w:r>
        <w:rPr>
          <w:rFonts w:ascii="Times New Roman" w:hAnsi="Times New Roman"/>
          <w:b/>
          <w:color w:val="000000"/>
          <w:sz w:val="22"/>
        </w:rPr>
        <w:t>Termination for Convenience</w:t>
      </w:r>
      <w:r>
        <w:rPr>
          <w:rFonts w:ascii="Times New Roman" w:hAnsi="Times New Roman"/>
          <w:color w:val="000000"/>
          <w:sz w:val="22"/>
        </w:rPr>
        <w:t xml:space="preserve">. Alnylam will have the right to terminate this Agreement in its entirety, or with respect to any Collaboration Target, at any time after the Effective Date upon [***] prior written notice to Tenaya; provided that Alnylam’s payment obligations under Sections 7.2 and 7.3 with respect to any Non-Alnylam Collaboration Target shall survive such termination if Alnylam continues to exploit any Licensed Product Directed To such Non-Alnylam Collaboration Target, if such termination occurs after Tenaya’s delivery of the </w:t>
      </w:r>
      <w:r>
        <w:rPr>
          <w:rFonts w:ascii="Times New Roman" w:hAnsi="Times New Roman"/>
          <w:i/>
          <w:color w:val="000000"/>
          <w:sz w:val="22"/>
        </w:rPr>
        <w:t xml:space="preserve">In Vitro </w:t>
      </w:r>
      <w:r>
        <w:rPr>
          <w:rFonts w:ascii="Times New Roman" w:hAnsi="Times New Roman"/>
          <w:color w:val="000000"/>
          <w:sz w:val="22"/>
        </w:rPr>
        <w:t>Data Package for such Non-Alnylam Collaboration Target.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12.2.2</w:t>
      </w:r>
    </w:p>
    <w:p>
      <w:pPr>
        <w:pStyle w:val="TextBody"/>
        <w:bidi w:val="0"/>
        <w:jc w:val="both"/>
        <w:rPr/>
      </w:pPr>
      <w:r>
        <w:rPr>
          <w:rFonts w:ascii="Times New Roman" w:hAnsi="Times New Roman"/>
          <w:b/>
          <w:color w:val="000000"/>
          <w:sz w:val="22"/>
        </w:rPr>
        <w:t>Termination for Cause</w:t>
      </w:r>
      <w:r>
        <w:rPr>
          <w:rFonts w:ascii="Times New Roman" w:hAnsi="Times New Roman"/>
          <w:color w:val="000000"/>
          <w:sz w:val="22"/>
        </w:rPr>
        <w:t>. This Agreement may be terminated at any time during the Term upon written notice by either Party (the “</w:t>
      </w:r>
      <w:r>
        <w:rPr>
          <w:rFonts w:ascii="Times New Roman" w:hAnsi="Times New Roman"/>
          <w:b/>
          <w:color w:val="000000"/>
          <w:sz w:val="22"/>
        </w:rPr>
        <w:t>Non-Breaching Party</w:t>
      </w:r>
      <w:r>
        <w:rPr>
          <w:color w:val="000000"/>
        </w:rPr>
        <w:t>”</w:t>
      </w:r>
      <w:r>
        <w:rPr>
          <w:rFonts w:ascii="Times New Roman" w:hAnsi="Times New Roman"/>
          <w:color w:val="000000"/>
          <w:sz w:val="22"/>
        </w:rPr>
        <w:t>) if the other Party (the “</w:t>
      </w:r>
      <w:r>
        <w:rPr>
          <w:rFonts w:ascii="Times New Roman" w:hAnsi="Times New Roman"/>
          <w:b/>
          <w:color w:val="000000"/>
          <w:sz w:val="22"/>
        </w:rPr>
        <w:t>Breaching Party</w:t>
      </w:r>
      <w:r>
        <w:rPr>
          <w:color w:val="000000"/>
        </w:rPr>
        <w:t>”</w:t>
      </w:r>
      <w:r>
        <w:rPr>
          <w:rFonts w:ascii="Times New Roman" w:hAnsi="Times New Roman"/>
          <w:color w:val="000000"/>
          <w:sz w:val="22"/>
        </w:rPr>
        <w:t>) is in material breach of its obligations hereunder and has not cured such breach within [***] in the case of a payment breach, or within [***] in the case of all other breaches, after notice requesting cure of the breach, or, if cure of such breach other than non-payment cannot reasonably be effected within such [***] period, has not delivered to the Non-Breaching Party a plan reasonably calculated to cure such breach within a timeframe that is reasonably prompt in light of the circumstances then prevailing, but in no event more than [***]. Following delivery of such a plan, the Breaching Party will carry out the plan and cure the breach. If the Breaching Party fails to cure a material breach of this Agreement as provided above, then the Non-Breaching Party may terminate this Agreement upon written notice to the Breaching Party, provided that if Tenaya is the Non-Breaching Party, then Tenaya may terminate this Agreement solely with respect to the Product to which the uncured breach relates. Notwithstanding the foregoing, if the Breaching Party in this Section 12.2.2 disputes in good faith the existence, materiality, or failure to cure of any breach, and provides written notice to the Non-Breaching Party of such dispute within the relevant cure period, the Non-Breaching Party will not have the right to terminate this Agreement in accordance with Section 12.2.2 unless and until the relevant dispute has been resolved pursuant to the dispute resolution provisions in Section 13.12. During the pendency of such dispute, all the terms of this Agreement will remain in effect and the Parties will continue to perform all of their respective obligations hereunder.</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12.2.3</w:t>
      </w:r>
    </w:p>
    <w:p>
      <w:pPr>
        <w:pStyle w:val="TextBody"/>
        <w:bidi w:val="0"/>
        <w:jc w:val="both"/>
        <w:rPr/>
      </w:pPr>
      <w:r>
        <w:rPr>
          <w:rFonts w:ascii="Times New Roman" w:hAnsi="Times New Roman"/>
          <w:b/>
          <w:color w:val="000000"/>
          <w:sz w:val="22"/>
        </w:rPr>
        <w:t>Termination for Insolvency</w:t>
      </w:r>
      <w:r>
        <w:rPr>
          <w:rFonts w:ascii="Times New Roman" w:hAnsi="Times New Roman"/>
          <w:color w:val="000000"/>
          <w:sz w:val="22"/>
        </w:rPr>
        <w:t>. If, at any time during the Term,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the other Party may terminate this Agreement in its entirety by providing written notice of its intent to terminate this Agreement to such Party, in which case, this Agreement will terminate on the date on which such Party receives such written notice.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12.3</w:t>
      </w:r>
    </w:p>
    <w:p>
      <w:pPr>
        <w:pStyle w:val="TextBody"/>
        <w:bidi w:val="0"/>
        <w:jc w:val="both"/>
        <w:rPr/>
      </w:pPr>
      <w:r>
        <w:rPr>
          <w:rFonts w:ascii="Times New Roman" w:hAnsi="Times New Roman"/>
          <w:b/>
          <w:color w:val="000000"/>
          <w:sz w:val="22"/>
        </w:rPr>
        <w:t>Certain Additional Remedies in Lieu of Termination</w:t>
      </w:r>
      <w:r>
        <w:rPr>
          <w:rFonts w:ascii="Times New Roman" w:hAnsi="Times New Roman"/>
          <w:color w:val="000000"/>
          <w:sz w:val="22"/>
        </w:rPr>
        <w:t>. In the event that (a) Alnylam notifies Tenaya in writing of a material breach of [***] by Tenaya, and (b) following a final resolution of any Dispute related to such material breach, or its cure, in accordance with Section 12.2.2, Alnylam would have the right to terminate this Agreement pursuant to Section 12.2.2, then in lieu of Alnylam terminating pursuant to Section 12.2.2 (including following expiration of any applicable cure periods), Alnylam may, as its sole remedy for such breach, elect to have this Agreement continue in full force and effect by providing written notice thereof to Tenaya; provided, however, that if Alnylam so elects to continue this Agreement, then from and after such time as Alnylam delivers such written notice to Tenaya, any and all amounts thereafter payable by Alnylam thereafter under Sections 7.2 and 7.3, solely with respect to the Non-Alnylam Collaboration Target to which the uncured material breach relates, will be reduced by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12.4</w:t>
      </w:r>
    </w:p>
    <w:p>
      <w:pPr>
        <w:pStyle w:val="TextBody"/>
        <w:bidi w:val="0"/>
        <w:jc w:val="both"/>
        <w:rPr/>
      </w:pPr>
      <w:r>
        <w:rPr>
          <w:rFonts w:ascii="Times New Roman" w:hAnsi="Times New Roman"/>
          <w:b/>
          <w:color w:val="000000"/>
          <w:sz w:val="22"/>
        </w:rPr>
        <w:t>Effect of Termination</w:t>
      </w:r>
      <w:r>
        <w:rPr>
          <w:rFonts w:ascii="Times New Roman" w:hAnsi="Times New Roman"/>
          <w:color w:val="000000"/>
          <w:sz w:val="22"/>
        </w:rPr>
        <w:t>. If this Agreement is terminated in its entirety or with respect to one or more Non-Alnylam Collaboration Targets, the following terms will apply to this Agreement, either in its entirety or, on a Terminated Collaboration Target-by-Terminated Collaboration Target basis, with respect to the Terminated Collaboration Targets(s) that are the subject of such termination, as the case may be: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12.4.1</w:t>
      </w:r>
    </w:p>
    <w:p>
      <w:pPr>
        <w:pStyle w:val="TextBody"/>
        <w:bidi w:val="0"/>
        <w:jc w:val="both"/>
        <w:rPr/>
      </w:pPr>
      <w:r>
        <w:rPr>
          <w:rFonts w:ascii="Times New Roman" w:hAnsi="Times New Roman"/>
          <w:b/>
          <w:color w:val="000000"/>
          <w:sz w:val="22"/>
        </w:rPr>
        <w:t>Cessation of Rights</w:t>
      </w:r>
      <w:r>
        <w:rPr>
          <w:rFonts w:ascii="Times New Roman" w:hAnsi="Times New Roman"/>
          <w:color w:val="000000"/>
          <w:sz w:val="22"/>
        </w:rPr>
        <w:t>. All rights and licenses granted by either Party to the other Party and all obligations under this Agreement will terminate (provided that the licenses will continue on a non-exclusive basis solely for purposes of completing wind-down activities).</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12.4.2</w:t>
      </w:r>
    </w:p>
    <w:p>
      <w:pPr>
        <w:pStyle w:val="TextBody"/>
        <w:bidi w:val="0"/>
        <w:jc w:val="both"/>
        <w:rPr/>
      </w:pPr>
      <w:r>
        <w:rPr>
          <w:rFonts w:ascii="Times New Roman" w:hAnsi="Times New Roman"/>
          <w:b/>
          <w:color w:val="000000"/>
          <w:sz w:val="22"/>
        </w:rPr>
        <w:t>Return of Confidential Information</w:t>
      </w:r>
      <w:r>
        <w:rPr>
          <w:rFonts w:ascii="Times New Roman" w:hAnsi="Times New Roman"/>
          <w:color w:val="000000"/>
          <w:sz w:val="22"/>
        </w:rPr>
        <w:t>. Subject to Section 8.1.1, upon the expiration or termination of this Agreement, the Receiving Party will return to the Disclosing Party or, as directed by the Disclosing Party, destroy (and certify such destruction in writing) all Confidential Information of the Disclosing Party (or if the Agreement is terminated with respect to one or more Collaboration Targets but not in its entirety, all Confidential Information of the Disclosing Party that solely relates to such Terminated Collaboration Target), that is in the Receiving Party’s or its Affiliates’ or Sublicensees’ possession or control, provided, however, that copies may be retained and stored by the Receiving Party solely for the purpose of determining its obligations under this Agreement, subject to the non-disclosure and non-use obligation under Article 8. In addition, the Receiving Party will not be required to return or destroy Confidential Information contained in any computer system back-up records made in the ordinary course of business; provided that such Confidential Information may not be accessed without the Disclosing Party’s prior written consent or as required by Applicable Law.</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12.4.3</w:t>
      </w:r>
    </w:p>
    <w:p>
      <w:pPr>
        <w:pStyle w:val="TextBody"/>
        <w:bidi w:val="0"/>
        <w:jc w:val="both"/>
        <w:rPr>
          <w:rFonts w:ascii="Times New Roman" w:hAnsi="Times New Roman"/>
          <w:color w:val="000000"/>
          <w:sz w:val="22"/>
        </w:rPr>
      </w:pPr>
      <w:r>
        <w:rPr>
          <w:rFonts w:ascii="Times New Roman" w:hAnsi="Times New Roman"/>
          <w:color w:val="000000"/>
          <w:sz w:val="22"/>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12.5</w:t>
      </w:r>
    </w:p>
    <w:p>
      <w:pPr>
        <w:pStyle w:val="TextBody"/>
        <w:bidi w:val="0"/>
        <w:spacing w:before="0" w:after="240"/>
        <w:jc w:val="both"/>
        <w:rPr/>
      </w:pPr>
      <w:r>
        <w:rPr>
          <w:rFonts w:ascii="Times New Roman" w:hAnsi="Times New Roman"/>
          <w:b/>
          <w:color w:val="000000"/>
          <w:sz w:val="22"/>
        </w:rPr>
        <w:t>Effect of Expiration or Termination; Survival</w:t>
      </w:r>
      <w:r>
        <w:rPr>
          <w:rFonts w:ascii="Times New Roman" w:hAnsi="Times New Roman"/>
          <w:color w:val="000000"/>
          <w:sz w:val="22"/>
        </w:rPr>
        <w:t xml:space="preserve">. Expiration or termination of this Agreement will not relieve the Parties of any obligation accruing prior to such expiration or termination. Any expiration or termination of this Agreement will be without prejudice to the rights of either Party against the other accrued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accruing under this Agreement prior to expiration or termination. The provisions of Sections 2.5 (to the extent reimbursement obligations are incurred prior to the effective date of termination or expiration), 2.9, 6.4, 7.2 (to the extent payment obligations are incurred prior to the effective date of termination or expiration), 7.3 (to the extent payment obligations are incurred prior to the effective date of termination or expiration), 7.4, 7.5, 7.6, 7.7, 7.8, 9.5, 11.1, 11.2, 11.3, 11.5, 11.7 12.4, and 12.5 and Articles 1, 8, 10 and 13 will survive any expiration or termination of this Agreement. Except as set forth in this Article 12, upon termination or expiration of this Agreement all other rights and obligations of the Parties under this Agreement cease.</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w:t>
      </w:r>
    </w:p>
    <w:p>
      <w:pPr>
        <w:pStyle w:val="TextBody"/>
        <w:bidi w:val="0"/>
        <w:jc w:val="both"/>
        <w:rPr/>
      </w:pPr>
      <w:r>
        <w:rPr>
          <w:rFonts w:ascii="Times New Roman" w:hAnsi="Times New Roman"/>
          <w:b/>
          <w:color w:val="000000"/>
          <w:sz w:val="22"/>
        </w:rPr>
        <w:t>MISCELLANEOUS</w:t>
      </w:r>
      <w:r>
        <w:rPr>
          <w:rFonts w:ascii="Times New Roman" w:hAnsi="Times New Roman"/>
          <w:color w:val="000000"/>
          <w:sz w:val="22"/>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w:t>
      </w:r>
    </w:p>
    <w:p>
      <w:pPr>
        <w:pStyle w:val="TextBody"/>
        <w:bidi w:val="0"/>
        <w:jc w:val="both"/>
        <w:rPr/>
      </w:pPr>
      <w:r>
        <w:rPr>
          <w:rFonts w:ascii="Times New Roman" w:hAnsi="Times New Roman"/>
          <w:b/>
          <w:color w:val="000000"/>
          <w:sz w:val="22"/>
        </w:rPr>
        <w:t>Assignment</w:t>
      </w:r>
      <w:r>
        <w:rPr>
          <w:rFonts w:ascii="Times New Roman" w:hAnsi="Times New Roman"/>
          <w:color w:val="000000"/>
          <w:sz w:val="22"/>
        </w:rPr>
        <w:t>. Except as provided in this Section 13.1, this Agreement may not be assigned or otherwise transferred, nor may any right or obligation hereunder be assigned or transferred, by either Party without the written consent of the other Party. However, either Party may, without the other Party’s written consent, assign this Agreement and its rights and obligations hereunder in whole or in part to an Affiliate or to a Person that acquires, by merger, sale of assets or otherwise, all or substantially all of the business of the assigning Party to which the subject matter of this Agreement relates. The assigning Party will remain responsible for the performance by its assignee of this Agreement or any obligations hereunder so assigned. Any assignment of the rights or obligations of this Agreement not in accordance with the foregoing will be null and void.</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13.2</w:t>
      </w:r>
    </w:p>
    <w:p>
      <w:pPr>
        <w:pStyle w:val="TextBody"/>
        <w:bidi w:val="0"/>
        <w:jc w:val="both"/>
        <w:rPr/>
      </w:pPr>
      <w:r>
        <w:rPr>
          <w:rFonts w:ascii="Times New Roman" w:hAnsi="Times New Roman"/>
          <w:b/>
          <w:color w:val="000000"/>
          <w:sz w:val="22"/>
        </w:rPr>
        <w:t>Governing Law</w:t>
      </w:r>
      <w:r>
        <w:rPr>
          <w:rFonts w:ascii="Times New Roman" w:hAnsi="Times New Roman"/>
          <w:color w:val="000000"/>
          <w:sz w:val="22"/>
        </w:rPr>
        <w:t>. This Agreement will be construed and the respective rights of the Parties determined in accordance with the substantive laws of the State of New York, notwithstanding any provisions of New York law governing conflicts of laws to the contrary, and the patent laws of the relevant jurisdiction without reference to any rules of conflict of laws.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13.3</w:t>
      </w:r>
    </w:p>
    <w:p>
      <w:pPr>
        <w:pStyle w:val="TextBody"/>
        <w:bidi w:val="0"/>
        <w:jc w:val="both"/>
        <w:rPr/>
      </w:pPr>
      <w:r>
        <w:rPr>
          <w:rFonts w:ascii="Times New Roman" w:hAnsi="Times New Roman"/>
          <w:b/>
          <w:color w:val="000000"/>
          <w:sz w:val="22"/>
        </w:rPr>
        <w:t>Entire Agreement; Amendments</w:t>
      </w:r>
      <w:r>
        <w:rPr>
          <w:rFonts w:ascii="Times New Roman" w:hAnsi="Times New Roman"/>
          <w:color w:val="000000"/>
          <w:sz w:val="22"/>
        </w:rPr>
        <w:t>. This Agreement contains the entire understanding of the Parties with respect to the subject matter hereof, and supersedes all previous arrangements with respect to the subject matter hereof, whether written or oral, including term sheets exchanged between the Parties and the Confidentiality Agreement. This Agreement (including the Exhibits and Schedules hereto) may be amended, or any term hereof modified, only by a written instrument duly-executed by authorized representatives of both Parties.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13.4</w:t>
      </w:r>
    </w:p>
    <w:p>
      <w:pPr>
        <w:pStyle w:val="TextBody"/>
        <w:bidi w:val="0"/>
        <w:jc w:val="both"/>
        <w:rPr/>
      </w:pPr>
      <w:r>
        <w:rPr>
          <w:rFonts w:ascii="Times New Roman" w:hAnsi="Times New Roman"/>
          <w:b/>
          <w:color w:val="000000"/>
          <w:sz w:val="22"/>
        </w:rPr>
        <w:t>Severability</w:t>
      </w:r>
      <w:r>
        <w:rPr>
          <w:rFonts w:ascii="Times New Roman" w:hAnsi="Times New Roman"/>
          <w:color w:val="000000"/>
          <w:sz w:val="22"/>
        </w:rPr>
        <w:t>. If any provision hereof should be held invalid, illegal or unenforceable in any respect in any jurisdiction, the Parties will substitute, by mutual consent, valid provisions for such invalid, illegal or unenforceable provisions, which valid provisions in their economic effect are sufficiently similar to the invalid, illegal or unenforceable provisions that it can be reasonably assumed that the Parties would have entered into this Agreement with such valid provisions. In case such valid provisions cannot be agreed upon, the invalid, illegal or unenforceable of one or several provisions of this Agreement will not affect the validity of this Agreement as a whole, unless the invalid, illegal or unenforceable provisions are of such essential importance to this Agreement that it is to be reasonably assumed that the Parties would not have entered into this Agreement without the invalid, illegal or unenforceable provisions.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13.5</w:t>
      </w:r>
    </w:p>
    <w:p>
      <w:pPr>
        <w:pStyle w:val="TextBody"/>
        <w:bidi w:val="0"/>
        <w:jc w:val="both"/>
        <w:rPr/>
      </w:pPr>
      <w:r>
        <w:rPr>
          <w:rFonts w:ascii="Times New Roman" w:hAnsi="Times New Roman"/>
          <w:b/>
          <w:color w:val="000000"/>
          <w:sz w:val="22"/>
        </w:rPr>
        <w:t>Headings</w:t>
      </w:r>
      <w:r>
        <w:rPr>
          <w:rFonts w:ascii="Times New Roman" w:hAnsi="Times New Roman"/>
          <w:color w:val="000000"/>
          <w:sz w:val="22"/>
        </w:rPr>
        <w:t>. The captions to the Sections and Articles hereof are not a part of this Agreement, but are merely for convenience to assist in locating and reading the several Sections and Articles hereof.</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13.6</w:t>
      </w:r>
    </w:p>
    <w:p>
      <w:pPr>
        <w:pStyle w:val="TextBody"/>
        <w:bidi w:val="0"/>
        <w:spacing w:before="0" w:after="240"/>
        <w:jc w:val="both"/>
        <w:rPr/>
      </w:pPr>
      <w:r>
        <w:rPr>
          <w:rFonts w:ascii="Times New Roman" w:hAnsi="Times New Roman"/>
          <w:b/>
          <w:color w:val="000000"/>
          <w:sz w:val="22"/>
        </w:rPr>
        <w:t>Interpretation</w:t>
      </w:r>
      <w:r>
        <w:rPr>
          <w:rFonts w:ascii="Times New Roman" w:hAnsi="Times New Roman"/>
          <w:color w:val="000000"/>
          <w:sz w:val="22"/>
        </w:rPr>
        <w:t xml:space="preserve">. Whenever the context may require, any pronoun will include the corresponding masculine, feminine and neuter forms and any noun will include the corresponding singular and plural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forms. The words “include”, “includes” and “including” will be deemed to be followed by the phrase “but not limited to.” The word “shall” will be construed to have the same meaning and effect as the word “will.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or therein), (b) any reference to any laws herein will be construed as referring to such laws as from time to time enacted, repealed or amended, (c) any reference herein to any Person will be construed to include the Person’s successors and permitted assigns, (d) the words “herein”, “hereof” and “hereunder”, and words of similar import, will be construed to refer to this Agreement in its entirety and not to any particular provision hereof, (e) all references herein to Sections, Articles, Exhibits or Schedules will be construed to refer to Sections, Articles, Exhibits and Schedules of this Agreement, (f) the word “or” will be construed to have the same meaning and effect as “and/or”, and (g) a term not defined herein but reflecting a different part of speech than a term which is defined herein will be interpreted in a correlative manner.</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13.7</w:t>
      </w:r>
    </w:p>
    <w:p>
      <w:pPr>
        <w:pStyle w:val="TextBody"/>
        <w:bidi w:val="0"/>
        <w:jc w:val="both"/>
        <w:rPr/>
      </w:pPr>
      <w:r>
        <w:rPr>
          <w:rFonts w:ascii="Times New Roman" w:hAnsi="Times New Roman"/>
          <w:b/>
          <w:color w:val="000000"/>
          <w:sz w:val="22"/>
        </w:rPr>
        <w:t>Construction</w:t>
      </w:r>
      <w:r>
        <w:rPr>
          <w:rFonts w:ascii="Times New Roman" w:hAnsi="Times New Roman"/>
          <w:color w:val="000000"/>
          <w:sz w:val="22"/>
        </w:rPr>
        <w:t>. This Agreement has been prepared jointly and will not be strictly construed against either Party. Ambiguities, if any, in this Agreement will not be construed against any Party, irrespective of which Party may be deemed to have authored the ambiguous provision.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13.8</w:t>
      </w:r>
    </w:p>
    <w:p>
      <w:pPr>
        <w:pStyle w:val="TextBody"/>
        <w:bidi w:val="0"/>
        <w:jc w:val="both"/>
        <w:rPr/>
      </w:pPr>
      <w:r>
        <w:rPr>
          <w:rFonts w:ascii="Times New Roman" w:hAnsi="Times New Roman"/>
          <w:b/>
          <w:color w:val="000000"/>
          <w:sz w:val="22"/>
        </w:rPr>
        <w:t>No Implied Waivers; Rights Cumulative</w:t>
      </w:r>
      <w:r>
        <w:rPr>
          <w:rFonts w:ascii="Times New Roman" w:hAnsi="Times New Roman"/>
          <w:color w:val="000000"/>
          <w:sz w:val="22"/>
        </w:rPr>
        <w:t>. No failure on the part of Alnylam or Tenaya to exercise, and no delay in exercising, any right, power, remedy or privilege under this Agreement, or provided by statute or at law or in equity or otherwise, will impair, prejudice or constitute a waiver of any such right, power, remedy or privilege or be construed as a waiver of any breach of this Agreement or as an acquiescence therein, nor will any single or partial exercise of any such right, power, remedy or privilege preclude any other or further exercise thereof or the exercise of any other right, power, remedy or privilege. Except as expressly provided in this Agreement, no right or remedy herein conferred upon or reserved to either Party is intended to be exclusive of any other right or remedy.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13.9</w:t>
      </w:r>
    </w:p>
    <w:p>
      <w:pPr>
        <w:pStyle w:val="TextBody"/>
        <w:bidi w:val="0"/>
        <w:jc w:val="both"/>
        <w:rPr/>
      </w:pPr>
      <w:r>
        <w:rPr>
          <w:rFonts w:ascii="Times New Roman" w:hAnsi="Times New Roman"/>
          <w:b/>
          <w:color w:val="000000"/>
          <w:sz w:val="22"/>
        </w:rPr>
        <w:t>Notices</w:t>
      </w:r>
      <w:r>
        <w:rPr>
          <w:rFonts w:ascii="Times New Roman" w:hAnsi="Times New Roman"/>
          <w:color w:val="000000"/>
          <w:sz w:val="22"/>
        </w:rPr>
        <w:t>. All notices which are required or permitted hereunder will be in writing and sufficient if (a) delivered personally, (b) sent by nationally-recognized overnight courier or sent by registered or certified mail, postage prepaid, return receipt requested, or (c) sent by electronic transmission (and a copy promptly sent by another permissible method of providing notice described in paragraph (a) or (b) above), addressed as follows:</w:t>
      </w:r>
    </w:p>
    <w:p>
      <w:pPr>
        <w:pStyle w:val="TextBody"/>
        <w:bidi w:val="0"/>
        <w:jc w:val="both"/>
        <w:rPr>
          <w:rFonts w:ascii="Times New Roman" w:hAnsi="Times New Roman"/>
          <w:color w:val="000000"/>
          <w:sz w:val="22"/>
        </w:rPr>
      </w:pPr>
      <w:r>
        <w:rPr>
          <w:rFonts w:ascii="Times New Roman" w:hAnsi="Times New Roman"/>
          <w:color w:val="000000"/>
          <w:sz w:val="22"/>
        </w:rPr>
        <w:t>If to Alnylam, to: Alnylam Pharmaceuticals, Inc.</w:t>
      </w:r>
    </w:p>
    <w:p>
      <w:pPr>
        <w:pStyle w:val="TextBody"/>
        <w:bidi w:val="0"/>
        <w:jc w:val="both"/>
        <w:rPr>
          <w:rFonts w:ascii="Times New Roman" w:hAnsi="Times New Roman"/>
          <w:sz w:val="20"/>
        </w:rPr>
      </w:pPr>
      <w:r>
        <w:rPr>
          <w:rFonts w:ascii="Times New Roman" w:hAnsi="Times New Roman"/>
          <w:color w:val="000000"/>
          <w:sz w:val="22"/>
        </w:rPr>
        <w:t>675 West Kendall Street Henri A. Termeer Square</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Cambridge, MA 02142 United States</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to Tenaya, to: Tenaya Therapeutics, Inc.</w:t>
      </w:r>
    </w:p>
    <w:p>
      <w:pPr>
        <w:pStyle w:val="TextBody"/>
        <w:bidi w:val="0"/>
        <w:jc w:val="both"/>
        <w:rPr>
          <w:rFonts w:ascii="Times New Roman" w:hAnsi="Times New Roman"/>
          <w:color w:val="000000"/>
          <w:sz w:val="22"/>
        </w:rPr>
      </w:pPr>
      <w:r>
        <w:rPr>
          <w:rFonts w:ascii="Times New Roman" w:hAnsi="Times New Roman"/>
          <w:color w:val="000000"/>
          <w:sz w:val="22"/>
        </w:rPr>
        <w:t>171 Oyster Point Blvd., Suite 500</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to such other address as the Party to whom notice is to be given may have furnished to the other Party in writing in accordance herewith. Any such notice will be deemed to have been given: (a) when delivered if personally delivered on a Business Day (or if delivered on a non-Business Day, then on the next Business Day); (b) on receipt if sent by overnight courier or registered or certified mail; and/or (c) with regard to notices sent by email, as recorded on the device from which the sender sent the email unless the sender receives an automated message that the email has not been delivered.</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13.10</w:t>
      </w:r>
    </w:p>
    <w:p>
      <w:pPr>
        <w:pStyle w:val="TextBody"/>
        <w:bidi w:val="0"/>
        <w:jc w:val="both"/>
        <w:rPr/>
      </w:pPr>
      <w:r>
        <w:rPr>
          <w:rFonts w:ascii="Times New Roman" w:hAnsi="Times New Roman"/>
          <w:b/>
          <w:color w:val="000000"/>
          <w:sz w:val="22"/>
        </w:rPr>
        <w:t>Compliance with Export Regulations</w:t>
      </w:r>
      <w:r>
        <w:rPr>
          <w:rFonts w:ascii="Times New Roman" w:hAnsi="Times New Roman"/>
          <w:color w:val="000000"/>
          <w:sz w:val="22"/>
        </w:rPr>
        <w:t>. Neither Party will export any technology licensed to it by the other Party under this Agreement except in compliance with Applicable Law.</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13.11</w:t>
      </w:r>
    </w:p>
    <w:p>
      <w:pPr>
        <w:pStyle w:val="TextBody"/>
        <w:bidi w:val="0"/>
        <w:jc w:val="both"/>
        <w:rPr/>
      </w:pPr>
      <w:r>
        <w:rPr>
          <w:rFonts w:ascii="Times New Roman" w:hAnsi="Times New Roman"/>
          <w:b/>
          <w:color w:val="000000"/>
          <w:sz w:val="22"/>
        </w:rPr>
        <w:t>Force Majeure</w:t>
      </w:r>
      <w:r>
        <w:rPr>
          <w:rFonts w:ascii="Times New Roman" w:hAnsi="Times New Roman"/>
          <w:color w:val="000000"/>
          <w:sz w:val="22"/>
        </w:rPr>
        <w:t>. Neither Party will be held liable to the other Party nor be deemed to have defaulted under or breached this Agreement for failure or delay in performing any obligation under this Agreement to the extent that such failure or delay is caused by or results from causes beyond the reasonable control of the affected Party, potentially including embargoes, war, acts of war (whether war be declared or not), insurrections, riots, civil commotions, strikes, lockouts or other labor disturbances, fire, floods, epidemic or pandemic (excluding the COVID-19 pandemic); or other acts of God, or acts, omissions or delays in acting by any Governmental Authority or the other Party. The affected Party will notify the other Party of such force majeure circumstances as soon as reasonably practical, and will promptly undertake all reasonable efforts necessary to cure such force majeure circumstances.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13.12</w:t>
      </w:r>
    </w:p>
    <w:p>
      <w:pPr>
        <w:pStyle w:val="TextBody"/>
        <w:bidi w:val="0"/>
        <w:jc w:val="both"/>
        <w:rPr/>
      </w:pPr>
      <w:r>
        <w:rPr>
          <w:rFonts w:ascii="Times New Roman" w:hAnsi="Times New Roman"/>
          <w:b/>
          <w:color w:val="000000"/>
          <w:sz w:val="22"/>
        </w:rPr>
        <w:t>Dispute Resolution</w:t>
      </w:r>
      <w:r>
        <w:rPr>
          <w:rFonts w:ascii="Times New Roman" w:hAnsi="Times New Roman"/>
          <w:color w:val="000000"/>
          <w:sz w:val="22"/>
        </w:rPr>
        <w:t>. In the event that the Parties do not resolve any dispute, controversy or claim arising from, or related to, this Agreement or to the breach hereof (collectively, “</w:t>
      </w:r>
      <w:r>
        <w:rPr>
          <w:rFonts w:ascii="Times New Roman" w:hAnsi="Times New Roman"/>
          <w:b/>
          <w:color w:val="000000"/>
          <w:sz w:val="22"/>
        </w:rPr>
        <w:t>Dispute</w:t>
      </w:r>
      <w:r>
        <w:rPr>
          <w:color w:val="000000"/>
        </w:rPr>
        <w:t>”</w:t>
      </w:r>
      <w:r>
        <w:rPr>
          <w:rFonts w:ascii="Times New Roman" w:hAnsi="Times New Roman"/>
          <w:color w:val="000000"/>
          <w:sz w:val="22"/>
        </w:rPr>
        <w:t>), either Party may refer the Dispute to Executive Officers of each Party for resolution within [***] of a written request by either Party to the other Party. Each Party, within [***] after a Party has received such written request from the other Party to so refer such Dispute, shall notify the other Party in writing of the Executive Officer to whom such Dispute is referred. If, after an additional [***] after the notice of Dispute, such Executive Officers have not succeeded in negotiating a resolution of the Dispute, and neither Party has final decision-making authority as to such Dispute pursuant to Section 5.3, and a Party wishes to pursue the matter, each such Dispute shall be finally settled under the Rules of Arbitration of the International Chamber of Commerce (or its successor entity). Judgment on the arbitration award may be entered in any court of competent jurisdiction thereof. The arbitration shall be decided by a tribunal of three (3) arbitrators, irrespective of the amount in controversy. Each Party shall nominate one arbitrator, and the third, who shall act as presiding arbitrator, shall be nominated by the two (2) Party-nominated arbitrators within [***] of the second arbitrator’s appointment. The seat, or legal place of arbitration, shall be New York, New York, U.S. 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any damages proscribed by Section 11.4 hereof. The prevailing Party shall be awarded all costs and attorneys’ fees reasonably incurred in the arbitration and in the enforcement or vacatur of any award. Except to the extent necessary to confirm, vacate, or enforce an award, or as may be required by Applicable Law, or as needed for the preparation or presentation of claim or defense in the arbitration,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would be barred by the applicable statute of limitations. The tribunal may render early or summary disposition of some or all issues, after the Parties have had a reasonable opportunity to make submissions on these issues.</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13.13</w:t>
      </w:r>
    </w:p>
    <w:p>
      <w:pPr>
        <w:pStyle w:val="TextBody"/>
        <w:bidi w:val="0"/>
        <w:spacing w:before="0" w:after="240"/>
        <w:jc w:val="both"/>
        <w:rPr/>
      </w:pPr>
      <w:r>
        <w:rPr>
          <w:rFonts w:ascii="Times New Roman" w:hAnsi="Times New Roman"/>
          <w:b/>
          <w:color w:val="000000"/>
          <w:sz w:val="22"/>
        </w:rPr>
        <w:t>Independent Contractors</w:t>
      </w:r>
      <w:r>
        <w:rPr>
          <w:rFonts w:ascii="Times New Roman" w:hAnsi="Times New Roman"/>
          <w:color w:val="000000"/>
          <w:sz w:val="22"/>
        </w:rPr>
        <w:t xml:space="preserve">. It is expressly agreed that Alnylam and Tenaya will be independent contractors and that the relationship between Alnylam and Tenaya will not constitute a partnership, joint venture or agency. Alnylam will not have the authority to make any statements, representations or commitments of any kind, or to take any action, which will be binding on Tenaya, without the prior written consent of Tenaya, and Tenaya will not have the authority to make any statements, representations or commitments of any kind, or to take any action, which will be binding on Alnylam, without the prior written consent of Alnylam. For clarity, the Parties’ activities under the Research Plan constitute a research collaboration and neither Party shall be deemed a services provider of the other Party.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13.14</w:t>
      </w:r>
    </w:p>
    <w:p>
      <w:pPr>
        <w:pStyle w:val="TextBody"/>
        <w:bidi w:val="0"/>
        <w:jc w:val="both"/>
        <w:rPr/>
      </w:pPr>
      <w:r>
        <w:rPr>
          <w:rFonts w:ascii="Times New Roman" w:hAnsi="Times New Roman"/>
          <w:b/>
          <w:color w:val="000000"/>
          <w:sz w:val="22"/>
        </w:rPr>
        <w:t>Counterparts</w:t>
      </w:r>
      <w:r>
        <w:rPr>
          <w:rFonts w:ascii="Times New Roman" w:hAnsi="Times New Roman"/>
          <w:color w:val="000000"/>
          <w:sz w:val="22"/>
        </w:rPr>
        <w:t>. The Agreement may be executed in two or more counterparts, each of which will be deemed an original, but all of which together will constitute one and the same instrument. Signatures transmitted via PDF will be treated as original signatures.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13.15</w:t>
      </w:r>
    </w:p>
    <w:p>
      <w:pPr>
        <w:pStyle w:val="TextBody"/>
        <w:bidi w:val="0"/>
        <w:jc w:val="both"/>
        <w:rPr/>
      </w:pPr>
      <w:r>
        <w:rPr>
          <w:rFonts w:ascii="Times New Roman" w:hAnsi="Times New Roman"/>
          <w:b/>
          <w:color w:val="000000"/>
          <w:sz w:val="22"/>
        </w:rPr>
        <w:t>Performance by Affiliates</w:t>
      </w:r>
      <w:r>
        <w:rPr>
          <w:rFonts w:ascii="Times New Roman" w:hAnsi="Times New Roman"/>
          <w:color w:val="000000"/>
          <w:sz w:val="22"/>
        </w:rPr>
        <w:t>. Each Party will have the right to have any of its obligations hereunder performed by any of its Affiliates and the performance of such obligations by any such Affiliate(s) will be deemed to be performance by such Party; provided, however, that such Affiliate will be bound by the corresponding obligations of such Party and such Party will be responsible for ensuring the performance of its obligations under this Agreement and that any failure of any Affiliate performing obligations of such Party hereunder will be deemed to be a failure by such Party to perform such obligations.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13.16</w:t>
      </w:r>
    </w:p>
    <w:p>
      <w:pPr>
        <w:pStyle w:val="TextBody"/>
        <w:bidi w:val="0"/>
        <w:jc w:val="both"/>
        <w:rPr/>
      </w:pPr>
      <w:r>
        <w:rPr>
          <w:rFonts w:ascii="Times New Roman" w:hAnsi="Times New Roman"/>
          <w:b/>
          <w:color w:val="000000"/>
          <w:sz w:val="22"/>
        </w:rPr>
        <w:t>Binding Effect; No Third Party Beneficiaries</w:t>
      </w:r>
      <w:r>
        <w:rPr>
          <w:rFonts w:ascii="Times New Roman" w:hAnsi="Times New Roman"/>
          <w:color w:val="000000"/>
          <w:sz w:val="22"/>
        </w:rPr>
        <w:t>. As of the Effective Date, this Agreement will be binding upon and inure to the benefit of the Parties and their respective successors and permitted assigns. Except as expressly set forth in this Agreement, no person or entity other than the Parties and their respective permitted assignees hereunder will be deemed an intended beneficiary hereunder or have any right to enforce any obligation of this Agreement.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an authorized representative of each Party has executed this Agreement as of the Effective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TENAYA THERAPEUTICS, INC. ALNYLAM PHARMACEUTICALS,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Faraz Ali /s/ Jeff Poulton</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Faraz Ali </w:t>
      </w:r>
      <w:r>
        <w:rPr>
          <w:rFonts w:ascii="Times New Roman" w:hAnsi="Times New Roman"/>
          <w:color w:val="000000"/>
          <w:sz w:val="22"/>
        </w:rPr>
        <w:t xml:space="preserve">Name: </w:t>
      </w:r>
      <w:r>
        <w:rPr>
          <w:rFonts w:ascii="Times New Roman" w:hAnsi="Times New Roman"/>
          <w:color w:val="000000"/>
          <w:sz w:val="22"/>
          <w:u w:val="single"/>
        </w:rPr>
        <w:t xml:space="preserve">Jeff Poulton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Title: </w:t>
      </w:r>
      <w:r>
        <w:rPr>
          <w:rFonts w:ascii="Times New Roman" w:hAnsi="Times New Roman"/>
          <w:color w:val="000000"/>
          <w:sz w:val="22"/>
          <w:u w:val="single"/>
        </w:rPr>
        <w:t xml:space="preserve">Chief Executive Officer </w:t>
      </w:r>
      <w:r>
        <w:rPr>
          <w:rFonts w:ascii="Times New Roman" w:hAnsi="Times New Roman"/>
          <w:color w:val="000000"/>
          <w:sz w:val="22"/>
        </w:rPr>
        <w:t xml:space="preserve">Title: </w:t>
      </w:r>
      <w:r>
        <w:rPr>
          <w:rFonts w:ascii="Times New Roman" w:hAnsi="Times New Roman"/>
          <w:color w:val="000000"/>
          <w:sz w:val="22"/>
          <w:u w:val="single"/>
        </w:rPr>
        <w:t xml:space="preserve">CFO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 xml:space="preserve">04-Mar-2026 </w:t>
      </w:r>
      <w:r>
        <w:rPr>
          <w:rFonts w:ascii="Times New Roman" w:hAnsi="Times New Roman"/>
          <w:color w:val="000000"/>
          <w:sz w:val="22"/>
        </w:rPr>
        <w:t xml:space="preserve">Date: </w:t>
      </w:r>
      <w:r>
        <w:rPr>
          <w:rFonts w:ascii="Times New Roman" w:hAnsi="Times New Roman"/>
          <w:color w:val="000000"/>
          <w:sz w:val="22"/>
          <w:u w:val="single"/>
        </w:rPr>
        <w:t xml:space="preserve">04-Mar-2026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Research Plan and Research Budget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1.104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Tenaya Nominated Gene Targets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5.1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JSC Members as of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8.2.2</w:t>
      </w:r>
    </w:p>
    <w:p>
      <w:pPr>
        <w:pStyle w:val="TextBody"/>
        <w:bidi w:val="0"/>
        <w:jc w:val="center"/>
        <w:rPr>
          <w:rFonts w:ascii="Times New Roman" w:hAnsi="Times New Roman"/>
          <w:b/>
          <w:color w:val="000000"/>
          <w:sz w:val="22"/>
        </w:rPr>
      </w:pPr>
      <w:r>
        <w:rPr>
          <w:rFonts w:ascii="Times New Roman" w:hAnsi="Times New Roman"/>
          <w:b/>
          <w:color w:val="000000"/>
          <w:sz w:val="22"/>
        </w:rPr>
        <w:t>Tenaya Press Release</w:t>
      </w:r>
    </w:p>
    <w:p>
      <w:pPr>
        <w:pStyle w:val="TextBody"/>
        <w:bidi w:val="0"/>
        <w:jc w:val="center"/>
        <w:rPr/>
      </w:pPr>
      <w:r>
        <w:rPr/>
        <w:t> </w:t>
      </w:r>
    </w:p>
    <w:p>
      <w:pPr>
        <w:pStyle w:val="TextBody"/>
        <w:bidi w:val="0"/>
        <w:jc w:val="center"/>
        <w:rPr/>
      </w:pPr>
      <w:r>
        <w:rPr/>
        <w:drawing>
          <wp:inline distT="0" distB="0" distL="0" distR="0">
            <wp:extent cx="15525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552575" cy="742950"/>
                    </a:xfrm>
                    <a:prstGeom prst="rect">
                      <a:avLst/>
                    </a:prstGeom>
                  </pic:spPr>
                </pic:pic>
              </a:graphicData>
            </a:graphic>
          </wp:inline>
        </w:drawing>
      </w:r>
    </w:p>
    <w:p>
      <w:pPr>
        <w:pStyle w:val="TextBody"/>
        <w:bidi w:val="0"/>
        <w:jc w:val="both"/>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Tenaya Therapeutics Enters into Research Collaboration with Alnylam</w:t>
      </w:r>
    </w:p>
    <w:p>
      <w:pPr>
        <w:pStyle w:val="TextBody"/>
        <w:bidi w:val="0"/>
        <w:jc w:val="center"/>
        <w:rPr>
          <w:rFonts w:ascii="Times New Roman" w:hAnsi="Times New Roman"/>
          <w:b/>
          <w:color w:val="000000"/>
          <w:sz w:val="28"/>
        </w:rPr>
      </w:pPr>
      <w:r>
        <w:rPr>
          <w:rFonts w:ascii="Times New Roman" w:hAnsi="Times New Roman"/>
          <w:b/>
          <w:color w:val="000000"/>
          <w:sz w:val="28"/>
        </w:rPr>
        <w:t>Pharmaceuticals to Identify and Validate Novel Genetic Targets for</w:t>
      </w:r>
    </w:p>
    <w:p>
      <w:pPr>
        <w:pStyle w:val="TextBody"/>
        <w:bidi w:val="0"/>
        <w:jc w:val="center"/>
        <w:rPr>
          <w:rFonts w:ascii="Times New Roman" w:hAnsi="Times New Roman"/>
          <w:b/>
          <w:color w:val="000000"/>
          <w:sz w:val="28"/>
        </w:rPr>
      </w:pPr>
      <w:r>
        <w:rPr>
          <w:rFonts w:ascii="Times New Roman" w:hAnsi="Times New Roman"/>
          <w:b/>
          <w:color w:val="000000"/>
          <w:sz w:val="28"/>
        </w:rPr>
        <w:t>Cardiovascular Disease Therapeutics</w:t>
      </w:r>
    </w:p>
    <w:p>
      <w:pPr>
        <w:pStyle w:val="TextBody"/>
        <w:bidi w:val="0"/>
        <w:jc w:val="both"/>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 xml:space="preserve">Agreement Combines Tenaya’s Expertise in Identification and Validation of </w:t>
        <w:br/>
        <w:t>Genetic Heart Disease Targets with Alnylam’s Ability to Deliver Transformational Therapeutics</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Tenaya to Receive Up to $10 Million in Upfront Payments in Addition to Research Funding and Milestone Payments of Up to $1.13 Billion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South San Francisco, CA, Calif., [DATE, 2026] –</w:t>
      </w:r>
      <w:r>
        <w:rPr>
          <w:rFonts w:ascii="Times New Roman" w:hAnsi="Times New Roman"/>
          <w:color w:val="000000"/>
          <w:sz w:val="20"/>
        </w:rPr>
        <w:t xml:space="preserve"> </w:t>
      </w:r>
      <w:r>
        <w:rPr>
          <w:rFonts w:ascii="Times New Roman" w:hAnsi="Times New Roman"/>
          <w:color w:val="000000"/>
          <w:sz w:val="22"/>
        </w:rPr>
        <w:t>Tenaya Therapeutics, Inc. (NASDAQ: TNYA), a clinical-stage biotechnology company with a mission to discover, develop and deliver potentially curative therapies that address the underlying causes of heart disease, today announced a research collaboration agreement with Alnylam Pharmaceuticals (Nasdaq: ALNY), the leading RNAi therapeutics company, to discover novel human genetic targets for the potential development of disease-modifying treatments for cardiovascular diseases.</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This multi-target collaboration underscores Tenaya’s commitment to rigorous science and capitalizes on the proprietary capabilities that have contributed to the discovery and development of Tenaya’s pipeline of candidates for cardiovascular conditions,” said Faraz Ali, Chief Executive Officer of Tenaya Therapeutics. “By combining our modality agnostic target identification and validation capabilities with Alnylam’s leadership in RNA interference therapeutics, we have an opportunity to advance candidates for novel genetic targets with the potential to create transformational medicines for patients with heart disease.”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Under the terms of the agreement, Tenaya Therapeutics will validate up to 15 gene targets. Tenaya will receive up to $10 million in the form of an upfront payment, in addition to reimbursement for related costs incurred over the two-year validation term. Alnylam will be responsible for all development and commercialization activities of therapeutics associated with the identified gene targets. Tenaya may be eligible to receive as much as $1.13 billion in development and commercial milestone payments from Alnylam should all novel genetic targets lead to approved therapeutics for cardiovascular disease.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Tenaya’s Target Identification and Validation Capabilities</w:t>
      </w:r>
    </w:p>
    <w:p>
      <w:pPr>
        <w:pStyle w:val="TextBody"/>
        <w:bidi w:val="0"/>
        <w:jc w:val="both"/>
        <w:rPr>
          <w:rFonts w:ascii="Times New Roman" w:hAnsi="Times New Roman"/>
          <w:sz w:val="20"/>
        </w:rPr>
      </w:pPr>
      <w:r>
        <w:rPr>
          <w:rFonts w:ascii="Times New Roman" w:hAnsi="Times New Roman"/>
          <w:color w:val="000000"/>
          <w:sz w:val="22"/>
        </w:rPr>
        <w:t xml:space="preserve">Tenaya has established a diverse portfolio of proprietary integrated capabilities to enable modality agnostic target identification and validation anchored in human genetics. These capabilities encompass the use of human induced pluripotent stem cell-derived cardiomyocytes (iPSC-CMs) with high throughput </w:t>
      </w:r>
      <w:r>
        <w:rPr>
          <w:rFonts w:ascii="Times New Roman" w:hAnsi="Times New Roman"/>
          <w:i/>
          <w:color w:val="000000"/>
          <w:sz w:val="22"/>
        </w:rPr>
        <w:t>in vitro</w:t>
      </w:r>
      <w:r>
        <w:rPr>
          <w:rFonts w:ascii="Times New Roman" w:hAnsi="Times New Roman"/>
          <w:color w:val="000000"/>
          <w:sz w:val="20"/>
        </w:rPr>
        <w:t xml:space="preserve"> </w:t>
      </w:r>
      <w:r>
        <w:rPr>
          <w:rFonts w:ascii="Times New Roman" w:hAnsi="Times New Roman"/>
          <w:color w:val="000000"/>
          <w:sz w:val="22"/>
        </w:rPr>
        <w:t xml:space="preserve">screening, imaging analysis and machine learning algorithms to identify novel genetic targets, and human engineered heart tissue and preclinical </w:t>
      </w:r>
      <w:r>
        <w:rPr>
          <w:rFonts w:ascii="Times New Roman" w:hAnsi="Times New Roman"/>
          <w:i/>
          <w:color w:val="000000"/>
          <w:sz w:val="22"/>
        </w:rPr>
        <w:t>in vivo</w:t>
      </w:r>
      <w:r>
        <w:rPr>
          <w:rFonts w:ascii="Times New Roman" w:hAnsi="Times New Roman"/>
          <w:color w:val="000000"/>
          <w:sz w:val="20"/>
        </w:rPr>
        <w:t xml:space="preserve"> </w:t>
      </w:r>
      <w:r>
        <w:rPr>
          <w:rFonts w:ascii="Times New Roman" w:hAnsi="Times New Roman"/>
          <w:color w:val="000000"/>
          <w:sz w:val="22"/>
        </w:rPr>
        <w:t>models of human disease to validate and characterize potential product candidates. Collectively, Tenaya’s target identification and validation capabilities have generated more than 150 genetic targets and contributed to the discovery and development of the company’s clinical-stage candidates, including the TN-201 and TN-401 gene therapies and TN-301 small molecule, as well as diverse early-stage programs.</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Tenaya Therapeutics</w:t>
      </w:r>
    </w:p>
    <w:p>
      <w:pPr>
        <w:pStyle w:val="TextBody"/>
        <w:bidi w:val="0"/>
        <w:jc w:val="both"/>
        <w:rPr>
          <w:rFonts w:ascii="Times New Roman" w:hAnsi="Times New Roman"/>
          <w:sz w:val="20"/>
        </w:rPr>
      </w:pPr>
      <w:r>
        <w:rPr>
          <w:rFonts w:ascii="Times New Roman" w:hAnsi="Times New Roman"/>
          <w:color w:val="000000"/>
          <w:sz w:val="22"/>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Times New Roman" w:hAnsi="Times New Roman"/>
          <w:i/>
          <w:color w:val="000000"/>
          <w:sz w:val="22"/>
        </w:rPr>
        <w:t>MYBPC3</w:t>
      </w:r>
      <w:r>
        <w:rPr>
          <w:rFonts w:ascii="Times New Roman" w:hAnsi="Times New Roman"/>
          <w:color w:val="000000"/>
          <w:sz w:val="22"/>
        </w:rPr>
        <w:t xml:space="preserve">-associated hypertrophic cardiomyopathy (HCM) and TN-401, a gene therapy for </w:t>
      </w:r>
      <w:r>
        <w:rPr>
          <w:rFonts w:ascii="Times New Roman" w:hAnsi="Times New Roman"/>
          <w:i/>
          <w:color w:val="000000"/>
          <w:sz w:val="22"/>
        </w:rPr>
        <w:t>PKP2</w:t>
      </w:r>
      <w:r>
        <w:rPr>
          <w:rFonts w:ascii="Times New Roman" w:hAnsi="Times New Roman"/>
          <w:color w:val="000000"/>
          <w:sz w:val="22"/>
        </w:rPr>
        <w:t xml:space="preserve">-associated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 For more information, visit </w:t>
      </w:r>
      <w:r>
        <w:rPr>
          <w:rFonts w:ascii="Times New Roman" w:hAnsi="Times New Roman"/>
          <w:sz w:val="22"/>
        </w:rPr>
        <w:t>www.tenayatherapeutics.com</w:t>
      </w:r>
      <w:r>
        <w:rPr>
          <w:rFonts w:ascii="Times New Roman" w:hAnsi="Times New Roman"/>
          <w:color w:val="000000"/>
          <w:sz w:val="22"/>
        </w:rPr>
        <w: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Forward 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“commitment,” “opportunity,” “potential,” “will,” and “may,” and similar expressions are intended to identify forward-looking statements. Such forward-looking statements include, among other things, Tenaya’s commitment to rigorous science; the opportunity to advance candidates for novel genetic targets and potential to create transformational medicines for patients with heart disease under the collaboration; the potential for Tenaya to receive upfront, development and commercial milestone payments, as well as research reimbursement under the collaboration;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Tenaya’s ability to achieve the expected benefits from the collaboration; risks associated with the process of discovering, developing and commercializing drugs that are safe and effective for use as human therapeutics; Tenaya’s continuing compliance with applicable legal and regulatory requirements; Tenaya’s ability to raise any additional funding it will need to continue to execute on its business plans, including performing its obligations under the collaboration with Alnylam; unanticipated early termination of the collaboration with Alnylam; Tenaya’s reliance on third parties; Tenaya’s research capabilities and strategy; the loss of key scientific or management personnel; Tenaya’s ability to obtain and maintain intellectual property protection for its platform technology and product candidates; general economic and market conditions; and other risks. Information regarding the foregoing and additional risks may be found in the section titled “Risk Factors” in Tenaya’s Quarterly Report on Form 10-Q for the fiscal quarter ended September 30, 2025, and other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rPr>
        <w:t>Tenaya Contacts</w:t>
      </w:r>
      <w:r>
        <w:rPr>
          <w:rFonts w:ascii="Times New Roman" w:hAnsi="Times New Roman"/>
          <w:color w:val="000000"/>
          <w:sz w:val="22"/>
        </w:rPr>
        <w:br/>
        <w:t>Michelle Corral</w:t>
        <w:br/>
        <w:t>VP, Corporate Communications and Investor Relations</w:t>
        <w:br/>
      </w:r>
      <w:r>
        <w:rPr>
          <w:rFonts w:ascii="Times New Roman" w:hAnsi="Times New Roman"/>
          <w:color w:val="467886"/>
          <w:sz w:val="22"/>
        </w:rPr>
        <w:t>IR@tenayathera.com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Investors</w:t>
      </w:r>
      <w:r>
        <w:rPr>
          <w:rFonts w:ascii="Times New Roman" w:hAnsi="Times New Roman"/>
          <w:color w:val="000000"/>
          <w:sz w:val="22"/>
        </w:rPr>
        <w:br/>
        <w:t>Anne-Marie Fields</w:t>
        <w:br/>
        <w:t>Precision AQ</w:t>
      </w:r>
      <w:r>
        <w:rPr>
          <w:rFonts w:ascii="Times New Roman" w:hAnsi="Times New Roman"/>
          <w:color w:val="000000"/>
          <w:sz w:val="20"/>
        </w:rPr>
        <w:t xml:space="preserve"> </w:t>
      </w:r>
    </w:p>
    <w:p>
      <w:pPr>
        <w:pStyle w:val="TextBody"/>
        <w:bidi w:val="0"/>
        <w:jc w:val="left"/>
        <w:rPr>
          <w:rFonts w:ascii="Times New Roman" w:hAnsi="Times New Roman"/>
          <w:color w:val="467886"/>
          <w:sz w:val="22"/>
        </w:rPr>
      </w:pPr>
      <w:r>
        <w:rPr>
          <w:rFonts w:ascii="Times New Roman" w:hAnsi="Times New Roman"/>
          <w:color w:val="467886"/>
          <w:sz w:val="22"/>
        </w:rPr>
        <w:t>annemarie.fields@precisionaq.com</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Media</w:t>
      </w:r>
      <w:r>
        <w:rPr>
          <w:rFonts w:ascii="Times New Roman" w:hAnsi="Times New Roman"/>
          <w:color w:val="000000"/>
          <w:sz w:val="22"/>
        </w:rPr>
        <w:br/>
        <w:t>Wendy Ryan</w:t>
        <w:br/>
        <w:t>Ten Bridge Communications</w:t>
        <w:br/>
      </w:r>
      <w:r>
        <w:rPr>
          <w:rFonts w:ascii="Times New Roman" w:hAnsi="Times New Roman"/>
          <w:color w:val="467886"/>
          <w:sz w:val="22"/>
        </w:rPr>
        <w:t>wendy@tenbridgecommunications.com</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nya-ex31_1.htm"/>
      <w:bookmarkStart w:id="24" w:name="kstnya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Faraz Ali, M.B.A., certify that: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6, 2026</w:t>
      </w:r>
    </w:p>
    <w:tbl>
      <w:tblPr>
        <w:tblW w:w="6583" w:type="dxa"/>
        <w:jc w:val="left"/>
        <w:tblInd w:w="0" w:type="dxa"/>
        <w:tblLayout w:type="fixed"/>
        <w:tblCellMar>
          <w:top w:w="28" w:type="dxa"/>
          <w:left w:w="28" w:type="dxa"/>
          <w:bottom w:w="28" w:type="dxa"/>
          <w:right w:w="28" w:type="dxa"/>
        </w:tblCellMar>
      </w:tblPr>
      <w:tblGrid>
        <w:gridCol w:w="161"/>
        <w:gridCol w:w="631"/>
        <w:gridCol w:w="579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579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5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Interim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nya-ex32_1.htm"/>
      <w:bookmarkStart w:id="26" w:name="kstnya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PRINCIPAL EXECUTIVE OFFICER AND PRINCIPAL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Faraz Ali, M.B.A., certify, pursuant to 18 U.S.C. Section 1350 as adopted pursuant to Section 906 of the Sarbanes-Oxley Act of 2002, that, (1) the Quarterly Report on Form 10-Q of Tenaya Therapeutics, Inc. (the “Company”) for the quarterly period ended March 31, 2026,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left"/>
        <w:rPr/>
      </w:pPr>
      <w:r>
        <w:rPr/>
        <w:t> </w:t>
      </w:r>
    </w:p>
    <w:tbl>
      <w:tblPr>
        <w:tblW w:w="7573" w:type="dxa"/>
        <w:jc w:val="left"/>
        <w:tblInd w:w="0" w:type="dxa"/>
        <w:tblLayout w:type="fixed"/>
        <w:tblCellMar>
          <w:top w:w="28" w:type="dxa"/>
          <w:left w:w="28" w:type="dxa"/>
          <w:bottom w:w="28" w:type="dxa"/>
          <w:right w:w="28" w:type="dxa"/>
        </w:tblCellMar>
      </w:tblPr>
      <w:tblGrid>
        <w:gridCol w:w="1636"/>
        <w:gridCol w:w="146"/>
        <w:gridCol w:w="57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Interim Principal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095017023040651/tnya-ex3_1.htm" TargetMode="External"/><Relationship Id="rId3" Type="http://schemas.openxmlformats.org/officeDocument/2006/relationships/hyperlink" Target="https://www.sec.gov/Archives/edgar/data/1858848/000095017023008934/tnya-ex3_1.htm" TargetMode="External"/><Relationship Id="rId4" Type="http://schemas.openxmlformats.org/officeDocument/2006/relationships/hyperlink" Target="https://www.sec.gov/Archives/edgar/data/1858848/000119312526032017/tnya-ex10_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81322</Words>
  <Characters>455637</Characters>
  <CharactersWithSpaces>536441</CharactersWithSpaces>
  <Paragraphs>5516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