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454546"/>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54546"/>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454546"/>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2738120</wp:posOffset>
                </wp:positionH>
                <wp:positionV relativeFrom="paragraph">
                  <wp:posOffset>57150</wp:posOffset>
                </wp:positionV>
                <wp:extent cx="82296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6pt,4.5pt" to="280.4pt,4.5pt" o:allowincell="f" strokecolor="#454546" strokeweight="1pt"/>
            </w:pict>
          </mc:Fallback>
        </mc:AlternateConten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454546"/>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2738120</wp:posOffset>
                </wp:positionH>
                <wp:positionV relativeFrom="paragraph">
                  <wp:posOffset>89535</wp:posOffset>
                </wp:positionV>
                <wp:extent cx="82296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6pt,7.05pt" to="280.4pt,7.05pt" o:allowincell="f" strokecolor="#454546" strokeweight="1pt"/>
            </w:pict>
          </mc:Fallback>
        </mc:AlternateConten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454546"/>
        </w:rPr>
        <w:t>(Mark One)</w:t>
      </w:r>
    </w:p>
    <w:p>
      <w:pPr>
        <w:spacing w:after="0" w:line="6" w:lineRule="exact"/>
        <w:rPr>
          <w:sz w:val="24"/>
          <w:szCs w:val="24"/>
          <w:color w:val="auto"/>
        </w:rPr>
      </w:pPr>
    </w:p>
    <w:p>
      <w:pPr>
        <w:ind w:left="400" w:hanging="394"/>
        <w:spacing w:after="0"/>
        <w:tabs>
          <w:tab w:leader="none" w:pos="400" w:val="left"/>
        </w:tabs>
        <w:numPr>
          <w:ilvl w:val="0"/>
          <w:numId w:val="1"/>
        </w:numPr>
        <w:rPr>
          <w:rFonts w:ascii="Segoe UI Symbol" w:cs="Segoe UI Symbol" w:eastAsia="Segoe UI Symbol" w:hAnsi="Segoe UI Symbol"/>
          <w:sz w:val="18"/>
          <w:szCs w:val="18"/>
          <w:b w:val="1"/>
          <w:bCs w:val="1"/>
          <w:color w:val="454546"/>
        </w:rPr>
      </w:pPr>
      <w:r>
        <w:rPr>
          <w:rFonts w:ascii="Times New Roman" w:cs="Times New Roman" w:eastAsia="Times New Roman" w:hAnsi="Times New Roman"/>
          <w:sz w:val="18"/>
          <w:szCs w:val="18"/>
          <w:b w:val="1"/>
          <w:bCs w:val="1"/>
          <w:color w:val="454546"/>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OR</w:t>
      </w:r>
    </w:p>
    <w:p>
      <w:pPr>
        <w:spacing w:after="0" w:line="60" w:lineRule="exact"/>
        <w:rPr>
          <w:sz w:val="24"/>
          <w:szCs w:val="24"/>
          <w:color w:val="auto"/>
        </w:rPr>
      </w:pPr>
    </w:p>
    <w:p>
      <w:pPr>
        <w:ind w:left="400" w:hanging="394"/>
        <w:spacing w:after="0"/>
        <w:tabs>
          <w:tab w:leader="none" w:pos="400" w:val="left"/>
        </w:tabs>
        <w:numPr>
          <w:ilvl w:val="0"/>
          <w:numId w:val="2"/>
        </w:numPr>
        <w:rPr>
          <w:rFonts w:ascii="Segoe UI Symbol" w:cs="Segoe UI Symbol" w:eastAsia="Segoe UI Symbol" w:hAnsi="Segoe UI Symbol"/>
          <w:sz w:val="18"/>
          <w:szCs w:val="18"/>
          <w:b w:val="1"/>
          <w:bCs w:val="1"/>
          <w:color w:val="454546"/>
        </w:rPr>
      </w:pPr>
      <w:r>
        <w:rPr>
          <w:rFonts w:ascii="Times New Roman" w:cs="Times New Roman" w:eastAsia="Times New Roman" w:hAnsi="Times New Roman"/>
          <w:sz w:val="18"/>
          <w:szCs w:val="18"/>
          <w:b w:val="1"/>
          <w:bCs w:val="1"/>
          <w:color w:val="454546"/>
        </w:rPr>
        <w:t>TRANSITION REPORT PURSUANT TO SECTION 13 OR 15(d) OF THE SECURITIES EXCHANGE ACT OF 1934</w:t>
      </w:r>
    </w:p>
    <w:p>
      <w:pPr>
        <w:spacing w:after="0" w:line="60"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454546"/>
        </w:rPr>
        <w:t>FOR THE TRANSITION PERIOD FROM___________TO___________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Commission File Number 001-40656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2738120</wp:posOffset>
                </wp:positionH>
                <wp:positionV relativeFrom="paragraph">
                  <wp:posOffset>75565</wp:posOffset>
                </wp:positionV>
                <wp:extent cx="8229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6pt,5.95pt" to="280.4pt,5.95pt" o:allowincell="f" strokecolor="#454546" strokeweight="1pt"/>
            </w:pict>
          </mc:Fallback>
        </mc:AlternateConten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454546"/>
        </w:rPr>
        <w:t>TENAYA THERAPEUTICS,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2738120</wp:posOffset>
                </wp:positionH>
                <wp:positionV relativeFrom="paragraph">
                  <wp:posOffset>57150</wp:posOffset>
                </wp:positionV>
                <wp:extent cx="82296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6pt,4.5pt" to="280.4pt,4.5pt" o:allowincell="f" strokecolor="#454546" strokeweight="1pt"/>
            </w:pict>
          </mc:Fallback>
        </mc:AlternateContent>
      </w:r>
    </w:p>
    <w:p>
      <w:pPr>
        <w:sectPr>
          <w:pgSz w:w="12240" w:h="15840" w:orient="portrait"/>
          <w:cols w:equalWidth="0" w:num="1">
            <w:col w:w="9920"/>
          </w:cols>
          <w:pgMar w:left="1160" w:top="1113" w:right="1160" w:bottom="1440" w:gutter="0" w:footer="0" w:header="0"/>
        </w:sectPr>
      </w:pPr>
    </w:p>
    <w:p>
      <w:pPr>
        <w:spacing w:after="0" w:line="1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454546"/>
        </w:rPr>
        <w:t>Delaware</w:t>
      </w:r>
    </w:p>
    <w:p>
      <w:pPr>
        <w:spacing w:after="0" w:line="26"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454546"/>
        </w:rPr>
        <w:t>(State or other jurisdiction of</w:t>
      </w:r>
    </w:p>
    <w:p>
      <w:pPr>
        <w:ind w:left="1560"/>
        <w:spacing w:after="0"/>
        <w:rPr>
          <w:sz w:val="20"/>
          <w:szCs w:val="20"/>
          <w:color w:val="auto"/>
        </w:rPr>
      </w:pPr>
      <w:r>
        <w:rPr>
          <w:rFonts w:ascii="Times New Roman" w:cs="Times New Roman" w:eastAsia="Times New Roman" w:hAnsi="Times New Roman"/>
          <w:sz w:val="13"/>
          <w:szCs w:val="13"/>
          <w:b w:val="1"/>
          <w:bCs w:val="1"/>
          <w:color w:val="454546"/>
        </w:rPr>
        <w:t>incorporation or organization)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454546"/>
        </w:rPr>
        <w:t>81-3789973</w:t>
      </w:r>
    </w:p>
    <w:p>
      <w:pPr>
        <w:spacing w:after="0" w:line="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454546"/>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454546"/>
        </w:rPr>
        <w:t>Identification No.)</w:t>
      </w:r>
    </w:p>
    <w:p>
      <w:pPr>
        <w:spacing w:after="0" w:line="1" w:lineRule="exact"/>
        <w:rPr>
          <w:sz w:val="24"/>
          <w:szCs w:val="24"/>
          <w:color w:val="auto"/>
        </w:rPr>
      </w:pPr>
    </w:p>
    <w:p>
      <w:pPr>
        <w:sectPr>
          <w:pgSz w:w="12240" w:h="15840" w:orient="portrait"/>
          <w:cols w:equalWidth="0" w:num="2">
            <w:col w:w="6160" w:space="720"/>
            <w:col w:w="3040"/>
          </w:cols>
          <w:pgMar w:left="1160" w:top="1113" w:right="1160" w:bottom="1440" w:gutter="0" w:footer="0" w:header="0"/>
          <w:type w:val="continuous"/>
        </w:sectPr>
      </w:pPr>
    </w:p>
    <w:tbl>
      <w:tblPr>
        <w:tblLayout w:type="fixed"/>
        <w:tblInd w:w="1000" w:type="dxa"/>
        <w:tblCellMar>
          <w:top w:w="0" w:type="dxa"/>
          <w:left w:w="0" w:type="dxa"/>
          <w:bottom w:w="0" w:type="dxa"/>
          <w:right w:w="0" w:type="dxa"/>
        </w:tblCellMar>
      </w:tblPr>
      <w:tr>
        <w:trPr>
          <w:trHeight w:val="196"/>
        </w:trPr>
        <w:tc>
          <w:tcPr>
            <w:tcW w:w="4520" w:type="dxa"/>
            <w:vAlign w:val="bottom"/>
          </w:tcPr>
          <w:p>
            <w:pPr>
              <w:jc w:val="center"/>
              <w:ind w:right="1497"/>
              <w:spacing w:after="0" w:line="195" w:lineRule="exact"/>
              <w:rPr>
                <w:sz w:val="20"/>
                <w:szCs w:val="20"/>
                <w:color w:val="auto"/>
              </w:rPr>
            </w:pPr>
            <w:r>
              <w:rPr>
                <w:rFonts w:ascii="Times New Roman" w:cs="Times New Roman" w:eastAsia="Times New Roman" w:hAnsi="Times New Roman"/>
                <w:sz w:val="18"/>
                <w:szCs w:val="18"/>
                <w:b w:val="1"/>
                <w:bCs w:val="1"/>
                <w:color w:val="454546"/>
              </w:rPr>
              <w:t>171 Oyster Point Boulevard, Suite 500</w:t>
            </w:r>
          </w:p>
        </w:tc>
        <w:tc>
          <w:tcPr>
            <w:tcW w:w="2240" w:type="dxa"/>
            <w:vAlign w:val="bottom"/>
          </w:tcPr>
          <w:p>
            <w:pPr>
              <w:spacing w:after="0"/>
              <w:rPr>
                <w:sz w:val="17"/>
                <w:szCs w:val="17"/>
                <w:color w:val="auto"/>
              </w:rPr>
            </w:pPr>
          </w:p>
        </w:tc>
      </w:tr>
      <w:tr>
        <w:trPr>
          <w:trHeight w:val="226"/>
        </w:trPr>
        <w:tc>
          <w:tcPr>
            <w:tcW w:w="4520" w:type="dxa"/>
            <w:vAlign w:val="bottom"/>
          </w:tcPr>
          <w:p>
            <w:pPr>
              <w:jc w:val="center"/>
              <w:ind w:right="1497"/>
              <w:spacing w:after="0"/>
              <w:rPr>
                <w:sz w:val="20"/>
                <w:szCs w:val="20"/>
                <w:color w:val="auto"/>
              </w:rPr>
            </w:pPr>
            <w:r>
              <w:rPr>
                <w:rFonts w:ascii="Times New Roman" w:cs="Times New Roman" w:eastAsia="Times New Roman" w:hAnsi="Times New Roman"/>
                <w:sz w:val="18"/>
                <w:szCs w:val="18"/>
                <w:b w:val="1"/>
                <w:bCs w:val="1"/>
                <w:color w:val="454546"/>
              </w:rPr>
              <w:t>South San Francisco, CA</w:t>
            </w:r>
          </w:p>
        </w:tc>
        <w:tc>
          <w:tcPr>
            <w:tcW w:w="224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454546"/>
              </w:rPr>
              <w:t>94080</w:t>
            </w:r>
          </w:p>
        </w:tc>
      </w:tr>
      <w:tr>
        <w:trPr>
          <w:trHeight w:val="191"/>
        </w:trPr>
        <w:tc>
          <w:tcPr>
            <w:tcW w:w="4520" w:type="dxa"/>
            <w:vAlign w:val="bottom"/>
          </w:tcPr>
          <w:p>
            <w:pPr>
              <w:jc w:val="center"/>
              <w:ind w:right="1497"/>
              <w:spacing w:after="0"/>
              <w:rPr>
                <w:sz w:val="20"/>
                <w:szCs w:val="20"/>
                <w:color w:val="auto"/>
              </w:rPr>
            </w:pPr>
            <w:r>
              <w:rPr>
                <w:rFonts w:ascii="Times New Roman" w:cs="Times New Roman" w:eastAsia="Times New Roman" w:hAnsi="Times New Roman"/>
                <w:sz w:val="14"/>
                <w:szCs w:val="14"/>
                <w:b w:val="1"/>
                <w:bCs w:val="1"/>
                <w:color w:val="454546"/>
                <w:w w:val="99"/>
              </w:rPr>
              <w:t>(Address of principal executive offices)</w:t>
            </w:r>
          </w:p>
        </w:tc>
        <w:tc>
          <w:tcPr>
            <w:tcW w:w="2240" w:type="dxa"/>
            <w:vAlign w:val="bottom"/>
          </w:tcPr>
          <w:p>
            <w:pPr>
              <w:jc w:val="center"/>
              <w:ind w:left="1520"/>
              <w:spacing w:after="0"/>
              <w:rPr>
                <w:sz w:val="20"/>
                <w:szCs w:val="20"/>
                <w:color w:val="auto"/>
              </w:rPr>
            </w:pPr>
            <w:r>
              <w:rPr>
                <w:rFonts w:ascii="Times New Roman" w:cs="Times New Roman" w:eastAsia="Times New Roman" w:hAnsi="Times New Roman"/>
                <w:sz w:val="14"/>
                <w:szCs w:val="14"/>
                <w:b w:val="1"/>
                <w:bCs w:val="1"/>
                <w:color w:val="454546"/>
                <w:w w:val="98"/>
              </w:rPr>
              <w:t>(Zip Code)</w:t>
            </w:r>
          </w:p>
        </w:tc>
      </w:tr>
    </w:tbl>
    <w:p>
      <w:pPr>
        <w:spacing w:after="0" w:line="2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454546"/>
        </w:rPr>
        <w:t>Registrant’s telephone number, including area code: (650) 825-6990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2738120</wp:posOffset>
                </wp:positionH>
                <wp:positionV relativeFrom="paragraph">
                  <wp:posOffset>75565</wp:posOffset>
                </wp:positionV>
                <wp:extent cx="82296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6pt,5.95pt" to="280.4pt,5.95pt" o:allowincell="f" strokecolor="#454546" strokeweight="1pt"/>
            </w:pict>
          </mc:Fallback>
        </mc:AlternateConten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454546"/>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54546"/>
                <w:w w:val="97"/>
              </w:rPr>
              <w:t>Trading</w:t>
            </w:r>
          </w:p>
        </w:tc>
        <w:tc>
          <w:tcPr>
            <w:tcW w:w="20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77"/>
        </w:trPr>
        <w:tc>
          <w:tcPr>
            <w:tcW w:w="39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4"/>
                <w:szCs w:val="14"/>
                <w:b w:val="1"/>
                <w:bCs w:val="1"/>
                <w:color w:val="454546"/>
                <w:w w:val="98"/>
              </w:rPr>
              <w:t>Title of each class</w:t>
            </w:r>
          </w:p>
        </w:tc>
        <w:tc>
          <w:tcPr>
            <w:tcW w:w="200" w:type="dxa"/>
            <w:vAlign w:val="bottom"/>
          </w:tcPr>
          <w:p>
            <w:pPr>
              <w:spacing w:after="0"/>
              <w:rPr>
                <w:sz w:val="15"/>
                <w:szCs w:val="15"/>
                <w:color w:val="auto"/>
              </w:rPr>
            </w:pPr>
          </w:p>
        </w:tc>
        <w:tc>
          <w:tcPr>
            <w:tcW w:w="160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4"/>
                <w:szCs w:val="14"/>
                <w:b w:val="1"/>
                <w:bCs w:val="1"/>
                <w:color w:val="454546"/>
              </w:rPr>
              <w:t>Symbol(s)</w:t>
            </w:r>
          </w:p>
        </w:tc>
        <w:tc>
          <w:tcPr>
            <w:tcW w:w="200" w:type="dxa"/>
            <w:vAlign w:val="bottom"/>
          </w:tcPr>
          <w:p>
            <w:pPr>
              <w:spacing w:after="0"/>
              <w:rPr>
                <w:sz w:val="15"/>
                <w:szCs w:val="15"/>
                <w:color w:val="auto"/>
              </w:rPr>
            </w:pPr>
          </w:p>
        </w:tc>
        <w:tc>
          <w:tcPr>
            <w:tcW w:w="39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4"/>
                <w:szCs w:val="14"/>
                <w:b w:val="1"/>
                <w:bCs w:val="1"/>
                <w:color w:val="454546"/>
                <w:w w:val="99"/>
              </w:rPr>
              <w:t>Name of each exchange on which registered</w:t>
            </w:r>
          </w:p>
        </w:tc>
      </w:tr>
      <w:tr>
        <w:trPr>
          <w:trHeight w:val="177"/>
        </w:trPr>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454546"/>
              </w:rPr>
              <w:t>Common Stock $0.0001 par value per share</w:t>
            </w:r>
          </w:p>
        </w:tc>
        <w:tc>
          <w:tcPr>
            <w:tcW w:w="2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454546"/>
              </w:rPr>
              <w:t>TNYA</w:t>
            </w:r>
          </w:p>
        </w:tc>
        <w:tc>
          <w:tcPr>
            <w:tcW w:w="2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454546"/>
                <w:w w:val="99"/>
              </w:rPr>
              <w:t>Nasdaq Global Select Market</w:t>
            </w: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454546"/>
              </w:rPr>
              <w:t xml:space="preserve">Securities registered pursuant to Section 12(g) of the Act: </w:t>
            </w:r>
            <w:r>
              <w:rPr>
                <w:rFonts w:ascii="Times New Roman" w:cs="Times New Roman" w:eastAsia="Times New Roman" w:hAnsi="Times New Roman"/>
                <w:sz w:val="14"/>
                <w:szCs w:val="14"/>
                <w:b w:val="1"/>
                <w:bCs w:val="1"/>
                <w:color w:val="454546"/>
              </w:rPr>
              <w:t>None</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pacing w:after="0" w:line="30" w:lineRule="exact"/>
        <w:rPr>
          <w:sz w:val="24"/>
          <w:szCs w:val="24"/>
          <w:color w:val="auto"/>
        </w:rPr>
      </w:pPr>
    </w:p>
    <w:p>
      <w:pPr>
        <w:ind w:right="2540"/>
        <w:spacing w:after="0" w:line="318" w:lineRule="auto"/>
        <w:rPr>
          <w:sz w:val="20"/>
          <w:szCs w:val="20"/>
          <w:color w:val="auto"/>
        </w:rPr>
      </w:pPr>
      <w:r>
        <w:rPr>
          <w:rFonts w:ascii="Times New Roman" w:cs="Times New Roman" w:eastAsia="Times New Roman" w:hAnsi="Times New Roman"/>
          <w:sz w:val="14"/>
          <w:szCs w:val="14"/>
          <w:color w:val="454546"/>
        </w:rPr>
        <w:t xml:space="preserve">Indicate by check mark if the Registrant is a well-known seasoned issuer, as defined in Rule 405 of the Securities Act. Yes </w:t>
      </w:r>
      <w:r>
        <w:rPr>
          <w:rFonts w:ascii="Segoe UI Symbol" w:cs="Segoe UI Symbol" w:eastAsia="Segoe UI Symbol" w:hAnsi="Segoe UI Symbol"/>
          <w:sz w:val="14"/>
          <w:szCs w:val="14"/>
          <w:color w:val="454546"/>
        </w:rPr>
        <w:t>☐</w:t>
      </w:r>
      <w:r>
        <w:rPr>
          <w:rFonts w:ascii="Times New Roman" w:cs="Times New Roman" w:eastAsia="Times New Roman" w:hAnsi="Times New Roman"/>
          <w:sz w:val="14"/>
          <w:szCs w:val="14"/>
          <w:color w:val="454546"/>
        </w:rPr>
        <w:t xml:space="preserve"> No </w:t>
      </w:r>
      <w:r>
        <w:rPr>
          <w:rFonts w:ascii="Segoe UI Symbol" w:cs="Segoe UI Symbol" w:eastAsia="Segoe UI Symbol" w:hAnsi="Segoe UI Symbol"/>
          <w:sz w:val="14"/>
          <w:szCs w:val="14"/>
          <w:color w:val="454546"/>
        </w:rPr>
        <w:t>☒</w:t>
      </w:r>
      <w:r>
        <w:rPr>
          <w:rFonts w:ascii="Times New Roman" w:cs="Times New Roman" w:eastAsia="Times New Roman" w:hAnsi="Times New Roman"/>
          <w:sz w:val="14"/>
          <w:szCs w:val="14"/>
          <w:color w:val="454546"/>
        </w:rPr>
        <w:t xml:space="preserve"> Indicate by check mark if the Registrant is not required to file reports pursuant to Section 13 or 15(d) of the Act. Yes </w:t>
      </w:r>
      <w:r>
        <w:rPr>
          <w:rFonts w:ascii="Segoe UI Symbol" w:cs="Segoe UI Symbol" w:eastAsia="Segoe UI Symbol" w:hAnsi="Segoe UI Symbol"/>
          <w:sz w:val="14"/>
          <w:szCs w:val="14"/>
          <w:color w:val="454546"/>
        </w:rPr>
        <w:t>☐</w:t>
      </w:r>
      <w:r>
        <w:rPr>
          <w:rFonts w:ascii="Times New Roman" w:cs="Times New Roman" w:eastAsia="Times New Roman" w:hAnsi="Times New Roman"/>
          <w:sz w:val="14"/>
          <w:szCs w:val="14"/>
          <w:color w:val="454546"/>
        </w:rPr>
        <w:t xml:space="preserve"> No </w:t>
      </w:r>
      <w:r>
        <w:rPr>
          <w:rFonts w:ascii="Segoe UI Symbol" w:cs="Segoe UI Symbol" w:eastAsia="Segoe UI Symbol" w:hAnsi="Segoe UI Symbol"/>
          <w:sz w:val="14"/>
          <w:szCs w:val="14"/>
          <w:color w:val="454546"/>
        </w:rPr>
        <w:t>☒</w:t>
      </w:r>
    </w:p>
    <w:p>
      <w:pPr>
        <w:spacing w:after="0" w:line="1" w:lineRule="exact"/>
        <w:rPr>
          <w:sz w:val="24"/>
          <w:szCs w:val="24"/>
          <w:color w:val="auto"/>
        </w:rPr>
      </w:pPr>
    </w:p>
    <w:p>
      <w:pPr>
        <w:ind w:right="120"/>
        <w:spacing w:after="0" w:line="249" w:lineRule="auto"/>
        <w:rPr>
          <w:sz w:val="20"/>
          <w:szCs w:val="20"/>
          <w:color w:val="auto"/>
        </w:rPr>
      </w:pPr>
      <w:r>
        <w:rPr>
          <w:rFonts w:ascii="Times New Roman" w:cs="Times New Roman" w:eastAsia="Times New Roman" w:hAnsi="Times New Roman"/>
          <w:sz w:val="14"/>
          <w:szCs w:val="14"/>
          <w:color w:val="45454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454546"/>
        </w:rPr>
        <w:t>☒</w:t>
      </w:r>
      <w:r>
        <w:rPr>
          <w:rFonts w:ascii="Times New Roman" w:cs="Times New Roman" w:eastAsia="Times New Roman" w:hAnsi="Times New Roman"/>
          <w:sz w:val="14"/>
          <w:szCs w:val="14"/>
          <w:color w:val="454546"/>
        </w:rPr>
        <w:t xml:space="preserve"> No</w:t>
      </w:r>
    </w:p>
    <w:p>
      <w:pPr>
        <w:spacing w:after="0" w:line="1" w:lineRule="exact"/>
        <w:rPr>
          <w:sz w:val="24"/>
          <w:szCs w:val="24"/>
          <w:color w:val="auto"/>
        </w:rPr>
      </w:pPr>
    </w:p>
    <w:p>
      <w:pPr>
        <w:spacing w:after="0"/>
        <w:rPr>
          <w:sz w:val="20"/>
          <w:szCs w:val="20"/>
          <w:color w:val="auto"/>
        </w:rPr>
      </w:pPr>
      <w:r>
        <w:rPr>
          <w:rFonts w:ascii="Segoe UI Symbol" w:cs="Segoe UI Symbol" w:eastAsia="Segoe UI Symbol" w:hAnsi="Segoe UI Symbol"/>
          <w:sz w:val="14"/>
          <w:szCs w:val="14"/>
          <w:color w:val="454546"/>
        </w:rPr>
        <w:t>☐</w:t>
      </w:r>
    </w:p>
    <w:p>
      <w:pPr>
        <w:spacing w:after="0" w:line="46"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4"/>
          <w:szCs w:val="14"/>
          <w:color w:val="45454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454546"/>
        </w:rPr>
        <w:t>☒</w:t>
      </w:r>
      <w:r>
        <w:rPr>
          <w:rFonts w:ascii="Times New Roman" w:cs="Times New Roman" w:eastAsia="Times New Roman" w:hAnsi="Times New Roman"/>
          <w:sz w:val="14"/>
          <w:szCs w:val="14"/>
          <w:color w:val="454546"/>
        </w:rPr>
        <w:t xml:space="preserve"> No </w:t>
      </w:r>
      <w:r>
        <w:rPr>
          <w:rFonts w:ascii="Segoe UI Symbol" w:cs="Segoe UI Symbol" w:eastAsia="Segoe UI Symbol" w:hAnsi="Segoe UI Symbol"/>
          <w:sz w:val="14"/>
          <w:szCs w:val="14"/>
          <w:color w:val="454546"/>
        </w:rPr>
        <w:t>☐</w:t>
      </w:r>
    </w:p>
    <w:p>
      <w:pPr>
        <w:spacing w:after="0" w:line="1" w:lineRule="exact"/>
        <w:rPr>
          <w:sz w:val="24"/>
          <w:szCs w:val="24"/>
          <w:color w:val="auto"/>
        </w:rPr>
      </w:pPr>
    </w:p>
    <w:p>
      <w:pPr>
        <w:ind w:right="20"/>
        <w:spacing w:after="0" w:line="318" w:lineRule="auto"/>
        <w:rPr>
          <w:sz w:val="20"/>
          <w:szCs w:val="20"/>
          <w:color w:val="auto"/>
        </w:rPr>
      </w:pPr>
      <w:r>
        <w:rPr>
          <w:rFonts w:ascii="Times New Roman" w:cs="Times New Roman" w:eastAsia="Times New Roman" w:hAnsi="Times New Roman"/>
          <w:sz w:val="13"/>
          <w:szCs w:val="13"/>
          <w:color w:val="45454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454546"/>
              </w:rPr>
              <w:t>Large accelerated filer</w:t>
            </w:r>
          </w:p>
        </w:tc>
        <w:tc>
          <w:tcPr>
            <w:tcW w:w="3100" w:type="dxa"/>
            <w:vAlign w:val="bottom"/>
          </w:tcPr>
          <w:p>
            <w:pPr>
              <w:ind w:left="420"/>
              <w:spacing w:after="0"/>
              <w:rPr>
                <w:sz w:val="20"/>
                <w:szCs w:val="20"/>
                <w:color w:val="auto"/>
              </w:rPr>
            </w:pPr>
            <w:r>
              <w:rPr>
                <w:rFonts w:ascii="Segoe UI Symbol" w:cs="Segoe UI Symbol" w:eastAsia="Segoe UI Symbol" w:hAnsi="Segoe UI Symbol"/>
                <w:sz w:val="14"/>
                <w:szCs w:val="14"/>
                <w:color w:val="454546"/>
              </w:rPr>
              <w:t>☐</w:t>
            </w:r>
          </w:p>
        </w:tc>
        <w:tc>
          <w:tcPr>
            <w:tcW w:w="4380" w:type="dxa"/>
            <w:vAlign w:val="bottom"/>
          </w:tcPr>
          <w:p>
            <w:pPr>
              <w:ind w:left="2560"/>
              <w:spacing w:after="0"/>
              <w:rPr>
                <w:sz w:val="20"/>
                <w:szCs w:val="20"/>
                <w:color w:val="auto"/>
              </w:rPr>
            </w:pPr>
            <w:r>
              <w:rPr>
                <w:rFonts w:ascii="Times New Roman" w:cs="Times New Roman" w:eastAsia="Times New Roman" w:hAnsi="Times New Roman"/>
                <w:sz w:val="14"/>
                <w:szCs w:val="14"/>
                <w:color w:val="454546"/>
              </w:rPr>
              <w:t>Accelerated filer</w:t>
            </w:r>
          </w:p>
        </w:tc>
        <w:tc>
          <w:tcPr>
            <w:tcW w:w="420" w:type="dxa"/>
            <w:vAlign w:val="bottom"/>
          </w:tcPr>
          <w:p>
            <w:pPr>
              <w:ind w:left="300"/>
              <w:spacing w:after="0"/>
              <w:rPr>
                <w:sz w:val="20"/>
                <w:szCs w:val="20"/>
                <w:color w:val="auto"/>
              </w:rPr>
            </w:pPr>
            <w:r>
              <w:rPr>
                <w:rFonts w:ascii="Segoe UI Symbol" w:cs="Segoe UI Symbol" w:eastAsia="Segoe UI Symbol" w:hAnsi="Segoe UI Symbol"/>
                <w:sz w:val="14"/>
                <w:szCs w:val="14"/>
                <w:color w:val="454546"/>
                <w:w w:val="82"/>
              </w:rPr>
              <w:t>☐</w:t>
            </w:r>
          </w:p>
        </w:tc>
      </w:tr>
      <w:tr>
        <w:trPr>
          <w:trHeight w:val="31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454546"/>
              </w:rPr>
              <w:t>Non-accelerated filer</w:t>
            </w:r>
          </w:p>
        </w:tc>
        <w:tc>
          <w:tcPr>
            <w:tcW w:w="3100" w:type="dxa"/>
            <w:vAlign w:val="bottom"/>
          </w:tcPr>
          <w:p>
            <w:pPr>
              <w:ind w:left="420"/>
              <w:spacing w:after="0"/>
              <w:rPr>
                <w:sz w:val="20"/>
                <w:szCs w:val="20"/>
                <w:color w:val="auto"/>
              </w:rPr>
            </w:pPr>
            <w:r>
              <w:rPr>
                <w:rFonts w:ascii="Segoe UI Symbol" w:cs="Segoe UI Symbol" w:eastAsia="Segoe UI Symbol" w:hAnsi="Segoe UI Symbol"/>
                <w:sz w:val="14"/>
                <w:szCs w:val="14"/>
                <w:color w:val="454546"/>
              </w:rPr>
              <w:t>☒</w:t>
            </w:r>
          </w:p>
        </w:tc>
        <w:tc>
          <w:tcPr>
            <w:tcW w:w="4380" w:type="dxa"/>
            <w:vAlign w:val="bottom"/>
          </w:tcPr>
          <w:p>
            <w:pPr>
              <w:ind w:left="2560"/>
              <w:spacing w:after="0"/>
              <w:rPr>
                <w:sz w:val="20"/>
                <w:szCs w:val="20"/>
                <w:color w:val="auto"/>
              </w:rPr>
            </w:pPr>
            <w:r>
              <w:rPr>
                <w:rFonts w:ascii="Times New Roman" w:cs="Times New Roman" w:eastAsia="Times New Roman" w:hAnsi="Times New Roman"/>
                <w:sz w:val="14"/>
                <w:szCs w:val="14"/>
                <w:color w:val="454546"/>
              </w:rPr>
              <w:t>Smaller reporting company</w:t>
            </w:r>
          </w:p>
        </w:tc>
        <w:tc>
          <w:tcPr>
            <w:tcW w:w="420" w:type="dxa"/>
            <w:vAlign w:val="bottom"/>
          </w:tcPr>
          <w:p>
            <w:pPr>
              <w:ind w:left="300"/>
              <w:spacing w:after="0"/>
              <w:rPr>
                <w:sz w:val="20"/>
                <w:szCs w:val="20"/>
                <w:color w:val="auto"/>
              </w:rPr>
            </w:pPr>
            <w:r>
              <w:rPr>
                <w:rFonts w:ascii="Segoe UI Symbol" w:cs="Segoe UI Symbol" w:eastAsia="Segoe UI Symbol" w:hAnsi="Segoe UI Symbol"/>
                <w:sz w:val="14"/>
                <w:szCs w:val="14"/>
                <w:color w:val="454546"/>
                <w:w w:val="82"/>
              </w:rPr>
              <w:t>☒</w:t>
            </w:r>
          </w:p>
        </w:tc>
      </w:t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454546"/>
              </w:rPr>
              <w:t>Emerging growth company</w:t>
            </w:r>
          </w:p>
        </w:tc>
        <w:tc>
          <w:tcPr>
            <w:tcW w:w="3100" w:type="dxa"/>
            <w:vAlign w:val="bottom"/>
          </w:tcPr>
          <w:p>
            <w:pPr>
              <w:ind w:left="420"/>
              <w:spacing w:after="0"/>
              <w:rPr>
                <w:sz w:val="20"/>
                <w:szCs w:val="20"/>
                <w:color w:val="auto"/>
              </w:rPr>
            </w:pPr>
            <w:r>
              <w:rPr>
                <w:rFonts w:ascii="Segoe UI Symbol" w:cs="Segoe UI Symbol" w:eastAsia="Segoe UI Symbol" w:hAnsi="Segoe UI Symbol"/>
                <w:sz w:val="14"/>
                <w:szCs w:val="14"/>
                <w:color w:val="454546"/>
              </w:rPr>
              <w:t>☒</w:t>
            </w:r>
          </w:p>
        </w:tc>
        <w:tc>
          <w:tcPr>
            <w:tcW w:w="43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0" w:lineRule="exact"/>
        <w:rPr>
          <w:sz w:val="24"/>
          <w:szCs w:val="24"/>
          <w:color w:val="auto"/>
        </w:rPr>
      </w:pPr>
    </w:p>
    <w:p>
      <w:pPr>
        <w:ind w:right="180"/>
        <w:spacing w:after="0" w:line="281" w:lineRule="auto"/>
        <w:rPr>
          <w:sz w:val="20"/>
          <w:szCs w:val="20"/>
          <w:color w:val="auto"/>
        </w:rPr>
      </w:pPr>
      <w:r>
        <w:rPr>
          <w:rFonts w:ascii="Times New Roman" w:cs="Times New Roman" w:eastAsia="Times New Roman" w:hAnsi="Times New Roman"/>
          <w:sz w:val="14"/>
          <w:szCs w:val="14"/>
          <w:color w:val="45454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454546"/>
        </w:rPr>
        <w:t>☐</w:t>
      </w:r>
    </w:p>
    <w:p>
      <w:pPr>
        <w:spacing w:after="0" w:line="1"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4"/>
          <w:szCs w:val="14"/>
          <w:color w:val="45454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454546"/>
        </w:rPr>
        <w:t>☐</w:t>
      </w:r>
    </w:p>
    <w:p>
      <w:pPr>
        <w:spacing w:after="0" w:line="1" w:lineRule="exact"/>
        <w:rPr>
          <w:sz w:val="24"/>
          <w:szCs w:val="24"/>
          <w:color w:val="auto"/>
        </w:rPr>
      </w:pPr>
    </w:p>
    <w:p>
      <w:pPr>
        <w:ind w:right="480"/>
        <w:spacing w:after="0" w:line="285" w:lineRule="auto"/>
        <w:rPr>
          <w:sz w:val="20"/>
          <w:szCs w:val="20"/>
          <w:color w:val="auto"/>
        </w:rPr>
      </w:pPr>
      <w:r>
        <w:rPr>
          <w:rFonts w:ascii="Times New Roman" w:cs="Times New Roman" w:eastAsia="Times New Roman" w:hAnsi="Times New Roman"/>
          <w:sz w:val="14"/>
          <w:szCs w:val="14"/>
          <w:color w:val="45454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454546"/>
        </w:rPr>
        <w:t>☐</w:t>
      </w:r>
    </w:p>
    <w:p>
      <w:pPr>
        <w:ind w:right="500"/>
        <w:spacing w:after="0" w:line="285" w:lineRule="auto"/>
        <w:rPr>
          <w:sz w:val="20"/>
          <w:szCs w:val="20"/>
          <w:color w:val="auto"/>
        </w:rPr>
      </w:pPr>
      <w:r>
        <w:rPr>
          <w:rFonts w:ascii="Times New Roman" w:cs="Times New Roman" w:eastAsia="Times New Roman" w:hAnsi="Times New Roman"/>
          <w:sz w:val="14"/>
          <w:szCs w:val="14"/>
          <w:color w:val="45454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454546"/>
        </w:rPr>
        <w:t>☐</w:t>
      </w:r>
    </w:p>
    <w:p>
      <w:pPr>
        <w:spacing w:after="0"/>
        <w:rPr>
          <w:sz w:val="20"/>
          <w:szCs w:val="20"/>
          <w:color w:val="auto"/>
        </w:rPr>
      </w:pPr>
      <w:r>
        <w:rPr>
          <w:rFonts w:ascii="Times New Roman" w:cs="Times New Roman" w:eastAsia="Times New Roman" w:hAnsi="Times New Roman"/>
          <w:sz w:val="14"/>
          <w:szCs w:val="14"/>
          <w:color w:val="454546"/>
        </w:rPr>
        <w:t xml:space="preserve">Indicate by check mark whether the Registrant is a shell company (as defined in Rule 12b-2 of the Exchange Act). Yes </w:t>
      </w:r>
      <w:r>
        <w:rPr>
          <w:rFonts w:ascii="Segoe UI Symbol" w:cs="Segoe UI Symbol" w:eastAsia="Segoe UI Symbol" w:hAnsi="Segoe UI Symbol"/>
          <w:sz w:val="14"/>
          <w:szCs w:val="14"/>
          <w:color w:val="454546"/>
        </w:rPr>
        <w:t>☐</w:t>
      </w:r>
      <w:r>
        <w:rPr>
          <w:rFonts w:ascii="Times New Roman" w:cs="Times New Roman" w:eastAsia="Times New Roman" w:hAnsi="Times New Roman"/>
          <w:sz w:val="14"/>
          <w:szCs w:val="14"/>
          <w:color w:val="454546"/>
        </w:rPr>
        <w:t xml:space="preserve"> No </w:t>
      </w:r>
      <w:r>
        <w:rPr>
          <w:rFonts w:ascii="Segoe UI Symbol" w:cs="Segoe UI Symbol" w:eastAsia="Segoe UI Symbol" w:hAnsi="Segoe UI Symbol"/>
          <w:sz w:val="14"/>
          <w:szCs w:val="14"/>
          <w:color w:val="454546"/>
        </w:rPr>
        <w:t>☒</w:t>
      </w:r>
    </w:p>
    <w:p>
      <w:pPr>
        <w:spacing w:after="0" w:line="62"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454546"/>
        </w:rPr>
        <w:t>The aggregate market value of the voting and non-voting common equity held by non-affiliates of the Registrant, based on the closing price of the shares of common stock on the Nasdaq Global Select Stock Market on June 30, 2025 was approximately $63.1 million.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454546"/>
        </w:rPr>
        <w:t>The number of shares of Registrant’s Common Stock outstanding as of March 5, 2026 was 216,998,876.</w:t>
      </w:r>
    </w:p>
    <w:p>
      <w:pPr>
        <w:spacing w:after="0" w:line="6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color w:val="454546"/>
        </w:rPr>
        <w:t>DOCUMENTS INCORPORATED BY REFERENCE</w:t>
      </w:r>
    </w:p>
    <w:p>
      <w:pPr>
        <w:spacing w:after="0" w:line="20" w:lineRule="exact"/>
        <w:rPr>
          <w:sz w:val="24"/>
          <w:szCs w:val="24"/>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454546"/>
        </w:rPr>
        <w:t>Portions of the definitive proxy statement for the Registrant’s 2026 Annual Meeting of Stockholders are incorporated by reference in Part III of this Form 10-K. Such definitive proxy statement will be filed with the Securities and Exchange Commission within 120 days after the end of the Registrant’s 2025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19050</wp:posOffset>
                </wp:positionV>
                <wp:extent cx="63093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5pt" to="496.4pt,1.5pt" o:allowincell="f" strokecolor="#454546" strokeweight="0.75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38100</wp:posOffset>
                </wp:positionV>
                <wp:extent cx="63093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pt" to="496.4pt,3pt" o:allowincell="f" strokecolor="#454546" strokeweight="0.75pt"/>
            </w:pict>
          </mc:Fallback>
        </mc:AlternateContent>
      </w:r>
    </w:p>
    <w:p>
      <w:pPr>
        <w:sectPr>
          <w:pgSz w:w="12240" w:h="15840" w:orient="portrait"/>
          <w:cols w:equalWidth="0" w:num="1">
            <w:col w:w="9920"/>
          </w:cols>
          <w:pgMar w:left="1160" w:top="1113" w:right="116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7720" w:type="dxa"/>
            <w:vAlign w:val="bottom"/>
          </w:tcPr>
          <w:p>
            <w:pPr>
              <w:ind w:left="3020"/>
              <w:spacing w:after="0"/>
              <w:rPr>
                <w:sz w:val="20"/>
                <w:szCs w:val="20"/>
                <w:color w:val="auto"/>
              </w:rPr>
            </w:pPr>
            <w:r>
              <w:rPr>
                <w:rFonts w:ascii="Times New Roman" w:cs="Times New Roman" w:eastAsia="Times New Roman" w:hAnsi="Times New Roman"/>
                <w:sz w:val="20"/>
                <w:szCs w:val="20"/>
                <w:b w:val="1"/>
                <w:bCs w:val="1"/>
                <w:color w:val="454546"/>
              </w:rPr>
              <w:t>Table of Contents</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PART I</w:t>
            </w:r>
          </w:p>
        </w:tc>
        <w:tc>
          <w:tcPr>
            <w:tcW w:w="7720" w:type="dxa"/>
            <w:vAlign w:val="bottom"/>
          </w:tcPr>
          <w:p>
            <w:pPr>
              <w:spacing w:after="0"/>
              <w:rPr>
                <w:sz w:val="24"/>
                <w:szCs w:val="24"/>
                <w:color w:val="auto"/>
              </w:rPr>
            </w:pPr>
          </w:p>
        </w:tc>
        <w:tc>
          <w:tcPr>
            <w:tcW w:w="740" w:type="dxa"/>
            <w:vAlign w:val="bottom"/>
            <w:tcBorders>
              <w:bottom w:val="single" w:sz="8" w:color="454546"/>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454546"/>
              </w:rPr>
              <w:t>Page</w:t>
            </w:r>
          </w:p>
        </w:tc>
        <w:tc>
          <w:tcPr>
            <w:tcW w:w="0" w:type="dxa"/>
            <w:vAlign w:val="bottom"/>
          </w:tcPr>
          <w:p>
            <w:pPr>
              <w:spacing w:after="0"/>
              <w:rPr>
                <w:sz w:val="1"/>
                <w:szCs w:val="1"/>
                <w:color w:val="auto"/>
              </w:rPr>
            </w:pPr>
          </w:p>
        </w:tc>
      </w:tr>
      <w:tr>
        <w:trPr>
          <w:trHeight w:val="226"/>
        </w:trPr>
        <w:tc>
          <w:tcPr>
            <w:tcW w:w="90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1A.</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40</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1B.</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93</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1C.</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Cybersecurity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93</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2.</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94</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3.</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94</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4.</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95</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PART II</w:t>
            </w:r>
          </w:p>
        </w:tc>
        <w:tc>
          <w:tcPr>
            <w:tcW w:w="7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5.</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Market for Registrant’s Common Equity, Related Stockholder Matters and Issuer Purchases of</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96</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6.</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96</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7.</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97</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7A.</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107</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8.</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108</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9A.</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9B.</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132</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9C.</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132</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PART III</w:t>
            </w:r>
          </w:p>
        </w:tc>
        <w:tc>
          <w:tcPr>
            <w:tcW w:w="7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10.</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133</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11.</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133</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12.</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Security Ownership of Certain Beneficial Owners and Management and Related Stockholder</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133</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13.</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133</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14.</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133</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PART IV</w:t>
            </w:r>
          </w:p>
        </w:tc>
        <w:tc>
          <w:tcPr>
            <w:tcW w:w="7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15.</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Exhibits,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134</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Item 16</w:t>
            </w:r>
          </w:p>
        </w:tc>
        <w:tc>
          <w:tcPr>
            <w:tcW w:w="77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134</w:t>
            </w:r>
          </w:p>
        </w:tc>
        <w:tc>
          <w:tcPr>
            <w:tcW w:w="0" w:type="dxa"/>
            <w:vAlign w:val="bottom"/>
          </w:tcPr>
          <w:p>
            <w:pPr>
              <w:spacing w:after="0"/>
              <w:rPr>
                <w:sz w:val="1"/>
                <w:szCs w:val="1"/>
                <w:color w:val="auto"/>
              </w:rPr>
            </w:pPr>
          </w:p>
        </w:tc>
      </w:tr>
      <w:tr>
        <w:trPr>
          <w:trHeight w:val="266"/>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454546"/>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-4969510</wp:posOffset>
            </wp:positionV>
            <wp:extent cx="5943600" cy="4959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5943600" cy="4959350"/>
                    </a:xfrm>
                    <a:prstGeom prst="rect">
                      <a:avLst/>
                    </a:prstGeom>
                    <a:noFill/>
                  </pic:spPr>
                </pic:pic>
              </a:graphicData>
            </a:graphic>
          </wp:anchor>
        </w:drawing>
      </w:r>
    </w:p>
    <w:p>
      <w:pPr>
        <w:sectPr>
          <w:pgSz w:w="12240" w:h="15840" w:orient="portrait"/>
          <w:cols w:equalWidth="0" w:num="1">
            <w:col w:w="9360"/>
          </w:cols>
          <w:pgMar w:left="1440" w:top="1416" w:right="144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454546"/>
        </w:rPr>
        <w:t>i</w:t>
      </w:r>
    </w:p>
    <w:p>
      <w:pPr>
        <w:sectPr>
          <w:pgSz w:w="12240" w:h="15840" w:orient="portrait"/>
          <w:cols w:equalWidth="0" w:num="1">
            <w:col w:w="9360"/>
          </w:cols>
          <w:pgMar w:left="1440" w:top="1416" w:right="1440" w:bottom="244"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454546"/>
        </w:rPr>
        <w:t>SPECIAL NOTE REGARDING FORWARD-LOOKING STATEMENTS</w:t>
      </w:r>
    </w:p>
    <w:p>
      <w:pPr>
        <w:spacing w:after="0" w:line="364"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454546"/>
        </w:rPr>
        <w:t>This Annual Report on Form 10-K, or Annual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103" w:lineRule="exact"/>
        <w:rPr>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vision to change the treatment paradigm for heart disease;</w:t>
      </w:r>
    </w:p>
    <w:p>
      <w:pPr>
        <w:spacing w:after="0" w:line="133" w:lineRule="exact"/>
        <w:rPr>
          <w:rFonts w:ascii="Arial" w:cs="Arial" w:eastAsia="Arial" w:hAnsi="Arial"/>
          <w:sz w:val="20"/>
          <w:szCs w:val="20"/>
          <w:color w:val="454546"/>
        </w:rPr>
      </w:pPr>
    </w:p>
    <w:p>
      <w:pPr>
        <w:ind w:left="980" w:right="40" w:hanging="490"/>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ability of our ongoing preclinical studies and ongoing or planned clinical trials to demonstrate safety and efficacy of our product candidates, and other positive results;</w:t>
      </w:r>
    </w:p>
    <w:p>
      <w:pPr>
        <w:spacing w:after="0" w:line="64" w:lineRule="exact"/>
        <w:rPr>
          <w:rFonts w:ascii="Arial" w:cs="Arial" w:eastAsia="Arial" w:hAnsi="Arial"/>
          <w:sz w:val="20"/>
          <w:szCs w:val="20"/>
          <w:color w:val="454546"/>
        </w:rPr>
      </w:pPr>
    </w:p>
    <w:p>
      <w:pPr>
        <w:ind w:left="980" w:right="260" w:hanging="490"/>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dosing, patient enrollment and populations, progress, and results of preclinical studies and ongoing or planned clinical trials for our current product candidates and other product candidates we may develop;</w:t>
      </w:r>
    </w:p>
    <w:p>
      <w:pPr>
        <w:spacing w:after="0" w:line="81" w:lineRule="exact"/>
        <w:rPr>
          <w:rFonts w:ascii="Arial" w:cs="Arial" w:eastAsia="Arial" w:hAnsi="Arial"/>
          <w:sz w:val="20"/>
          <w:szCs w:val="20"/>
          <w:color w:val="454546"/>
        </w:rPr>
      </w:pPr>
    </w:p>
    <w:p>
      <w:pPr>
        <w:ind w:left="980" w:right="280" w:hanging="490"/>
        <w:spacing w:after="0" w:line="252"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scope and likelihood of regulatory filings, approvals, and alignment, including timing of investigational new drugs (INDs), clinical trial applications (CTAs), U.S. Food and Drug Administration (FDA) approvals, and final regulatory approval of our current product candidates and any other future product candidates;</w:t>
      </w:r>
    </w:p>
    <w:p>
      <w:pPr>
        <w:spacing w:after="0" w:line="87" w:lineRule="exact"/>
        <w:rPr>
          <w:rFonts w:ascii="Arial" w:cs="Arial" w:eastAsia="Arial" w:hAnsi="Arial"/>
          <w:sz w:val="20"/>
          <w:szCs w:val="20"/>
          <w:color w:val="454546"/>
        </w:rPr>
      </w:pPr>
    </w:p>
    <w:p>
      <w:pPr>
        <w:ind w:left="980" w:right="200" w:hanging="490"/>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develop and advance our current product candidates and programs into, and successfully complete, clinical trials;</w:t>
      </w:r>
    </w:p>
    <w:p>
      <w:pPr>
        <w:spacing w:after="0" w:line="64" w:lineRule="exact"/>
        <w:rPr>
          <w:rFonts w:ascii="Arial" w:cs="Arial" w:eastAsia="Arial" w:hAnsi="Arial"/>
          <w:sz w:val="20"/>
          <w:szCs w:val="20"/>
          <w:color w:val="454546"/>
        </w:rPr>
      </w:pPr>
    </w:p>
    <w:p>
      <w:pPr>
        <w:ind w:left="980" w:right="160" w:hanging="490"/>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size of the market opportunity for our product candidates, including our estimates of the number of patients who suffer from the diseases we are targeting;</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manufacturing, commercialization, and marketing capabilities and strategy;</w:t>
      </w:r>
    </w:p>
    <w:p>
      <w:pPr>
        <w:spacing w:after="0" w:line="133" w:lineRule="exact"/>
        <w:rPr>
          <w:rFonts w:ascii="Arial" w:cs="Arial" w:eastAsia="Arial" w:hAnsi="Arial"/>
          <w:sz w:val="20"/>
          <w:szCs w:val="20"/>
          <w:color w:val="454546"/>
        </w:rPr>
      </w:pPr>
    </w:p>
    <w:p>
      <w:pPr>
        <w:ind w:left="980" w:right="380" w:hanging="490"/>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competitive position, potential advantages of our products compared to our competitors, and the success of competing therapies that are or may become available;</w:t>
      </w:r>
    </w:p>
    <w:p>
      <w:pPr>
        <w:spacing w:after="0" w:line="64" w:lineRule="exact"/>
        <w:rPr>
          <w:rFonts w:ascii="Arial" w:cs="Arial" w:eastAsia="Arial" w:hAnsi="Arial"/>
          <w:sz w:val="20"/>
          <w:szCs w:val="20"/>
          <w:color w:val="454546"/>
        </w:rPr>
      </w:pPr>
    </w:p>
    <w:p>
      <w:pPr>
        <w:jc w:val="both"/>
        <w:ind w:left="980" w:right="60" w:hanging="490"/>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plans relating to the further development of our product candidates, including additional indications and targets we may pursue, and our belief in the potential applications of our current product candidates to additional indications and targets;</w:t>
      </w:r>
    </w:p>
    <w:p>
      <w:pPr>
        <w:spacing w:after="0" w:line="81" w:lineRule="exact"/>
        <w:rPr>
          <w:rFonts w:ascii="Arial" w:cs="Arial" w:eastAsia="Arial" w:hAnsi="Arial"/>
          <w:sz w:val="20"/>
          <w:szCs w:val="20"/>
          <w:color w:val="454546"/>
        </w:rPr>
      </w:pPr>
    </w:p>
    <w:p>
      <w:pPr>
        <w:ind w:left="980" w:right="440" w:hanging="490"/>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collaboration with Alnylam, including potential targets, research and development strategy, the timing and duration of the collaboration, expected payments, and the achievement of milestones;</w:t>
      </w:r>
    </w:p>
    <w:p>
      <w:pPr>
        <w:spacing w:after="0" w:line="64" w:lineRule="exact"/>
        <w:rPr>
          <w:rFonts w:ascii="Arial" w:cs="Arial" w:eastAsia="Arial" w:hAnsi="Arial"/>
          <w:sz w:val="20"/>
          <w:szCs w:val="20"/>
          <w:color w:val="454546"/>
        </w:rPr>
      </w:pPr>
    </w:p>
    <w:p>
      <w:pPr>
        <w:ind w:left="980" w:right="360" w:hanging="490"/>
        <w:spacing w:after="0" w:line="276"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the impact of existing laws and regulations and regulatory developments in the United States (U.S.), Europe and other jurisdictions;</w:t>
      </w:r>
    </w:p>
    <w:p>
      <w:pPr>
        <w:spacing w:after="0" w:line="64" w:lineRule="exact"/>
        <w:rPr>
          <w:rFonts w:ascii="Arial" w:cs="Arial" w:eastAsia="Arial" w:hAnsi="Arial"/>
          <w:sz w:val="20"/>
          <w:szCs w:val="20"/>
          <w:color w:val="454546"/>
        </w:rPr>
      </w:pPr>
    </w:p>
    <w:p>
      <w:pPr>
        <w:ind w:left="980" w:right="180" w:hanging="490"/>
        <w:spacing w:after="0" w:line="249"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0" w:lineRule="exact"/>
        <w:rPr>
          <w:rFonts w:ascii="Arial" w:cs="Arial" w:eastAsia="Arial" w:hAnsi="Arial"/>
          <w:sz w:val="20"/>
          <w:szCs w:val="20"/>
          <w:color w:val="454546"/>
        </w:rPr>
      </w:pPr>
    </w:p>
    <w:p>
      <w:pPr>
        <w:jc w:val="both"/>
        <w:ind w:left="980" w:right="140" w:hanging="490"/>
        <w:spacing w:after="0" w:line="258" w:lineRule="auto"/>
        <w:tabs>
          <w:tab w:leader="none" w:pos="98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continued reliance on third parties to conduct additional preclinical studies and clinical trials of our product candidates, and for the development and manufacture of our product candidates for preclinical studies and clinical trials;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w:t>
      </w:r>
    </w:p>
    <w:p>
      <w:pPr>
        <w:sectPr>
          <w:pgSz w:w="12240" w:h="15840" w:orient="portrait"/>
          <w:cols w:equalWidth="0" w:num="1">
            <w:col w:w="9360"/>
          </w:cols>
          <w:pgMar w:left="1440" w:top="1416" w:right="1440" w:bottom="175" w:gutter="0" w:footer="0" w:header="0"/>
          <w:type w:val="continuous"/>
        </w:sectPr>
      </w:pPr>
    </w:p>
    <w:bookmarkStart w:id="3" w:name="page4"/>
    <w:bookmarkEnd w:id="3"/>
    <w:p>
      <w:pPr>
        <w:jc w:val="both"/>
        <w:ind w:left="980" w:right="100" w:hanging="490"/>
        <w:spacing w:after="0" w:line="258"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obtain, and negotiate favorable terms of, any collaboration, partnership, licensing or other arrangements that may be necessary or desirable to develop, manufacture or commercialize our product candidates;</w:t>
      </w:r>
    </w:p>
    <w:p>
      <w:pPr>
        <w:spacing w:after="0" w:line="81" w:lineRule="exact"/>
        <w:rPr>
          <w:rFonts w:ascii="Arial" w:cs="Arial" w:eastAsia="Arial" w:hAnsi="Arial"/>
          <w:sz w:val="20"/>
          <w:szCs w:val="20"/>
          <w:color w:val="454546"/>
        </w:rPr>
      </w:pPr>
    </w:p>
    <w:p>
      <w:pPr>
        <w:jc w:val="both"/>
        <w:ind w:left="980" w:right="160" w:hanging="490"/>
        <w:spacing w:after="0" w:line="258"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81"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the rate and degree of market acceptance and clinical utility of our current product candidates and other product candidates we may develop;</w:t>
      </w:r>
    </w:p>
    <w:p>
      <w:pPr>
        <w:spacing w:after="0" w:line="64" w:lineRule="exact"/>
        <w:rPr>
          <w:rFonts w:ascii="Arial" w:cs="Arial" w:eastAsia="Arial" w:hAnsi="Arial"/>
          <w:sz w:val="20"/>
          <w:szCs w:val="20"/>
          <w:color w:val="454546"/>
        </w:rPr>
      </w:pPr>
    </w:p>
    <w:p>
      <w:pPr>
        <w:jc w:val="both"/>
        <w:ind w:left="980" w:right="280" w:hanging="490"/>
        <w:spacing w:after="0" w:line="304" w:lineRule="auto"/>
        <w:tabs>
          <w:tab w:leader="none" w:pos="980" w:val="left"/>
        </w:tabs>
        <w:numPr>
          <w:ilvl w:val="0"/>
          <w:numId w:val="4"/>
        </w:numPr>
        <w:rPr>
          <w:rFonts w:ascii="Arial" w:cs="Arial" w:eastAsia="Arial" w:hAnsi="Arial"/>
          <w:sz w:val="19"/>
          <w:szCs w:val="19"/>
          <w:color w:val="454546"/>
        </w:rPr>
      </w:pPr>
      <w:r>
        <w:rPr>
          <w:rFonts w:ascii="Times New Roman" w:cs="Times New Roman" w:eastAsia="Times New Roman" w:hAnsi="Times New Roman"/>
          <w:sz w:val="19"/>
          <w:szCs w:val="19"/>
          <w:color w:val="454546"/>
        </w:rPr>
        <w:t>our estimates regarding expenses, operating losses, future revenue, cash outlays, capital requirements and needs for additional financing, including expenses arising as a result of being a public company;</w:t>
      </w:r>
    </w:p>
    <w:p>
      <w:pPr>
        <w:spacing w:after="0" w:line="39" w:lineRule="exact"/>
        <w:rPr>
          <w:rFonts w:ascii="Arial" w:cs="Arial" w:eastAsia="Arial" w:hAnsi="Arial"/>
          <w:sz w:val="19"/>
          <w:szCs w:val="19"/>
          <w:color w:val="454546"/>
        </w:rPr>
      </w:pPr>
    </w:p>
    <w:p>
      <w:pPr>
        <w:ind w:left="980" w:hanging="490"/>
        <w:spacing w:after="0"/>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financial performance;</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facilities;</w:t>
      </w:r>
    </w:p>
    <w:p>
      <w:pPr>
        <w:spacing w:after="0" w:line="133"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the period over which we estimate our existing cash, cash equivalents and investments in marketable securities will be sufficient to fund our future operating expenses and capital expenditure requirements;</w:t>
      </w:r>
    </w:p>
    <w:p>
      <w:pPr>
        <w:spacing w:after="0" w:line="64" w:lineRule="exact"/>
        <w:rPr>
          <w:rFonts w:ascii="Arial" w:cs="Arial" w:eastAsia="Arial" w:hAnsi="Arial"/>
          <w:sz w:val="20"/>
          <w:szCs w:val="20"/>
          <w:color w:val="454546"/>
        </w:rPr>
      </w:pPr>
    </w:p>
    <w:p>
      <w:pPr>
        <w:ind w:left="980" w:right="160" w:hanging="490"/>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the impact of critical accounting policies on investor’s ability to understand our financial performance; and</w:t>
      </w:r>
    </w:p>
    <w:p>
      <w:pPr>
        <w:spacing w:after="0" w:line="64" w:lineRule="exact"/>
        <w:rPr>
          <w:rFonts w:ascii="Arial" w:cs="Arial" w:eastAsia="Arial" w:hAnsi="Arial"/>
          <w:sz w:val="20"/>
          <w:szCs w:val="20"/>
          <w:color w:val="454546"/>
        </w:rPr>
      </w:pPr>
    </w:p>
    <w:p>
      <w:pPr>
        <w:ind w:left="980" w:right="80" w:hanging="490"/>
        <w:spacing w:after="0" w:line="276" w:lineRule="auto"/>
        <w:tabs>
          <w:tab w:leader="none" w:pos="98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color w:val="454546"/>
        </w:rPr>
        <w:t>our expectations regarding the period during which we will remain an emerging growth company under the Jumpstart Our Business Startups Act of 2012 (JOBS Act).</w:t>
      </w:r>
    </w:p>
    <w:p>
      <w:pPr>
        <w:spacing w:after="0" w:line="5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454546"/>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 -looking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 -looking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w:t>
      </w:r>
    </w:p>
    <w:p>
      <w:pPr>
        <w:sectPr>
          <w:pgSz w:w="12240" w:h="15840" w:orient="portrait"/>
          <w:cols w:equalWidth="0" w:num="1">
            <w:col w:w="9360"/>
          </w:cols>
          <w:pgMar w:left="1440" w:top="1434" w:right="1440" w:bottom="175"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454546"/>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2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We are a clinical-stage biotechnology company committed to a bold mission: to discover, develop and deliver potentially curative therapies that address the underlying drivers of heart disease.</w:t>
      </w:r>
    </w:p>
    <w:p>
      <w:pPr>
        <w:spacing w:after="0" w:line="49"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Heart disease remains the leading cause of death in the world. In the U.S., one person dies from a cardiovascular-related health condition every 34 seconds, a gruesome statistic that translates to one in every three deaths in the U.S each year. One in 20 adults suffer from congenital heart disease (CHD) and the picture is equally bleak at the other end of the age spectrum, as approximately 40,000 children are born in the U.S every year with CHD, the leading cause of birth defect-related morbidity and mortality. While there is a clear need for improved treatments, the rate of cardiovascular drug product approvals has declined in recent years and few of the approved treatments address the underlying cause of such diseases.</w:t>
      </w:r>
    </w:p>
    <w:p>
      <w:pPr>
        <w:spacing w:after="0" w:line="8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Our collective understanding of the links between heart disease and genetic factors is increasing dramatically, creating new opportunities for the advancement of novel disease-modifying therapeutics that target the underlying cause of disease. Roughly one-third to one-half of all heart diseases are linked to genetic risks, regardless of major racial and ethnic backgrounds, and there are over 250 known genetically defined disorders where the primary source of morbidity and mortality involves the heart. Leveraging this improved understanding of the genetic causes of heart disease, as well as an increased recognition that precision medicine initiatives may accelerate the advancement of scientific breakthroughs, our vision is to change the treatment paradigm for heart disease and in doing so, improve and extend the lives of patients.</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We are primarily focused on advancing our clinical-stage gene therapy candidates, TN-201,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hypertrophic cardiomyopathy (HCM), and TN-401, for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arrhythmogenic right ventricular cardiomyopathy (ARVC). Each candidate is currently in Phase 1b/2 clinical testing to establish the safety and efficacy profile of two different doses. We anticipate that data generated to date and over the course of 2026 will support pursuit of regulatory alignment on late-stage development for TN-201 and TN-401. A third clinical-stage candidate discovered utilizing our targeted drug discovery capabilities is TN-301, a highly specific small molecule inhibitor of histone deacetylase 6 (HDAC6) with a unique multi-modal mechanism of action that has potentially broad utility in prevalent conditions such as heart failure with preserved ejection fraction (HFpEF), as well as other cardiac, metabolic, muscular and pulmonary diseases, including but not limited to genetic dilated cardiomyopathy (DCM), Duchenne muscular dystrophy (DMD) and pulmonary arterial hypertension (PAH).</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We were founded with a long-term goal of building a fully integrated biopharmaceutical company focused on discovering, developing and ultimately commercializing first-/best-in-class precision medicines for heart disease. Early on in our company history, we invested in differentiated capabilities to enable modality agnostic target identification and validation and product candidate optimization efforts anchored in human genetics and the use of human disease models. These highly productive platform drug discovery capabilities directly contributed to the development of our three clinical-stage programs, as well as to several earlier-stage pipeline. To support our initial focus on gene therapy candidates, we have internalized expertise in capsid engineering, promoters and regulatory elements and manufacturing science anchored on the use of adeno-associated viruses (AAVs) as the method of delivery to the heart. That in-depth genetic medicines expertise has directly informed the design, optimization and production of our lead gene therapy candidates, TN-201 and TN-401.</w:t>
      </w:r>
    </w:p>
    <w:p>
      <w:pPr>
        <w:spacing w:after="0" w:line="82"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454546"/>
        </w:rPr>
        <w:t>Our extensive cardiac genetic medicines capabilities make us a potential partner of choice for academic researchers and industry partners alike. In March 2026, we entered into a multi-target research collaboration with Alnylam Pharmaceuticals, Inc. (Alnylam), to identify and validate novel gene targets for the potential treatment of cardiovascular disease. Importantly, this agreement takes advantage of our modality agnostic discovery know-how and provides reimbursement for research efforts.</w:t>
      </w:r>
    </w:p>
    <w:p>
      <w:pPr>
        <w:spacing w:after="0" w:line="7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454546"/>
        </w:rPr>
        <w:t>For programs addressing relatively rare conditions – for example, our gene therapies for genetic cardiomyopathies – our strategy is to develop, manufacture, and commercialize at least some of these programs on our own, although we may selectively consider partnerships to access technology, accelerate our progress, or improve our global reach. Where our discovery efforts lead to product candidates intended for relatively prevalent indications our strategy is to out-license or partner such programs.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w:t>
      </w:r>
    </w:p>
    <w:p>
      <w:pPr>
        <w:sectPr>
          <w:pgSz w:w="12240" w:h="15840" w:orient="portrait"/>
          <w:cols w:equalWidth="0" w:num="1">
            <w:col w:w="9360"/>
          </w:cols>
          <w:pgMar w:left="1440" w:top="1416" w:right="1440" w:bottom="175" w:gutter="0" w:footer="0" w:header="0"/>
          <w:type w:val="continuous"/>
        </w:sectPr>
      </w:pPr>
    </w:p>
    <w:bookmarkStart w:id="5" w:name="page6"/>
    <w:bookmarkEnd w:id="5"/>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Our Product Pipeline</w:t>
      </w:r>
    </w:p>
    <w:p>
      <w:pPr>
        <w:spacing w:after="0" w:line="120"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We are advancing a diverse pipeline of product candidates intended to target the underlying causes of rare and highly prevalent forms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5943600" cy="3343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59436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454546"/>
        </w:rPr>
        <w:t>Each of our most advanced product candidates, TN-201, TN-401, and TN-301, emerged from an initial examination of the genetic underpinnings of heart conditions and has progressed to clinical stage with the support of our proprietary internal capabilities.</w:t>
      </w:r>
    </w:p>
    <w:p>
      <w:pPr>
        <w:spacing w:after="0" w:line="83" w:lineRule="exact"/>
        <w:rPr>
          <w:sz w:val="20"/>
          <w:szCs w:val="20"/>
          <w:color w:val="auto"/>
        </w:rPr>
      </w:pPr>
    </w:p>
    <w:p>
      <w:pPr>
        <w:ind w:left="980" w:hanging="490"/>
        <w:spacing w:after="0" w:line="237" w:lineRule="auto"/>
        <w:tabs>
          <w:tab w:leader="none" w:pos="980" w:val="left"/>
        </w:tabs>
        <w:numPr>
          <w:ilvl w:val="0"/>
          <w:numId w:val="5"/>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TN-201 gene therapy for HCM caused by variants in the MYBPC3 gene: </w:t>
      </w:r>
      <w:r>
        <w:rPr>
          <w:rFonts w:ascii="Times New Roman" w:cs="Times New Roman" w:eastAsia="Times New Roman" w:hAnsi="Times New Roman"/>
          <w:sz w:val="20"/>
          <w:szCs w:val="20"/>
          <w:color w:val="454546"/>
        </w:rPr>
        <w:t>TN-201 is our AAV9-based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 xml:space="preserve">gene therapy being developed to treat the underlying cause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by delivering a working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to specific cells of the heart via a single infusion.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mutations are the most common genetic cause of HCM, accounting for approximately 20% of the overall HCM population or more than 120,000 people in the U.S. alone. Patients may experience serious complications such as shortness of breath, fainting and palpitations, significant impairment in overall quality of life, heart failure, and sudden cardiac death. We are currently conducting the Phase 1b/2 MyPEAK</w:t>
      </w:r>
      <w:r>
        <w:rPr>
          <w:rFonts w:ascii="Times New Roman" w:cs="Times New Roman" w:eastAsia="Times New Roman" w:hAnsi="Times New Roman"/>
          <w:sz w:val="26"/>
          <w:szCs w:val="26"/>
          <w:color w:val="454546"/>
          <w:vertAlign w:val="superscript"/>
        </w:rPr>
        <w:t>TM</w:t>
      </w:r>
      <w:r>
        <w:rPr>
          <w:rFonts w:ascii="Times New Roman" w:cs="Times New Roman" w:eastAsia="Times New Roman" w:hAnsi="Times New Roman"/>
          <w:sz w:val="20"/>
          <w:szCs w:val="20"/>
          <w:color w:val="454546"/>
        </w:rPr>
        <w:t xml:space="preserve">-1 clinical trial in symptomatic adults diagnosed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for which we presented one year or greater safety, biopsy and efficacy results for the three patients enrolled in Cohort 1 and initial safety and available biopsy data for patients in Cohort 2 at the American Heart Association’s (AHA) Scientific Sessions 2025 in November 2025, with simultaneous publication in </w:t>
      </w:r>
      <w:r>
        <w:rPr>
          <w:rFonts w:ascii="Times New Roman" w:cs="Times New Roman" w:eastAsia="Times New Roman" w:hAnsi="Times New Roman"/>
          <w:sz w:val="20"/>
          <w:szCs w:val="20"/>
          <w:i w:val="1"/>
          <w:iCs w:val="1"/>
          <w:color w:val="454546"/>
        </w:rPr>
        <w:t>Cardiovascular Research</w:t>
      </w:r>
      <w:r>
        <w:rPr>
          <w:rFonts w:ascii="Times New Roman" w:cs="Times New Roman" w:eastAsia="Times New Roman" w:hAnsi="Times New Roman"/>
          <w:sz w:val="20"/>
          <w:szCs w:val="20"/>
          <w:color w:val="454546"/>
        </w:rPr>
        <w:t>. We plan to present longer-term Cohort 1 and interim Cohort 2 data in the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first half of 2026, followed by two-year Cohort 1 data and one-year Cohort 2 data in the second half of the year. We also intend to pursue alignment with regulatory authorities on pivotal trial plans for TN-201. TN-201 has received Fast Track, Orphan Drug and Rare Pediatric Disease Designation from the FDA and also received orphan medicinal product designation from the European Commission (EC).</w:t>
      </w:r>
    </w:p>
    <w:p>
      <w:pPr>
        <w:spacing w:after="0" w:line="111" w:lineRule="exact"/>
        <w:rPr>
          <w:rFonts w:ascii="Arial" w:cs="Arial" w:eastAsia="Arial" w:hAnsi="Arial"/>
          <w:sz w:val="20"/>
          <w:szCs w:val="20"/>
          <w:color w:val="454546"/>
        </w:rPr>
      </w:pPr>
    </w:p>
    <w:p>
      <w:pPr>
        <w:ind w:left="980" w:right="80" w:hanging="490"/>
        <w:spacing w:after="0" w:line="246" w:lineRule="auto"/>
        <w:tabs>
          <w:tab w:leader="none" w:pos="980" w:val="left"/>
        </w:tabs>
        <w:numPr>
          <w:ilvl w:val="0"/>
          <w:numId w:val="5"/>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TN-401 gene therapy for ARVC caused by variants in the PKP2 gene: </w:t>
      </w:r>
      <w:r>
        <w:rPr>
          <w:rFonts w:ascii="Times New Roman" w:cs="Times New Roman" w:eastAsia="Times New Roman" w:hAnsi="Times New Roman"/>
          <w:sz w:val="20"/>
          <w:szCs w:val="20"/>
          <w:color w:val="454546"/>
        </w:rPr>
        <w:t>TN-401 is our AAV9-based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 xml:space="preserve">gene therapy being developed for the treatment of ARVC due to disease-causing variants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are the most common genetic cause of ARVC, also known as arrhythmogenic cardiomyopathy (ACM), a condition characterized by arrhythmias, palpitations, lightheadedness, dizziness and fainting that typically strikes before age 40. The prevalence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is estimated at more than 70,000 people in the U.S. alone, though it frequently goes undiagnosed as sudden cardiac death is the first sign of disease in nearly one quarter of known cases. We are currently conducting RIDGE</w:t>
      </w:r>
      <w:r>
        <w:rPr>
          <w:rFonts w:ascii="Times New Roman" w:cs="Times New Roman" w:eastAsia="Times New Roman" w:hAnsi="Times New Roman"/>
          <w:sz w:val="26"/>
          <w:szCs w:val="26"/>
          <w:color w:val="454546"/>
          <w:vertAlign w:val="superscript"/>
        </w:rPr>
        <w:t>TM</w:t>
      </w:r>
      <w:r>
        <w:rPr>
          <w:rFonts w:ascii="Times New Roman" w:cs="Times New Roman" w:eastAsia="Times New Roman" w:hAnsi="Times New Roman"/>
          <w:sz w:val="20"/>
          <w:szCs w:val="20"/>
          <w:color w:val="454546"/>
        </w:rPr>
        <w:t xml:space="preserve">-1, our Phase 1b/2 clinical trial evaluating TN-401 in adult patients with </w:t>
      </w:r>
      <w:r>
        <w:rPr>
          <w:rFonts w:ascii="Times New Roman" w:cs="Times New Roman" w:eastAsia="Times New Roman" w:hAnsi="Times New Roman"/>
          <w:sz w:val="20"/>
          <w:szCs w:val="20"/>
          <w:i w:val="1"/>
          <w:iCs w:val="1"/>
          <w:color w:val="454546"/>
        </w:rPr>
        <w:t>PKP2-</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w:t>
      </w:r>
    </w:p>
    <w:p>
      <w:pPr>
        <w:sectPr>
          <w:pgSz w:w="12240" w:h="15840" w:orient="portrait"/>
          <w:cols w:equalWidth="0" w:num="1">
            <w:col w:w="9360"/>
          </w:cols>
          <w:pgMar w:left="1440" w:top="1420" w:right="1440" w:bottom="175" w:gutter="0" w:footer="0" w:header="0"/>
          <w:type w:val="continuous"/>
        </w:sectPr>
      </w:pPr>
    </w:p>
    <w:bookmarkStart w:id="6" w:name="page7"/>
    <w:bookmarkEnd w:id="6"/>
    <w:p>
      <w:pPr>
        <w:ind w:left="980" w:right="60"/>
        <w:spacing w:after="0" w:line="247" w:lineRule="auto"/>
        <w:rPr>
          <w:sz w:val="20"/>
          <w:szCs w:val="20"/>
          <w:color w:val="auto"/>
        </w:rPr>
      </w:pPr>
      <w:r>
        <w:rPr>
          <w:rFonts w:ascii="Times New Roman" w:cs="Times New Roman" w:eastAsia="Times New Roman" w:hAnsi="Times New Roman"/>
          <w:sz w:val="20"/>
          <w:szCs w:val="20"/>
          <w:color w:val="231F20"/>
        </w:rPr>
        <w:t>associated ARVC, for which we presented initial safety, biopsy and arrhythmia results for three patients enrolled in Cohort 1. We expect to present one-year Cohort 1 data and initial Cohort 2 data in the first half of 2026, with interim Cohort 2 results anticipated in the second half of the year. We also intend to pursue alignment with regulatory authorities on pivotal trial plans for TN-401. TN-401 has received Fast Track and Orphan Drug designation from the FDA and orphan medicinal product designation from the EC.</w:t>
      </w:r>
    </w:p>
    <w:p>
      <w:pPr>
        <w:spacing w:after="0" w:line="94" w:lineRule="exact"/>
        <w:rPr>
          <w:sz w:val="20"/>
          <w:szCs w:val="20"/>
          <w:color w:val="auto"/>
        </w:rPr>
      </w:pPr>
    </w:p>
    <w:p>
      <w:pPr>
        <w:ind w:left="980" w:hanging="490"/>
        <w:spacing w:after="0" w:line="242"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TN-301 small molecule HDAC6 inhibitor for the potential treatment of HFpEF and other cardiac, muscular or metabolic conditions: </w:t>
      </w:r>
      <w:r>
        <w:rPr>
          <w:rFonts w:ascii="Times New Roman" w:cs="Times New Roman" w:eastAsia="Times New Roman" w:hAnsi="Times New Roman"/>
          <w:sz w:val="20"/>
          <w:szCs w:val="20"/>
          <w:color w:val="231F20"/>
        </w:rPr>
        <w:t>We initially discovered the cardioprotective qualities of selective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HDAC6 inhibition in a genetic model of DCM. In subsequent preclinical studies, TN-301 was also shown to reverse many of the signs and symptoms of HFpEF, with evidence of improvements in cardiac function, glucose tolerance, inflammation and fibrosis. We completed Phase 1 clinical testing of TN-301 in healthy volunteers, observing an acceptable safety profile, suitability for once-daily dosing, and dose-dependent target engagement. Consistent with our strategy, we believe that TN-301’s late-stage development and commercialization in large indications such as HFpEF would best be led by a strategic pharmaceutical partner with global resources to explore the full potential of the molecule. In parallel with seeking opportunities to partner TN-301, we plan to selectively explore its utility in rare and orphan indications in which it may be possible to demonstrate proof-of-activity in a well-defined patient population. Using the mechanistic insights gained from our preclinical studies of TN-301, we have identified additional indications where TN-301’s distinct activity has the potential to address the underlying pathophysiology of disease. Among the most promising of these is the potential for TN-301 to target the mechanisms that drive DMD, a severe disease involving muscle fibrosis and atrophy for which the leading cause of death is cardiomyopathy. In preclinical studies, TN-301 improved muscle function in the mouse </w:t>
      </w:r>
      <w:r>
        <w:rPr>
          <w:rFonts w:ascii="Times New Roman" w:cs="Times New Roman" w:eastAsia="Times New Roman" w:hAnsi="Times New Roman"/>
          <w:sz w:val="20"/>
          <w:szCs w:val="20"/>
          <w:i w:val="1"/>
          <w:iCs w:val="1"/>
          <w:color w:val="231F20"/>
        </w:rPr>
        <w:t>mdx in vivo</w:t>
      </w:r>
      <w:r>
        <w:rPr>
          <w:rFonts w:ascii="Times New Roman" w:cs="Times New Roman" w:eastAsia="Times New Roman" w:hAnsi="Times New Roman"/>
          <w:sz w:val="20"/>
          <w:szCs w:val="20"/>
          <w:color w:val="231F20"/>
        </w:rPr>
        <w:t xml:space="preserve"> model of the disease and addressed key drivers of cardiomyopathy in relevant human cell-based models of DMD, while minimizing off-target toxicities associated with an approved pan-HDAC6 treatment for DMD.</w:t>
      </w:r>
    </w:p>
    <w:p>
      <w:pPr>
        <w:spacing w:after="0" w:line="83"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While our resources are firmly focused on our lead product candidates, we have multiple early-stage programs progressing through preclinical development using various therapeutic approaches, including cellular regeneration, gene addition, gene editing and gene silencing to address rare and/or prevalent heart diseases. Today, our pipeline consists of programs to which we have exclusive worldwide rights and that have emerged from our internal efforts, with select product candidates originating based on intellectual property licensed from academic institutions.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Our Integrated Capabilities</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Our distinct suite of integrated capabilities broadly enable modality agnostic target identification and validation, design of AAV-based genetic medicines and in-house manufacturing to support our efforts to discover and develop disease-modifying treatments focused on heart disease. Our interrelated capabilities include the use of human-induced Pluripotent Stem Cell (iPSC)-derived and engineered heart tissue disease models, machine learning and phenotypic screening and capsid engineering and novel promoter constructs, all of which are intended to enable the discovery, design, delivery and development of therapeutics that are best suited to a given cardiovascular condition. For manufacturing, our early strategy was to have complete ownership of process development and analytical development for our gene therapy product candidates. This strategy supported our ability to produce the clinical trial material needed for our current Phase 1b/2 clinical trials of TN-201 and TN-401, as well as the development of the know-how and capabilities necessary to manage our late-stage drug manufacturing requirements.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Collaboration Agreements</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We seek to enter into collaborations pursuant to which we can use our platform to benefit patients with cardiovascular diseases, or that we believe will contribute to our ability to develop and ultimately commercialize our clinical-stage product candidates and to advance our preclinical programs.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231F20"/>
        </w:rPr>
        <w:t>Alnylam</w:t>
      </w:r>
    </w:p>
    <w:p>
      <w:pPr>
        <w:spacing w:after="0" w:line="120"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231F20"/>
        </w:rPr>
        <w:t>In March 2026, we entered into a collaboration agreement with Alnylam, pursuant to which both parties agreed to a research collaboration to discover and validate novel gene targets for the potential treatment of cardiovascular disease.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9360"/>
          </w:cols>
          <w:pgMar w:left="1440" w:top="1420" w:right="1440" w:bottom="175" w:gutter="0" w:footer="0" w:header="0"/>
          <w:type w:val="continuous"/>
        </w:sectPr>
      </w:pPr>
    </w:p>
    <w:bookmarkStart w:id="7" w:name="page8"/>
    <w:bookmarkEnd w:id="7"/>
    <w:p>
      <w:pPr>
        <w:ind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Together, both parties will nominate an aggregate of 15 targets, align on which targets to move forward into the collaboration and then collaborate for a period of twenty-four (24) months (which may be extended for completion of the work) during which the parties will conduct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validation activities under a mutually agreed research plan and budget. Each party will be solely responsible for its own costs incurred to conduct its activities under the research plan, except that Alnylam will reimburse us for full-time employees and out-of-pocket costs and expenses incurred by us in accordance with the agreed-upon research budget. After completion of the validation activities, Alnylam will be solely responsible, at its own expense, for all development, manufacture, regulatory and commercialization activities for any products directed to a collaboration target.</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Under the terms of the collaboration agreement, we granted Alnylam an exclusive, worldwide license, with the right to sublicense, under our relevant intellectual property rights and know-how related to the collaboration targets, to evaluate and utilize such collaboration targets and to research, develop, manufacture and commercialize any product directed to such collaboration targets. During the twenty-four (24)-month period following the completion of the validation activities, Alnylam will have the right to evaluate each collaboration target to determine whether to further develop products directed to such collaboration target. In the event Alnylam fails to commence a non-human primate pharmacodynamic study for any target nominated by us prior to the end of such evaluation period, then such target will be deemed a terminated collaboration target, the collaboration agreement will expire for such target, and the license we granted to Alnylam with respect to such target will be terminated. During the term of the collaboration agreement, except in connection with the conduct of validation activities under the research plan, we are not permitted to conduct any research or development activities with respect to certain collaboration targets or any therapeutic products designed to be directed to such targets for as long as the target remains a collaboration target.</w:t>
      </w:r>
    </w:p>
    <w:p>
      <w:pPr>
        <w:spacing w:after="0" w:line="83"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Pursuant to the terms of the collaboration agreement, Alnylam will pay us an upfront payment of up to $10.0 million within thirty (30) days after Alnylam’s receipt of an invoice from us. The upfront fee is subject to $500,000 reductions for up to eight targets we nominate that do not meet certain agreed-upon standards and that the joint steering committee chooses not to advance. We are also eligible to receive up to an aggregate of $1.13 billion in development, regulatory and sales-based milestones related to products directed to targets we nominate.</w:t>
      </w:r>
    </w:p>
    <w:p>
      <w:pPr>
        <w:spacing w:after="0" w:line="7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For targets we nominate for which Alnylam has commenced a non-human primate pharmacodynamic study prior to the end of the aforementioned evaluation period, the collaboration agreement will continue on a target-by-target basis through the date on which no more payment obligations remain. For targets nominated by Alnylam, the collaboration agreement will continue through the completion of the validation activities performed by us. Either party may terminate the collaboration agreement for the other party’s uncured material breach or insolvency, subject to specified notice and cure periods. Alnylam may unilaterally terminate the collaboration agreement in its entirety, for any or no reason, subject to a specified notice period.</w:t>
      </w:r>
    </w:p>
    <w:p>
      <w:pPr>
        <w:spacing w:after="0" w:line="8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454546"/>
        </w:rPr>
        <w:t>The collaboration agreement contains, among other provisions, customary representations and warranties by the parties, intellectual property protection covenants, certain indemnification rights in favor of each party and customary confidentiality provisions.</w:t>
      </w:r>
    </w:p>
    <w:p>
      <w:pPr>
        <w:spacing w:after="0" w:line="68"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454546"/>
        </w:rPr>
        <w:t>The foregoing description of the collaboration agreement with Alnylam does not purport to be complete and is qualified in its entirety by the full text of such agreement, a copy of which the Company intends to file as an exhibit to its Quarterly Report on Form 10-Q for the quarter ending March 31,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 of Heart Disease</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Heart disease is the leading cause of death in the world, representing an estimated 32% of all global fatalities. The heart is a complex organ due to its biological structure as well as its tightly regulated and coordinated electrophysiological and biomechanical properties. Heart disease comes in many forms, affects individuals at many ages, and is a result of many factors. In each case, the underlying cause could be genetic or due to normal aging or due to environmental factors. Our initial research and development focus has been on the genetics associated with conditions affecting the heart muscle, also known as cardiomyopathies, specifically HCM and ARVC, each of which can lead to serious comorbidities such as sudden cardiac arrest or heart failure.</w:t>
      </w:r>
    </w:p>
    <w:p>
      <w:pPr>
        <w:spacing w:after="0" w:line="80" w:lineRule="exact"/>
        <w:rPr>
          <w:sz w:val="20"/>
          <w:szCs w:val="20"/>
          <w:color w:val="auto"/>
        </w:rPr>
      </w:pPr>
    </w:p>
    <w:p>
      <w:pPr>
        <w:ind w:right="40" w:firstLine="490"/>
        <w:spacing w:after="0" w:line="270" w:lineRule="auto"/>
        <w:rPr>
          <w:sz w:val="20"/>
          <w:szCs w:val="20"/>
          <w:color w:val="auto"/>
        </w:rPr>
      </w:pPr>
      <w:r>
        <w:rPr>
          <w:rFonts w:ascii="Times New Roman" w:cs="Times New Roman" w:eastAsia="Times New Roman" w:hAnsi="Times New Roman"/>
          <w:sz w:val="19"/>
          <w:szCs w:val="19"/>
          <w:color w:val="454546"/>
        </w:rPr>
        <w:t>Historically, treatments for heart disease have been aimed at broadly addressing symptoms of highly prevalent conditions and the development of novel treatments has been stymied by the need for lengthy studies primarily focused on survival and hospitalization outcomes. Such studies required enrolling large, heterogeneous patient populations in an effort to achieve statistically significant signals of efficacy. Consequently, innovation in heart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w:t>
      </w:r>
    </w:p>
    <w:p>
      <w:pPr>
        <w:sectPr>
          <w:pgSz w:w="12240" w:h="15840" w:orient="portrait"/>
          <w:cols w:equalWidth="0" w:num="1">
            <w:col w:w="9360"/>
          </w:cols>
          <w:pgMar w:left="1440" w:top="1420" w:right="1440" w:bottom="175" w:gutter="0" w:footer="0" w:header="0"/>
          <w:type w:val="continuous"/>
        </w:sectPr>
      </w:pPr>
    </w:p>
    <w:bookmarkStart w:id="8" w:name="page9"/>
    <w:bookmarkEnd w:id="8"/>
    <w:p>
      <w:pPr>
        <w:ind w:right="220"/>
        <w:spacing w:after="0" w:line="277" w:lineRule="auto"/>
        <w:rPr>
          <w:sz w:val="20"/>
          <w:szCs w:val="20"/>
          <w:color w:val="auto"/>
        </w:rPr>
      </w:pPr>
      <w:r>
        <w:rPr>
          <w:rFonts w:ascii="Times New Roman" w:cs="Times New Roman" w:eastAsia="Times New Roman" w:hAnsi="Times New Roman"/>
          <w:sz w:val="20"/>
          <w:szCs w:val="20"/>
          <w:color w:val="454546"/>
        </w:rPr>
        <w:t>disease drug development has lagged in comparison to therapeutic areas such as oncology and rare diseases where more targeted approaches have achieved clinical and regulatory success.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Growing Momentum for Precision Approaches</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In the past several years, increasing clinical and regulatory validation for more targeted approaches have emerged for precision approaches to heart disease and AAV-based gene therapies. These include FDA draft guidance supporting smaller clinical studies that emphasize the use of clinically meaningful endpoints of “feel and function” and a small but growing number of examples of clinical success and regulatory approvals for disease-modifying treatments geared toward targeted disease populations, including in genetic cardiomyopathies, that have followed similar development and regulatory paths.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A combination of increasing insights into the genetic causes of heart disease and recognition of the importance of genetic testing support the discovery, development and commercial opportunities for precision medicines that target the underlying genetic cause of heart conditions. More than 250 genetically defined disorders are now known where the primary source of morbidity and mortality involves the heart, providing numerous potentially druggable targets for characterization. Updated clinical practice guidelines from the American College of Cardiology, American Heart Association and European Society of Cardiology recommending genetic testing and family counseling, and the push for mandatory screening of young athletes, are all leading to improved access to genetic testing, patient diagnosis and disease management. At the same time, the field of gene therapy drug development has matured. The safety and efficacy of genetic medicines, and AAV9-based gene therapies in particular, continues to grow with multiple new regulatory approvals in recent years resulting in thousands of patients dosed worldwide.</w:t>
      </w:r>
    </w:p>
    <w:p>
      <w:pPr>
        <w:spacing w:after="0" w:line="82"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454546"/>
        </w:rPr>
        <w:t>We believe with the evolving understanding of heart disease, and the genetic underpinnings of disease in particular, there are significant opportunities where our proprietary capabilities and singular focus will enable us to benefit from and support the evolution towards more precise diagnosis, drug development, and treatment for heart disease.</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Evolving Regulatory Pathway for Gene Therapy</w:t>
      </w:r>
    </w:p>
    <w:p>
      <w:pPr>
        <w:spacing w:after="0" w:line="120"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454546"/>
        </w:rPr>
        <w:t>The regulatory pathway for gene therapy is evolving toward a more efficient, science-driven approach that is beginning to bridge the gap between innovative drug development and patient access to medicines that address the unmet need for rare disease conditions. A study by the Association for Regenerative Medicine found that gene therapies for rare disease have a 2 to 3.5-fold higher likelihood of achieving regulatory approval as compared to other modalities. This report is bolstered by multiple emerging FDA policies and practices intended to help streamline the development of gene therapies and mitigate safety and tolerability concerns that can delay development timelines. In just the past year, several developments impacting U.S. regulatory consideration of genetic medicines for rare diseases have emerged or been reaffirmed:</w:t>
      </w:r>
    </w:p>
    <w:p>
      <w:pPr>
        <w:spacing w:after="0" w:line="136" w:lineRule="exact"/>
        <w:rPr>
          <w:sz w:val="20"/>
          <w:szCs w:val="20"/>
          <w:color w:val="auto"/>
        </w:rPr>
      </w:pPr>
    </w:p>
    <w:p>
      <w:pPr>
        <w:jc w:val="both"/>
        <w:ind w:left="840" w:right="600" w:hanging="350"/>
        <w:spacing w:after="0" w:line="276" w:lineRule="auto"/>
        <w:tabs>
          <w:tab w:leader="none" w:pos="8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Alignment with multiple gene therapy sponsors on pivotal trial and accelerated approval pathways indicating a willingness to consider surrogate markers of efficacy and expedited regulatory review.</w:t>
      </w:r>
    </w:p>
    <w:p>
      <w:pPr>
        <w:spacing w:after="0" w:line="104" w:lineRule="exact"/>
        <w:rPr>
          <w:rFonts w:ascii="Arial" w:cs="Arial" w:eastAsia="Arial" w:hAnsi="Arial"/>
          <w:sz w:val="20"/>
          <w:szCs w:val="20"/>
          <w:color w:val="454546"/>
        </w:rPr>
      </w:pPr>
    </w:p>
    <w:p>
      <w:pPr>
        <w:ind w:left="840" w:right="40" w:hanging="350"/>
        <w:spacing w:after="0" w:line="249" w:lineRule="auto"/>
        <w:tabs>
          <w:tab w:leader="none" w:pos="8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FDA’s issuance of important guidance, including expedited programs for regenerative medicines and the regenerative medicine advanced therapy (RMAT) designation, the issuance of advice on study design, endpoints and analysis for rare and pediatric cell and gene therapies, and the recent adoption of Rare Disease Evidence Principles which facilitates the approval of medicines for rare diseases with very small patient populations in which a known genetic defect is a known driver of disease, among others.</w:t>
      </w:r>
    </w:p>
    <w:p>
      <w:pPr>
        <w:spacing w:after="0" w:line="130" w:lineRule="exact"/>
        <w:rPr>
          <w:rFonts w:ascii="Arial" w:cs="Arial" w:eastAsia="Arial" w:hAnsi="Arial"/>
          <w:sz w:val="20"/>
          <w:szCs w:val="20"/>
          <w:color w:val="454546"/>
        </w:rPr>
      </w:pPr>
    </w:p>
    <w:p>
      <w:pPr>
        <w:ind w:left="840" w:right="60" w:hanging="350"/>
        <w:spacing w:after="0" w:line="249" w:lineRule="auto"/>
        <w:tabs>
          <w:tab w:leader="none" w:pos="8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 xml:space="preserve">Congress’s reauthorization of the Rare Disease Priority Review Voucher Program is another important step that provides stability for the rare disease community, stimulates investment in pediatric rare disease and allows sponsors to expedite the FDA review process, reducing the time to market for new treatments. This reauthorization further strengthens the opportunity for TN-201 as a treatment for pediatric patients suffering from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7</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340" w:firstLine="490"/>
        <w:spacing w:after="0" w:line="258" w:lineRule="auto"/>
        <w:rPr>
          <w:sz w:val="20"/>
          <w:szCs w:val="20"/>
          <w:color w:val="auto"/>
        </w:rPr>
      </w:pPr>
      <w:r>
        <w:rPr>
          <w:rFonts w:ascii="Times New Roman" w:cs="Times New Roman" w:eastAsia="Times New Roman" w:hAnsi="Times New Roman"/>
          <w:sz w:val="20"/>
          <w:szCs w:val="20"/>
          <w:color w:val="454546"/>
        </w:rPr>
        <w:t>For Tenaya, we believe these actions collectively reflect a commitment to facilitating the development and approval of cell and gene therapy products for rare conditions and balancing safety and rigorous standards with accelerating access to innovative medicines for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Strategy</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Our long-term goal is to become a leading, fully integrated biotechnology company delivering next-generation therapies that address the underlying causes of heart disease. We are taking advantage of an expanded understanding of heart biology and advances in the science of genetics and disease models to discover, develop, manufacture and ultimately commercialize a deep and diverse pipeline of novel heart disease therapies. The key components of our strategy to achieve these goals are:</w:t>
      </w:r>
    </w:p>
    <w:p>
      <w:pPr>
        <w:spacing w:after="0" w:line="87" w:lineRule="exact"/>
        <w:rPr>
          <w:sz w:val="20"/>
          <w:szCs w:val="20"/>
          <w:color w:val="auto"/>
        </w:rPr>
      </w:pPr>
    </w:p>
    <w:p>
      <w:pPr>
        <w:ind w:left="980" w:right="40" w:hanging="490"/>
        <w:spacing w:after="0" w:line="246"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Focus on heart disease</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Heart disease remains a leading cause of death globally, and the unmet medical</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93" w:lineRule="exact"/>
        <w:rPr>
          <w:rFonts w:ascii="Arial" w:cs="Arial" w:eastAsia="Arial" w:hAnsi="Arial"/>
          <w:sz w:val="20"/>
          <w:szCs w:val="20"/>
          <w:color w:val="454546"/>
        </w:rPr>
      </w:pPr>
    </w:p>
    <w:p>
      <w:pPr>
        <w:ind w:left="980" w:right="60" w:hanging="490"/>
        <w:spacing w:after="0" w:line="248"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Develop disease-modifying therapies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We are focused on developing disease-modifying and potentially</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life-saving novel therapies that 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therapy candidates for genetically defined conditions have the potential to be curative after a single dose.</w:t>
      </w:r>
    </w:p>
    <w:p>
      <w:pPr>
        <w:spacing w:after="0" w:line="110" w:lineRule="exact"/>
        <w:rPr>
          <w:rFonts w:ascii="Arial" w:cs="Arial" w:eastAsia="Arial" w:hAnsi="Arial"/>
          <w:sz w:val="20"/>
          <w:szCs w:val="20"/>
          <w:color w:val="454546"/>
        </w:rPr>
      </w:pPr>
    </w:p>
    <w:p>
      <w:pPr>
        <w:ind w:left="980" w:right="140" w:hanging="490"/>
        <w:spacing w:after="0" w:line="246"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Target defined sub-populations of patients most likely to respond to our therapies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We seek to focus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on patient populations where the genetic cause of the disease is well-established, including genetic cardiomyopathies and other monogenic disorders. We also seek to use different strategies to sub-segment larger heart failure populations through the use of genetics or biomarkers to improve selection of patients with attributes that are more suited to the specific mechanism of action of a given product candidate. We believe this strategy can accelerate clinical development, reduce overall development costs, and improve the probability of clinical and regulatory success.</w:t>
      </w:r>
    </w:p>
    <w:p>
      <w:pPr>
        <w:spacing w:after="0" w:line="93" w:lineRule="exact"/>
        <w:rPr>
          <w:rFonts w:ascii="Arial" w:cs="Arial" w:eastAsia="Arial" w:hAnsi="Arial"/>
          <w:sz w:val="20"/>
          <w:szCs w:val="20"/>
          <w:color w:val="454546"/>
        </w:rPr>
      </w:pPr>
    </w:p>
    <w:p>
      <w:pPr>
        <w:ind w:left="980" w:right="160" w:hanging="490"/>
        <w:spacing w:after="0" w:line="248"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Internalize and integrate core capabilities to support our innovation</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Powering our drug discovery</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engine are genetic insights into cardiac biology, coupled with a suite of core capabilities centered on modality agnostic target discovery and validation and design, production and delivery know-how for AAV-based genetic medicines. We believe the integration of our know-how and innovations in these areas will allow us to generate scientific insights more rapidly and improve the probability of technical and regulatory success of our product candidates.</w:t>
      </w:r>
    </w:p>
    <w:p>
      <w:pPr>
        <w:spacing w:after="0" w:line="87" w:lineRule="exact"/>
        <w:rPr>
          <w:rFonts w:ascii="Arial" w:cs="Arial" w:eastAsia="Arial" w:hAnsi="Arial"/>
          <w:sz w:val="20"/>
          <w:szCs w:val="20"/>
          <w:color w:val="454546"/>
        </w:rPr>
      </w:pPr>
    </w:p>
    <w:p>
      <w:pPr>
        <w:ind w:left="980" w:hanging="490"/>
        <w:spacing w:after="0" w:line="245"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Advance a deep and diverse pipeline of therapies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The diversity of our programs illustrates the</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 xml:space="preserve">ambition of our vision and the versatility and depth of our scientific approach. Our pipeline includes therapeutics for both rare and prevalent heart diseases across multiple treatment modalities. Our most advanced rare disease programs include two AAV-based gene therapy candidates in early clinical development: TN-201, our product candidate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and TN-401, our product candidate for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TN-301, a small molecule inhibitor of HDAC6 intended to address HFpEF has successfully completed a Phase 1 clinical trial. We are also working on several other early-stage programs, including gene editing and cardiac regeneration, that we believe will add to our future pipeline opportunities.</w:t>
      </w:r>
    </w:p>
    <w:p>
      <w:pPr>
        <w:spacing w:after="0" w:line="94" w:lineRule="exact"/>
        <w:rPr>
          <w:rFonts w:ascii="Arial" w:cs="Arial" w:eastAsia="Arial" w:hAnsi="Arial"/>
          <w:sz w:val="20"/>
          <w:szCs w:val="20"/>
          <w:color w:val="454546"/>
        </w:rPr>
      </w:pPr>
    </w:p>
    <w:p>
      <w:pPr>
        <w:ind w:left="980" w:hanging="490"/>
        <w:spacing w:after="0" w:line="246"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Seek partnerships that can expand our reach and accelerate our efforts. </w:t>
      </w:r>
      <w:r>
        <w:rPr>
          <w:rFonts w:ascii="Times New Roman" w:cs="Times New Roman" w:eastAsia="Times New Roman" w:hAnsi="Times New Roman"/>
          <w:sz w:val="20"/>
          <w:szCs w:val="20"/>
          <w:color w:val="454546"/>
        </w:rPr>
        <w:t>We believe our focus on heart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disease and extensive platform and core capabilities make us a potential partner of choice for academics and larger companies alike who wish to access deep expertise in next-generation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 and/or specific modalities.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8</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left="980" w:right="180" w:hanging="490"/>
        <w:spacing w:after="0" w:line="252"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Become a fully integrated biopharmaceutical company with commercial capabilities. </w:t>
      </w:r>
      <w:r>
        <w:rPr>
          <w:rFonts w:ascii="Times New Roman" w:cs="Times New Roman" w:eastAsia="Times New Roman" w:hAnsi="Times New Roman"/>
          <w:sz w:val="20"/>
          <w:szCs w:val="20"/>
          <w:color w:val="454546"/>
        </w:rPr>
        <w:t>We aim to</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discover, develop, manufacture, and eventually commercialize therapies, with an initial focus on those therapies for rare disease populations that could be launched and marketed by a relatively small, specialized salesforce.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Clinical-Stage Gene Therapy Programs</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Gene therapy is a way of treating or preventing diseases or medical conditions caused by genetic mutations. Our initial programs target loss-of-function mutations that affect a given gene’s ability to make a protein resulting in a pathogenic protein deficiency. Gene therapy compensates for the mutated gene by delivering a working gene to target cells in order to restore healthy function and thereby address the underlying cause of a disease.</w:t>
      </w:r>
    </w:p>
    <w:p>
      <w:pPr>
        <w:spacing w:after="0" w:line="74"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454546"/>
        </w:rPr>
        <w:t>We utilize AAVs, and specifically AAV9, to deliver the therapeutic working gene to target cells of the heart muscle. AAVs are naturally occurring viruses that are not known to cause diseases in people and are the most common viral vectors used in gene therapy. Viral DNA is removed and the resulting viral shell, or capsid, is loaded with a working gene and regulatory elements to ensure preferential delivery to target tissues and successful transfer of the gene into cells, known as transduction. AAV9 is the most widely studied and clinically validated capsid and has been proven to transduce human cardiomyocytes.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TN-201: Gene Therapy for MYBPC3-associated HCM</w:t>
      </w:r>
    </w:p>
    <w:p>
      <w:pPr>
        <w:spacing w:after="0" w:line="12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We are developing TN-201, an investigational AAV-based gene therapy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a condition caused by insufficient levels of myosin-binding protein C (MyBP-C).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genetic mutations are the most common cause of familial HCM. These mutations and the associated deficiency in MyBP-C protein, result in dysregulation of the heart’s contractile mechanism which in turn causes the heart walls of affected individuals to become significantly thickened, leading to fibrosis, abnormal heart rhythms, cardiac dysfunction, heart failure, and increased risk of sudden cardiac death. There are currently no approved therapies that address the underlying cause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HCM</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HCM is a condition in which the heart walls become thickened (hypertrophy) due to excess contraction, resulting in a reduced ability of the left ventricle (LV) to relax and fill (diastole) and pump (systole) blood effectively with each heartbeat. HCM is a chronic, progressive disease associated with significant impairment to patients’ overall quality of life, as well as an elevated risk of sudden cardiac death. Symptoms include chest pain, shortness of breath (dyspnea), fainting (syncope), fatigue and palpitations. As the disease progresses, patients may suffer premature death due to end-stage heart failure or malignant ventricular arrhythmia (VA) sometimes leading to sudden cardiac death or stroke. Disease onset can occur at any age, with HCM most frequently emerging in adults in their mid-40s. When HCM emerges in children and young adults, the disease course is typically more aggressive and prognosis is worse than that observed in older patients. HCM is the leading cause of sudden cardiac death in young adults.</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 xml:space="preserve">HCM is estimated to affect one in every 500 people, approximating more than 600,000 people in the U.S. A majority of HCM patients are currently undiagnosed, with diagnosis typically starting with the onset of symptoms, family screening, or the discovery of an abnormal electrocardiogram (ECG) pattern. A clinical diagnosis of HCM in adults is defined as a left ventricular wall thickening of greater than 15mm. 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to the rest of the body. Nonobstructive HCM is more frequently characterized by diastolic dysfunction resulting in increased LV filling pressures that leads to chest pain and dyspnea. The genetic causes of HCM may be diverse, but approximately 60% of patients with HCM have clearly identifiable familial disease with an autosomal dominant pattern of inheritance. Mutations in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are estimated to represent approximately 20% of the overall HCM population and to affect approximately 120,000 patients in the U.S.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may result in either form of HCM. In contrast to the general HCM population in which oHCM makes up approximately two-thirds of diagnoses, a majority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patients have the nonobstructive form of the disease, with one study involving a series of more than 1,000 patients finding that 69% of patients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mutations had nHCM, while 31% presented with LVOT characteristic of oHCM.</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w:t>
      </w:r>
    </w:p>
    <w:p>
      <w:pPr>
        <w:sectPr>
          <w:pgSz w:w="12240" w:h="15840" w:orient="portrait"/>
          <w:cols w:equalWidth="0" w:num="1">
            <w:col w:w="9360"/>
          </w:cols>
          <w:pgMar w:left="1440" w:top="1434" w:right="1440" w:bottom="175" w:gutter="0" w:footer="0" w:header="0"/>
          <w:type w:val="continuous"/>
        </w:sectPr>
      </w:pPr>
    </w:p>
    <w:bookmarkStart w:id="11" w:name="page12"/>
    <w:bookmarkEnd w:id="11"/>
    <w:p>
      <w:pPr>
        <w:ind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HCM patients who are heterozygous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are typically diagnosed earlier in life as compared to genotype-negative HCM patients and have more severe disease associated with increases in arrhythmia, sudden cardiac death and cardiovascular mortality. Those diagnosed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before the age of eighteen represent a sizeable severe population subject to more rapid disease progression and a markedly greater cumulative disease burden compared to those with adult-onset. Infants with homozygous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represent a rare, but particularly severe patient group. With high risk of death and no available treatment options to address the underlying genetic mutation, the only option for those born with homozygous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is a heart transplant, typically within the first year of life.</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encodes the MyBP-C protein, which forms a key component of the cardiac sarcomere, the fundamental contractile unit of the cardiomyocyte. MyBP-C protein is central to regulation of both contraction and relaxation of the cardiac muscle. Reduced MyBP-C protein levels associated with heterozygous mutations in the </w:t>
      </w:r>
      <w:r>
        <w:rPr>
          <w:rFonts w:ascii="Times New Roman" w:cs="Times New Roman" w:eastAsia="Times New Roman" w:hAnsi="Times New Roman"/>
          <w:sz w:val="20"/>
          <w:szCs w:val="20"/>
          <w:i w:val="1"/>
          <w:iCs w:val="1"/>
          <w:color w:val="454546"/>
        </w:rPr>
        <w:t xml:space="preserve">MYBPC3 </w:t>
      </w:r>
      <w:r>
        <w:rPr>
          <w:rFonts w:ascii="Times New Roman" w:cs="Times New Roman" w:eastAsia="Times New Roman" w:hAnsi="Times New Roman"/>
          <w:sz w:val="20"/>
          <w:szCs w:val="20"/>
          <w:color w:val="454546"/>
        </w:rPr>
        <w:t>gene result in increased activity of the myosin contractile machinery, which over time leads to LV muscle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an LV assist device (LVAD) or transplantation, in the most severely affected patients. Fibrosis and muscle cell disarray may also lead to arrhythmias in some patients, including life-threatening VA and atrial fibrillation, which can lead to stroke.</w:t>
      </w:r>
    </w:p>
    <w:p>
      <w:pPr>
        <w:spacing w:after="0" w:line="82"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Approximately 90%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result are truncating. Analysis of the hearts of patients who carry truncating mutations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show on average approximately 40% lower levels of functional MyBP-C protein compared to unaffected hearts. In the most severe cases in which both copies of the gene are affected, there is a complete lack of functional MyBP-C protein expression. We believe these findings support the idea that mutations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cause human disease through haploinsufficiency and the hypothesis that gene replacement may address the underlying cause of disease by increasing the levels of functional MyBP-C protein.</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implantation of an LVAD or a heart transplant may be the only options.</w:t>
      </w:r>
    </w:p>
    <w:p>
      <w:pPr>
        <w:spacing w:after="0" w:line="8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 xml:space="preserve">In recent years, a class of agents known as cardiac myosin inhibitors have emerged as potential treatments for HCM. Two of these agents, mavacamten and aficamten, are approved for the treatment of adults with oHCM. However, there are currently no therapies approved specifically for adult and pediatric HCM patients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or for those with nonobstructive disease.</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We believe TN-201 has the potential to address the underlying biological basis of disease in adult and pediatric HCM patients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Based on our early clinical data, TN-201 gene therapy has the potential to achieve robust expression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and to slow or even reverse the course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including LV hypertrophy. By increasing MyBP-C expression, TN-201 may improve heart functional capacity, stabilize or reverse disease symptoms, reduce the need for invasive treatments and improve survival. As with other AAV-based gene therapies, benefits are expected to be durable and a one-time dose may be sufficient to halt or even reverse disease. TN-201 has received Orphan Drug, Fast Track and Rare Pediatric Disease Designations from the FDA and orphan medicinal product designation from the EC.</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454546"/>
        </w:rPr>
        <w:t>The MyPEAK-1 Phase 1b/2 Clinical Trial of TN-201</w:t>
      </w:r>
    </w:p>
    <w:p>
      <w:pPr>
        <w:spacing w:after="0" w:line="11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MyPEAK-1 is a multi-center, open-label clinical trial designed to assess the safety, tolerability and efficacy of a one-time intravenous infusion of TN-201. The trial may enroll up to thirty symptomatic (New York Heart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10</w:t>
      </w:r>
    </w:p>
    <w:p>
      <w:pPr>
        <w:sectPr>
          <w:pgSz w:w="12240" w:h="15840" w:orient="portrait"/>
          <w:cols w:equalWidth="0" w:num="1">
            <w:col w:w="9360"/>
          </w:cols>
          <w:pgMar w:left="1440" w:top="1420" w:right="1440" w:bottom="175" w:gutter="0" w:footer="0" w:header="0"/>
          <w:type w:val="continuous"/>
        </w:sectPr>
      </w:pPr>
    </w:p>
    <w:bookmarkStart w:id="12" w:name="page13"/>
    <w:bookmarkEnd w:id="12"/>
    <w:p>
      <w:pPr>
        <w:ind w:right="20"/>
        <w:spacing w:after="0" w:line="242" w:lineRule="auto"/>
        <w:rPr>
          <w:sz w:val="20"/>
          <w:szCs w:val="20"/>
          <w:color w:val="auto"/>
        </w:rPr>
      </w:pPr>
      <w:r>
        <w:rPr>
          <w:rFonts w:ascii="Times New Roman" w:cs="Times New Roman" w:eastAsia="Times New Roman" w:hAnsi="Times New Roman"/>
          <w:sz w:val="20"/>
          <w:szCs w:val="20"/>
          <w:color w:val="454546"/>
        </w:rPr>
        <w:t xml:space="preserve">Association (NYHA) class II or III) adults (ages 18-75) with low titers of pre-existing AAV9 neutralizing antibodies who have been diagnosed with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Endpoints for the trial include safety and tolerability, pharmacokinetics (PK) (as measured by transgene, mRNA expression and MyBP-C protein level changes via cardiac biopsies), pharmacodynamic (PD) (as measured by imaging and plasma biomarkers), exercise capacity (as measured by a six-minute walk test and cardiopulmonary exercise testing (CPET)) and patient-reported outcomes (as measured by a Kansas City Cardiomyopathy Questionnaire). These assessments are taken at regular intervals during the first year of the study. Patients enrolled in MyPEAK-1 are monitored for an additional four years to gather long-term safety and efficacy data. The trial includes a preventative immunosuppressive regimen at the time of dosing, close safety monitoring, and the gradual tapering of immunosuppressive medications. Two dose levels of TN-201 are being assessed in the trial, 3E13 vg/kg (Cohort 1) and 6E13 vg/kg (Cohort 2). These doses associated with near-maximal efficacy in preclinical studies of a homozygous knock-out model. As per protocol, review by the independent data safety monitoring board (DSMB) of all available data from the first six patients dosed determined that TN-201 had an acceptable safety profile to proceed with dosing expansion cohorts at either dose level. We are enrolling additional patients in MyPEAK-1 to further characterize dose response and inform dose selection for late-stage clinical trials.</w:t>
      </w:r>
    </w:p>
    <w:p>
      <w:pPr>
        <w:spacing w:after="0" w:line="92"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 xml:space="preserve">In November 2025, we presented interim data from MyPEAK-1 at the AHA's Scientific Sessions 2025, with simultaneous publication in </w:t>
      </w:r>
      <w:r>
        <w:rPr>
          <w:rFonts w:ascii="Times New Roman" w:cs="Times New Roman" w:eastAsia="Times New Roman" w:hAnsi="Times New Roman"/>
          <w:sz w:val="20"/>
          <w:szCs w:val="20"/>
          <w:i w:val="1"/>
          <w:iCs w:val="1"/>
          <w:color w:val="454546"/>
        </w:rPr>
        <w:t>Cardiovascular Research</w:t>
      </w:r>
      <w:r>
        <w:rPr>
          <w:rFonts w:ascii="Times New Roman" w:cs="Times New Roman" w:eastAsia="Times New Roman" w:hAnsi="Times New Roman"/>
          <w:sz w:val="20"/>
          <w:szCs w:val="20"/>
          <w:color w:val="454546"/>
        </w:rPr>
        <w:t>. Interim data presented included safety, biopsy and efficacy results for the three patients enrolled in Cohort 1 with follow-up ranging from Week 52-78, and safety and available assessments for the patients in Cohort 2 who had post-dose assessments 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adverse events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89" w:lineRule="exact"/>
        <w:rPr>
          <w:sz w:val="20"/>
          <w:szCs w:val="20"/>
          <w:color w:val="auto"/>
        </w:rPr>
      </w:pPr>
    </w:p>
    <w:p>
      <w:pPr>
        <w:ind w:right="360" w:firstLine="490"/>
        <w:spacing w:after="0" w:line="247" w:lineRule="auto"/>
        <w:rPr>
          <w:sz w:val="20"/>
          <w:szCs w:val="20"/>
          <w:color w:val="auto"/>
        </w:rPr>
      </w:pPr>
      <w:r>
        <w:rPr>
          <w:rFonts w:ascii="Times New Roman" w:cs="Times New Roman" w:eastAsia="Times New Roman" w:hAnsi="Times New Roman"/>
          <w:sz w:val="20"/>
          <w:szCs w:val="20"/>
          <w:color w:val="454546"/>
        </w:rPr>
        <w:t>DNA and RNA analyses of cardiac biopsy samples from all three patients in Cohort 1 showed evidence of sustained presence of TN-201 DNA in the heart and increasing mRNA expression over time. The first patient in Cohort 2 with serial biopsy data (Patient 6) had a greater than 2-fold increase in cardiac transduction and RNA expression at Week 12 relative to the average for these measures observed across Cohort 1 patients. MyBP-</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454546"/>
        </w:rPr>
        <w:t>C protein levels across Cohort 1 increased over time by an average of 4% from the first biopsy taken to Week 52. The first evaluable patient in Cohort 2 (Patient 6) demonstrated a clear dose response, and early MyBP-C expression increased by 14% after only 12 weeks post-dose.</w:t>
      </w:r>
    </w:p>
    <w:p>
      <w:pPr>
        <w:spacing w:after="0" w:line="81"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454546"/>
        </w:rPr>
        <w:t xml:space="preserve">All patients with greater than 26 weeks of follow-up demonstrated improvement in at least one parameter of disease, across biomarkers, hypertrophy and heart failure symptoms. Cardiac troponin I, a predictive risk factor of adverse cardiac outcomes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All three patients in Cohort 1 showed evidence of significant improvement in one or more measures of hypertrophy at Week 52, with notable reductions in left ventricular posterior wall thickness (LVPWT) of between 21% and 39%. Greater LVPWT is an independent risk factor for reduced long-term survival after septal myectomy. Two out of three Cohort 1 patients saw reductions from baseline in left ventricular mass index (LVMI) of between 12% and 22% at Week 52. In the first Cohort 2 patient for whom Week 26 data were available (Patient 4), cardiac troponin I remained within the normal range and NT-proBNP remained stable. LVPWT and LVMI also remained stable at Week 26. NYHA classification, a measure of the impact of heart failure symptoms on activities of daily living, improved in all patients by at least one class by Week 26, and all Cohort 1 patients were NYHA Class I (asymptomatic) as of the data cutoff date. Longer-term follow-up for all patients is required to further inform our understanding of TN-201’s potential as a treatment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w:t>
      </w:r>
    </w:p>
    <w:p>
      <w:pPr>
        <w:spacing w:after="0" w:line="92"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Following proactive correspondence with the FDA relating to future development plans for TN-201 the FDA placed MyPEAK-1 on clinical hold requesting an amendment to the protocol primarily to standardize activities related to patient monitoring and management of the immunosuppression regimen across trial sites. We worked swiftly and collaboratively with the FDA to resolve the clinical hold and received notification from the FDA within less than six weeks that the clinical hold was removed and we do not expect this action to have impacted data milestones or development timelines for TN-201.</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11</w:t>
      </w:r>
    </w:p>
    <w:p>
      <w:pPr>
        <w:sectPr>
          <w:pgSz w:w="12240" w:h="15840" w:orient="portrait"/>
          <w:cols w:equalWidth="0" w:num="1">
            <w:col w:w="9360"/>
          </w:cols>
          <w:pgMar w:left="1440" w:top="1420" w:right="1440" w:bottom="175" w:gutter="0" w:footer="0" w:header="0"/>
          <w:type w:val="continuous"/>
        </w:sectPr>
      </w:pPr>
    </w:p>
    <w:bookmarkStart w:id="13" w:name="page14"/>
    <w:bookmarkEnd w:id="13"/>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We expect to present longer-term Cohort 1 and interim Cohort 2 data in the first half of 2026. In the second half of 2026, one-year Cohort 2 data and two-year Cohort 1 data from MyPEAK-1 are anticipated. We also intend to pursue alignment with regulatory authorities on pivotal trial plans for TN-201.</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Noninterventional Studies in Support of TN-201's Clinical Development</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Despite advances in the treatment of the obstructive HCM in recent years with the approval of cardiac myosin inhibitors, there are no approved treatments for those with the non-obstructive form of disease or those diagnosed before the age of 18. Recognizing the urgent medical need among pediatric patients, we initiated the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MyClimb completed enrollment of more than 200 individuals, and is believed to be the largest study of pediatric individuals with MYBPC3-associated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Preclinical Evidence Supporting TN-201 Clinical Development</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In preclinical studies, we systemically administered a mouse surrogate of TN-201 (AAV:mMybpc3 or mTN-</w:t>
      </w:r>
    </w:p>
    <w:p>
      <w:pPr>
        <w:spacing w:after="0" w:line="28" w:lineRule="exact"/>
        <w:rPr>
          <w:sz w:val="20"/>
          <w:szCs w:val="20"/>
          <w:color w:val="auto"/>
        </w:rPr>
      </w:pPr>
    </w:p>
    <w:p>
      <w:pPr>
        <w:ind w:right="20"/>
        <w:spacing w:after="0"/>
        <w:tabs>
          <w:tab w:leader="none" w:pos="417" w:val="left"/>
        </w:tabs>
        <w:numPr>
          <w:ilvl w:val="0"/>
          <w:numId w:val="1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 xml:space="preserve">in two-week-old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knockout (KO) mice.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model develops marked LV hypertrophy, poor cardiac function, and dilation at two weeks of age, comparable to HCM patients with truncating or null mutations. Due to the severe phenotype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mice and the lack of any MyBP-C protein, this is considered a demanding model to demonstrate efficacy particularly for modeling heterozygous patients, who lack only 35% to 40% of normal sarcomeric MyBP-C protein. Treatment with mTN-201 improved LV hypertrophy and cardiac function compared to their pre-treatment baseline levels, indicating partial reversal of the disease and dramatically extended lifespan. Treated mice exhibited an absolute improvement of ejection fraction (EF) of more than 20% versus untreated controls that eventually increases to more than 30% at 13 months, the last echocardiography measurement. EF and LV hypertrophy (LV mass normalized to body weight) improvements did not diminish over time, suggesting that a single systemic dose may be sufficient for a durable reversal of </w:t>
      </w:r>
      <w:r>
        <w:rPr>
          <w:rFonts w:ascii="Times New Roman" w:cs="Times New Roman" w:eastAsia="Times New Roman" w:hAnsi="Times New Roman"/>
          <w:sz w:val="20"/>
          <w:szCs w:val="20"/>
          <w:i w:val="1"/>
          <w:iCs w:val="1"/>
          <w:color w:val="454546"/>
        </w:rPr>
        <w:t>MYBPC3-associated</w:t>
      </w:r>
      <w:r>
        <w:rPr>
          <w:rFonts w:ascii="Times New Roman" w:cs="Times New Roman" w:eastAsia="Times New Roman" w:hAnsi="Times New Roman"/>
          <w:sz w:val="20"/>
          <w:szCs w:val="20"/>
          <w:color w:val="454546"/>
        </w:rPr>
        <w:t xml:space="preserve"> HCM. Additionally, we observed improvements in LV diameter and ECG measurements. There is also a clear survival benefit with no deaths due to heart failure in the mTN-201 arm and 100% mortality in the untreated control arm out to 20 months following dosing.</w:t>
      </w:r>
    </w:p>
    <w:p>
      <w:pPr>
        <w:spacing w:after="0" w:line="92"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In addition, a dose-response relationship has been demonstrated with mTN-201. Weight-based doses, 1E13 vg/kg, 3E13 vg/kg and 1E14 vg/kg, all produced significant improvements in EF, LV hypertrophy, and measures of electrophysiological function (QT interval) at eight months post-injection in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KO HCM mouse model. The 1E13 vg/kg dose had the lowest levels of efficacy, while the 3E1</w:t>
      </w:r>
      <w:r>
        <w:rPr>
          <w:rFonts w:ascii="Times New Roman" w:cs="Times New Roman" w:eastAsia="Times New Roman" w:hAnsi="Times New Roman"/>
          <w:sz w:val="17"/>
          <w:szCs w:val="17"/>
          <w:color w:val="454546"/>
        </w:rPr>
        <w:t>3</w:t>
      </w:r>
      <w:r>
        <w:rPr>
          <w:rFonts w:ascii="Times New Roman" w:cs="Times New Roman" w:eastAsia="Times New Roman" w:hAnsi="Times New Roman"/>
          <w:sz w:val="20"/>
          <w:szCs w:val="20"/>
          <w:color w:val="454546"/>
        </w:rPr>
        <w:t xml:space="preserve"> vg/kg had high improvement with a mean decrease of hypertrophy of more 5.3 mg/g LV Mass (± 1.3) and a mean improvement of EF of 26% (± 3.7), similar to the 1E14 vg/kg dose, suggesting a plateau in the dose-response curve.</w:t>
      </w:r>
    </w:p>
    <w:p>
      <w:pPr>
        <w:spacing w:after="0" w:line="103"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 xml:space="preserve">During optimization of our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therapies, we discovered a cardiomyocyte-specific promoter, TNP-CM1, with improved performance attributes as compared to the standard cardiac troponin T (cTnT) promoter. </w:t>
      </w:r>
      <w:r>
        <w:rPr>
          <w:rFonts w:ascii="Times New Roman" w:cs="Times New Roman" w:eastAsia="Times New Roman" w:hAnsi="Times New Roman"/>
          <w:sz w:val="20"/>
          <w:szCs w:val="20"/>
          <w:i w:val="1"/>
          <w:iCs w:val="1"/>
          <w:color w:val="454546"/>
        </w:rPr>
        <w:t>In</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vitro </w:t>
      </w:r>
      <w:r>
        <w:rPr>
          <w:rFonts w:ascii="Times New Roman" w:cs="Times New Roman" w:eastAsia="Times New Roman" w:hAnsi="Times New Roman"/>
          <w:sz w:val="20"/>
          <w:szCs w:val="20"/>
          <w:color w:val="454546"/>
        </w:rPr>
        <w:t>and</w:t>
      </w:r>
      <w:r>
        <w:rPr>
          <w:rFonts w:ascii="Times New Roman" w:cs="Times New Roman" w:eastAsia="Times New Roman" w:hAnsi="Times New Roman"/>
          <w:sz w:val="20"/>
          <w:szCs w:val="20"/>
          <w:i w:val="1"/>
          <w:iCs w:val="1"/>
          <w:color w:val="454546"/>
        </w:rPr>
        <w:t xml:space="preserve"> in vivo </w:t>
      </w:r>
      <w:r>
        <w:rPr>
          <w:rFonts w:ascii="Times New Roman" w:cs="Times New Roman" w:eastAsia="Times New Roman" w:hAnsi="Times New Roman"/>
          <w:sz w:val="20"/>
          <w:szCs w:val="20"/>
          <w:color w:val="454546"/>
        </w:rPr>
        <w:t>analyses confirmed that TNP-CM1 significantly increased expression of the</w:t>
      </w:r>
      <w:r>
        <w:rPr>
          <w:rFonts w:ascii="Times New Roman" w:cs="Times New Roman" w:eastAsia="Times New Roman" w:hAnsi="Times New Roman"/>
          <w:sz w:val="20"/>
          <w:szCs w:val="20"/>
          <w:i w:val="1"/>
          <w:iCs w:val="1"/>
          <w:color w:val="454546"/>
        </w:rPr>
        <w:t xml:space="preserve"> MYBPC3 </w:t>
      </w:r>
      <w:r>
        <w:rPr>
          <w:rFonts w:ascii="Times New Roman" w:cs="Times New Roman" w:eastAsia="Times New Roman" w:hAnsi="Times New Roman"/>
          <w:sz w:val="20"/>
          <w:szCs w:val="20"/>
          <w:color w:val="454546"/>
        </w:rPr>
        <w:t>gene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compared to what can be achieved with the standard cTnT promoter.</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TN-401: Gene Therapy for PKP2-associated ARVC</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We are developing TN-401, an investigational AAV-based gene therapy for the potential treatment of ARVC, also known as arrhythmogenic cardiomyopathy or ACM, caused by mutations to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Such mutations are estimated to affect more than 70,000 patients in the U.S.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result in insufficient expression of a protein needed for the proper functioning of desmosome, a complex that maintains physical connections and electrical signaling between heart muscle cells. As the desmosome structure is impaired, cardiac muscle cells are progressively replaced by fibrofatty tissue and electrical pulses in the heart become unstable, resulting in adverse remodeling and irregular heart rhythms. TN-401 is designed to deliver a working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into heart muscle cells using an AAV9 capsid where the functional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produces the missing protein, restoring function and reversing or slowing progression of disease by addressing the genetic mutation most frequently underlying ARVC.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12</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ARVC</w:t>
      </w:r>
    </w:p>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ARVC is a chronic, progressive disease with an estimated prevalence in the general population of approximately 1:1000 to 1:5000. It occurs when the structure and electrical signals of cardiomyocytes are disrupted, resulting in irregular heart rhythms and a gradual replacement of heart muscle cells with fatty deposits and fibrotic tissue which can lead to heart failure over time.</w:t>
      </w:r>
    </w:p>
    <w:p>
      <w:pPr>
        <w:spacing w:after="0" w:line="7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Patients with ARVC are typically diagnosed between the ages of 20 and 40 and most commonly present with symptoms related to VAs, particularly abnormally high heart rates known as ventricular tachycardia and premature ventricular contractions (PVCs). These dangerous rhythm abnormalities place patients at increased risk for sudden cardiac arrest or sudden cardiac death. ARVC is a common cause of sudden cardiac arrest in young people, and it is estimated that in up to 23% of cases, the first sign of disease is sudden cardiac death. To reduce the risk of sudden cardiac death, patients with ARVC are typically discouraged from competitive or endurance sports activities and physical exercise may be limited. ARVC patients may also grapple with additional symptoms, including palpitations, lightheadedness, dizziness, and fainting.</w:t>
      </w:r>
    </w:p>
    <w:p>
      <w:pPr>
        <w:spacing w:after="0" w:line="82"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Mutations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are the most common genetic cause of ARVC, with more than 40% of ARVC patients carrying pathogenic variants. PKP2 protein is an integral component of cell adhesion protein complexes known as desmosomes which connect adjacent cardiomyocytes in the heart. Desmosomes are responsible for maintaining the heart tissue integrity and for stabilizing channels called gap junctions that allow for cellular communication among heart cells, which in turn is important to proper synchronization of cardiomyocyte contractions across the myocardium contributing to each heartbeat. When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is mutated, reduction of PKP2 protein disrupts structure and function of desmosomes and gap junctions. As a result of these disruptions, cardiomyocytes become more sensitive to the normal mechanical stress of the beating heart, leading to progressive cell loss, inflammation, scar formation, and fat deposition, illustrating the crucial role the PKP2 protein plays in maintaining the structural and functional integrity of heart tissue.</w:t>
      </w:r>
    </w:p>
    <w:p>
      <w:pPr>
        <w:spacing w:after="0" w:line="8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 xml:space="preserve">Mutations in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are commonly heterozygous and inherited in an autosomal dominant fashion, i.e., a mutation in one allele is sufficient to cause the disease. On average, these mutations lead to a reduction of wild-type protein level of about 50%. We believe these findings support the idea that mutations of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cause human disease through haploinsufficiency and support the hypothesis that gene replacement may address the underlying cause of disease by increasing the levels of functional PKP2 protein.</w:t>
      </w:r>
    </w:p>
    <w:p>
      <w:pPr>
        <w:spacing w:after="0" w:line="77"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19"/>
          <w:szCs w:val="19"/>
          <w:color w:val="454546"/>
        </w:rPr>
        <w:t>Following a diagnosis, ARVC patients are typically implanted with an implantable cardioverter defibrillator (ICD) to prevent sudden cardiac arrest by resetting arrhythmias. ICD implantation is currently the only proven effective treatment for preventing sudden cardiac arrest and death in ARVC patients, but ICDs are also associated with complications, including inappropriate interventions. Patients may progress to catheter ablation procedures which have a high rate of recurrent VA and have not been shown to reduce risk of sudden cardiac death or improve survival. ARVC treatment options may also include beta blockers and other anti-arrhythmic or heart failure medications, intended to reduce VAs. However, studies comparing the efficacy of such treatments have not been conducted. Despite the availability of these treatments, clinical heart failure has been documented in up to 40% of ARVC patients and there remains no approved therapies that address the underlying genetic causes of the disease.</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TN-401 is our AAV-based gene replacement therapy designed to deliver a fully functional copy of the human </w:t>
      </w:r>
      <w:r>
        <w:rPr>
          <w:rFonts w:ascii="Times New Roman" w:cs="Times New Roman" w:eastAsia="Times New Roman" w:hAnsi="Times New Roman"/>
          <w:sz w:val="20"/>
          <w:szCs w:val="20"/>
          <w:i w:val="1"/>
          <w:iCs w:val="1"/>
          <w:color w:val="454546"/>
        </w:rPr>
        <w:t xml:space="preserve">PKP2 </w:t>
      </w:r>
      <w:r>
        <w:rPr>
          <w:rFonts w:ascii="Times New Roman" w:cs="Times New Roman" w:eastAsia="Times New Roman" w:hAnsi="Times New Roman"/>
          <w:sz w:val="20"/>
          <w:szCs w:val="20"/>
          <w:color w:val="454546"/>
        </w:rPr>
        <w:t>gene to the hearts of ARVC patients carrying</w:t>
      </w:r>
      <w:r>
        <w:rPr>
          <w:rFonts w:ascii="Times New Roman" w:cs="Times New Roman" w:eastAsia="Times New Roman" w:hAnsi="Times New Roman"/>
          <w:sz w:val="20"/>
          <w:szCs w:val="20"/>
          <w:i w:val="1"/>
          <w:iCs w:val="1"/>
          <w:color w:val="454546"/>
        </w:rPr>
        <w:t xml:space="preserve"> PKP2 </w:t>
      </w:r>
      <w:r>
        <w:rPr>
          <w:rFonts w:ascii="Times New Roman" w:cs="Times New Roman" w:eastAsia="Times New Roman" w:hAnsi="Times New Roman"/>
          <w:sz w:val="20"/>
          <w:szCs w:val="20"/>
          <w:color w:val="454546"/>
        </w:rPr>
        <w:t>mutations. We believe that delivery of a working</w:t>
      </w:r>
      <w:r>
        <w:rPr>
          <w:rFonts w:ascii="Times New Roman" w:cs="Times New Roman" w:eastAsia="Times New Roman" w:hAnsi="Times New Roman"/>
          <w:sz w:val="20"/>
          <w:szCs w:val="20"/>
          <w:i w:val="1"/>
          <w:iCs w:val="1"/>
          <w:color w:val="454546"/>
        </w:rPr>
        <w:t xml:space="preserve"> PKP2 </w:t>
      </w:r>
      <w:r>
        <w:rPr>
          <w:rFonts w:ascii="Times New Roman" w:cs="Times New Roman" w:eastAsia="Times New Roman" w:hAnsi="Times New Roman"/>
          <w:sz w:val="20"/>
          <w:szCs w:val="20"/>
          <w:color w:val="454546"/>
        </w:rPr>
        <w:t xml:space="preserve">gene to cardiomyocytes represents a promising treatment that can address the underlying genetic cause of this disease. As the disease is most often caused by haploinsufficiency, expression of a functional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to increase PKP2 protein levels in cardiomyocytes is expected to restore proper structure and function of the desmosome. This in turn has the potential to slow and even reverse the progression of disease in patients. 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will be delivered using AAV9 capsid with well-established tropism for the heart and expression of the PKP2 protein will be selective to the heart through use of a cardiomyocyte-specific promoter. TN-401 has received Fast Track and Orphan Drug Designations from the FDA and orphan medicinal product designation from the EC.</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454546"/>
        </w:rPr>
        <w:t>The RIDGE-1 Phase 1b/2 Clinical Trial of TN-401</w:t>
      </w:r>
    </w:p>
    <w:p>
      <w:pPr>
        <w:spacing w:after="0" w:line="118" w:lineRule="exact"/>
        <w:rPr>
          <w:sz w:val="20"/>
          <w:szCs w:val="20"/>
          <w:color w:val="auto"/>
        </w:rPr>
      </w:pPr>
    </w:p>
    <w:p>
      <w:pPr>
        <w:jc w:val="both"/>
        <w:ind w:right="60" w:firstLine="490"/>
        <w:spacing w:after="0" w:line="305" w:lineRule="auto"/>
        <w:rPr>
          <w:sz w:val="20"/>
          <w:szCs w:val="20"/>
          <w:color w:val="auto"/>
        </w:rPr>
      </w:pPr>
      <w:r>
        <w:rPr>
          <w:rFonts w:ascii="Times New Roman" w:cs="Times New Roman" w:eastAsia="Times New Roman" w:hAnsi="Times New Roman"/>
          <w:sz w:val="19"/>
          <w:szCs w:val="19"/>
          <w:color w:val="454546"/>
        </w:rPr>
        <w:t>RIDGE-1 is our multi-center, open-label clinical trial designed to assess the safety, tolerability and efficacy of a one-time intravenous infusion of TN-401. The trial permits dosing up to 15 symptomatic (NYHA class I, II or III)</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13</w:t>
      </w:r>
    </w:p>
    <w:p>
      <w:pPr>
        <w:sectPr>
          <w:pgSz w:w="12240" w:h="15840" w:orient="portrait"/>
          <w:cols w:equalWidth="0" w:num="1">
            <w:col w:w="9360"/>
          </w:cols>
          <w:pgMar w:left="1440" w:top="1422" w:right="1440" w:bottom="175" w:gutter="0" w:footer="0" w:header="0"/>
          <w:type w:val="continuous"/>
        </w:sectPr>
      </w:pPr>
    </w:p>
    <w:bookmarkStart w:id="15" w:name="page16"/>
    <w:bookmarkEnd w:id="15"/>
    <w:p>
      <w:pPr>
        <w:ind w:right="20"/>
        <w:spacing w:after="0" w:line="252" w:lineRule="auto"/>
        <w:rPr>
          <w:sz w:val="20"/>
          <w:szCs w:val="20"/>
          <w:color w:val="auto"/>
        </w:rPr>
      </w:pPr>
      <w:r>
        <w:rPr>
          <w:rFonts w:ascii="Times New Roman" w:cs="Times New Roman" w:eastAsia="Times New Roman" w:hAnsi="Times New Roman"/>
          <w:sz w:val="20"/>
          <w:szCs w:val="20"/>
          <w:color w:val="454546"/>
        </w:rPr>
        <w:t xml:space="preserve">adults (ages 18-65) with low titers of AAV9 neutralizing antibodies who have been diagnosed with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and have an ICD. The primary endpoints for the trial include safety and tolerability, PK (as measured by transgene, mRNA and protein expression via cardiac biopsies at 8 weeks and 52 weeks) and PD (as measured by changes in daily PVCs and non-sustained ventricular tachycardia).</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Additional endpoints include changes in premature ventricular contractions, frequency of ventricular tachycardia, frequency of ICD shocks or pacing, imaging biomarkers by echo evaluating structural/hemodynamic changes, plasma biomarkers and patient -reported outcomes. The trial will include a preventative immunosuppressive regimen and close safety monitoring, as well as a 5-year follow-up on safety and efficacy. We are evaluating two dose levels of TN-401 in the trial, 3E13 vg/kg (Cohort 1), a dose associated with near-maximal efficacy in preclinical studies, and 6E13 vg/kg (Cohort 2). In January 2026, the DSMB for RIDGE-1 reviewed all available data from Cohort 1 and Cohort 2, determined that TN-401 had an acceptable safety profile and endorsed proceeding into expansion cohorts at either dose level, per protocol. We are enrolling additional patients in RIDGE-1 to further characterize dose response and inform dose selection for late-stage clinical trials.</w:t>
      </w:r>
    </w:p>
    <w:p>
      <w:pPr>
        <w:spacing w:after="0" w:line="86"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In December 2025, we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Additionally, no Cohort 1 patients had experienced an ICD shock post-treatment and all had tapered off prophylactic immunosuppressive medicines.</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Serial biopsies taken at baseline and Week 8 post dose for Patients 1 and 2 provided consistent evidence of TN-401 transduction and expression. At Week 8, TN-401 robust mRNA expression was observed across all three patients. Post-treatment protein levels of PKP2 increased significantly in Patients 1 and 2 by a mean of 10% from baseline to Week 8 as measured by liquid chromatography–mass spectrometry normalized to myosin heavy chain, a motor protein in the sarcomere found exclusively in cardiomyocytes. Change in PKP2 protein levels for Patient 3 appeared slightly lower than baseline despite having the highest levels of TN-401 mRNA expression across Cohort</w:t>
      </w:r>
    </w:p>
    <w:p>
      <w:pPr>
        <w:spacing w:after="0" w:line="5" w:lineRule="exact"/>
        <w:rPr>
          <w:sz w:val="20"/>
          <w:szCs w:val="20"/>
          <w:color w:val="auto"/>
        </w:rPr>
      </w:pPr>
    </w:p>
    <w:p>
      <w:pPr>
        <w:ind w:right="140"/>
        <w:spacing w:after="0" w:line="244" w:lineRule="auto"/>
        <w:tabs>
          <w:tab w:leader="none" w:pos="200" w:val="left"/>
        </w:tabs>
        <w:numPr>
          <w:ilvl w:val="0"/>
          <w:numId w:val="1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This confounding result for PKP2 protein level falls within the standard deviation of these methods and may be due to the inherent variability in sampling biopsies. A second post-dose biopsy will be collected and analyzed from Week 52 per protocol for all patients.</w:t>
      </w:r>
    </w:p>
    <w:p>
      <w:pPr>
        <w:spacing w:after="0" w:line="81"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All three patients in Cohort 1 had severe electrical instability with a history of VAs and had undergone a catheter ablation procedure, an elective procedure to reduce ventricular tachycardia recurrence. At baseline, each Cohort 1 patient met the enrollment criteria of greater than 500 premature ventricular contractions per 24 hours as measured over a seven-day monitoring period prior to dosing. Patient 1 experienced a decrease in PVCs by 46% as of their most recent (Week 40) visit, while Patient 2 experienced a decrease in PVCs of 89% as of their most recent (Week 32) visit. Non-sustained ventricular tachycardia (NSVT) burden was eliminated or stable six months after treatment with TN-401. Patient 1 had a low NSVT count at baseline, which remained low at their most recent visit (Week 40). Patient 2 also had a substantial NSVT burden of 78 counts per 24-hour period at baseline that dropped to zero and remained stable by Week 32. Meaningful changes in PVCs or NSVTs were not expected nor observed for Patient 3 as of the data cut off, which was less than six months following treatment with TN-401. Other potential measures of clinical response including QRS duration, T wave inversions, heart function and NYHA class were in the normal range or remained stable for all three Cohort 1 patients during the post-dose follow-up period. We expect to present one-year Cohort 1 data and initial Cohort 2 data in the first half of 2026, with interim Cohort 2 results anticipated in the second half of the year. We also intend to pursue alignment with regulatory authorities on pivotal trial plans for TN-401.</w:t>
      </w:r>
    </w:p>
    <w:p>
      <w:pPr>
        <w:spacing w:after="0" w:line="92"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454546"/>
        </w:rPr>
        <w:t>In February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RIDGE-1, which is being conducted at multiple clinical trial sites with ARVC expertise at leading cardiology centers in the U.S. and United Kingdom.</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Noninterventional Studies in Support of TN-401's Clinical Development</w:t>
      </w:r>
    </w:p>
    <w:p>
      <w:pPr>
        <w:spacing w:after="0" w:line="118" w:lineRule="exact"/>
        <w:rPr>
          <w:sz w:val="20"/>
          <w:szCs w:val="20"/>
          <w:color w:val="auto"/>
        </w:rPr>
      </w:pPr>
    </w:p>
    <w:p>
      <w:pPr>
        <w:ind w:right="100" w:firstLine="490"/>
        <w:spacing w:after="0" w:line="305" w:lineRule="auto"/>
        <w:rPr>
          <w:sz w:val="20"/>
          <w:szCs w:val="20"/>
          <w:color w:val="auto"/>
        </w:rPr>
      </w:pPr>
      <w:r>
        <w:rPr>
          <w:rFonts w:ascii="Times New Roman" w:cs="Times New Roman" w:eastAsia="Times New Roman" w:hAnsi="Times New Roman"/>
          <w:sz w:val="19"/>
          <w:szCs w:val="19"/>
          <w:color w:val="454546"/>
        </w:rPr>
        <w:t>To support our development efforts for TN-401, we have initiated RIDGE a global noninterventional study to collect treatment history and seroprevalence to AAV9 antibodies data among ARVC patients who carry pathogenic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14</w:t>
      </w:r>
    </w:p>
    <w:p>
      <w:pPr>
        <w:sectPr>
          <w:pgSz w:w="12240" w:h="15840" w:orient="portrait"/>
          <w:cols w:equalWidth="0" w:num="1">
            <w:col w:w="9360"/>
          </w:cols>
          <w:pgMar w:left="1440" w:top="1420" w:right="1440" w:bottom="175" w:gutter="0" w:footer="0" w:header="0"/>
          <w:type w:val="continuous"/>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9"/>
          <w:szCs w:val="19"/>
          <w:color w:val="454546"/>
        </w:rPr>
        <w:t xml:space="preserve">or likely pathogenic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gene mutations. Interim data from RIDGE, believed to be the largest natural history study of adults with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-associated ARVC, was presented at Heart Rhythm Society’s (HRS) annual meeting in April 2025. Adults with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mutations. A large majority of adults with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-associated ARVC would be eligible to participate in RIDGE-1 based on low levels of pre-existing antibodies to AAV9</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Preclinical Evidence Supporting TN-401 Clinical Development Plan</w:t>
      </w:r>
    </w:p>
    <w:p>
      <w:pPr>
        <w:spacing w:after="0" w:line="118"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Our preclinical efficacy studies employed a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cardiac conditional knockout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mouse model that simulates key aspects of ARVC including dilation of the right ventricle (RV) and LV, decline in LV heart function, severe ventricular arrhythmia, and early mortality.</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In preclinical studies, we systemically administered either TN-401 or a mouse surrogate (referred to interchangeably as a “PKP2 gene therapy”) in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mice across a range of dose levels from 1E13 vg/kg to 1E14 vg/kg and observed near maximal efficacy in the mouse model at 3E13 vg/kg. The severity and rapid progression of this disease model, combined with the homozygous gene KO and near complete loss of PKP2 protein in cardiac tissue, resulted in 100% mortality within 4-6 weeks post induction of KO. Whether administered prior to or following disease onset, PKP2 gene therapy demonstrated prevention or attenuation and/or reversal of disease progression, ultimately culminating in improved survival in both modes of treatment. These improvements in disease state were accompanied by restoration of desmosomes and gap junctions at the molecular and cellular level. PKP2 gene therapy was well tolerated in preclinical studies compliant with Good Laboratory Practice (GLP).</w:t>
      </w:r>
    </w:p>
    <w:p>
      <w:pPr>
        <w:spacing w:after="0" w:line="8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Specifically, when administered prior to disease onset,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therapy prevented all ARVC disease characteristics in </w:t>
      </w:r>
      <w:r>
        <w:rPr>
          <w:rFonts w:ascii="Times New Roman" w:cs="Times New Roman" w:eastAsia="Times New Roman" w:hAnsi="Times New Roman"/>
          <w:sz w:val="20"/>
          <w:szCs w:val="20"/>
          <w:i w:val="1"/>
          <w:iCs w:val="1"/>
          <w:color w:val="454546"/>
        </w:rPr>
        <w:t>Pkp2-cKO</w:t>
      </w:r>
      <w:r>
        <w:rPr>
          <w:rFonts w:ascii="Times New Roman" w:cs="Times New Roman" w:eastAsia="Times New Roman" w:hAnsi="Times New Roman"/>
          <w:sz w:val="20"/>
          <w:szCs w:val="20"/>
          <w:color w:val="454546"/>
        </w:rPr>
        <w:t xml:space="preserve"> mice including RV enlargement, LVEF decline, ventricular arrhythmias, and adverse fibrotic remodeling. Even when administered after disease onset in this rapidly progressing model,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therapy attenuated LVEF decline with an average 15% (+/- 5.6%) increase in absolute EF versus the vehicle-treated group and attenuated worsening of VA event frequency and severity. Administration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therapy also supported a near-complete reversal of RV enlargement leading to a restoration of the wild-type level. The beneficial effects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therapy have been shown to be dose dependent and durable following a single dose. Survival was also improved in a dose-dependent manner and the effect was sustained for the duration of the study;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therapy extended median lifespan from 4.7 weeks to ≥ 50 weeks, regardless of preventative or post-onset dosing.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Clinical-Stage Small Molecule Program</w:t>
      </w:r>
    </w:p>
    <w:p>
      <w:pPr>
        <w:spacing w:after="0" w:line="244" w:lineRule="exact"/>
        <w:rPr>
          <w:sz w:val="20"/>
          <w:szCs w:val="20"/>
          <w:color w:val="auto"/>
        </w:rPr>
      </w:pPr>
    </w:p>
    <w:p>
      <w:pPr>
        <w:ind w:right="4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TN-301: HDAC6 Inhibitor Program with Potential Utility in HFpEF and Other Cardiac, Metabolic, Muscular and Pulmonary Diseases</w:t>
      </w:r>
    </w:p>
    <w:p>
      <w:pPr>
        <w:spacing w:after="0" w:line="16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While much of our research, development and manufacturing focus is on cardiac conditions for which genetic medicines such as gene therapy or gene editing can address the underlying cause of disease, our proprietary target discovery and validation capabilities allow us to pursue modality-agnostic drug discovery efforts. These capabilities led to the discovery of cardio-protective properties of HDAC6 inhibition, which in turn led to the development of TN-301, a highly selective small molecule inhibitor of HDAC6 with broad utility in HFpEF and other cardiac, metabolic, muscular and pulmonary diseases.</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Initial preclinical testing of our HDAC6 inhibitors in a severely progressive murine model of </w:t>
      </w:r>
      <w:r>
        <w:rPr>
          <w:rFonts w:ascii="Times New Roman" w:cs="Times New Roman" w:eastAsia="Times New Roman" w:hAnsi="Times New Roman"/>
          <w:sz w:val="20"/>
          <w:szCs w:val="20"/>
          <w:i w:val="1"/>
          <w:iCs w:val="1"/>
          <w:color w:val="454546"/>
        </w:rPr>
        <w:t>BAG3</w:t>
      </w:r>
      <w:r>
        <w:rPr>
          <w:rFonts w:ascii="Times New Roman" w:cs="Times New Roman" w:eastAsia="Times New Roman" w:hAnsi="Times New Roman"/>
          <w:sz w:val="20"/>
          <w:szCs w:val="20"/>
          <w:color w:val="454546"/>
        </w:rPr>
        <w:t>-associated DCM demonstrated protection against dilation and stabilization of ejection fraction. Subsequent preclinical testing in multiple HFpEF mouse models then demonstrated improvements in cardiac structure and function, including reversal of LV hypertrophy and diastolic dysfunction. More recently, following the approval of a pan-HDAC inhibitor to slow progression in Duchenne muscular dystrophy, we conducted preclinical comparative studies intended to explore the potential for TN-301 to delay or reverse both skeletal muscle pathology and cardiomyopathy in DMD.</w:t>
      </w:r>
    </w:p>
    <w:p>
      <w:pPr>
        <w:spacing w:after="0" w:line="8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Our work has confirmed that HDAC6 inhibition exerts its benefits on the heart and other organs in the body through a multi-modal mechanism of action that includes reductions in inflammation, oxidative stress, fibrosis, and metabolic dysregulation, as well as improvements in autophagy, protein quality control, mitochondrial metabolism,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15</w:t>
      </w:r>
    </w:p>
    <w:p>
      <w:pPr>
        <w:sectPr>
          <w:pgSz w:w="12240" w:h="15840" w:orient="portrait"/>
          <w:cols w:equalWidth="0" w:num="1">
            <w:col w:w="9360"/>
          </w:cols>
          <w:pgMar w:left="1440" w:top="1420" w:right="1440" w:bottom="175" w:gutter="0" w:footer="0" w:header="0"/>
          <w:type w:val="continuous"/>
        </w:sectPr>
      </w:pPr>
    </w:p>
    <w:bookmarkStart w:id="17" w:name="page18"/>
    <w:bookmarkEnd w:id="17"/>
    <w:p>
      <w:pPr>
        <w:ind w:right="80"/>
        <w:spacing w:after="0" w:line="252" w:lineRule="auto"/>
        <w:rPr>
          <w:sz w:val="20"/>
          <w:szCs w:val="20"/>
          <w:color w:val="auto"/>
        </w:rPr>
      </w:pPr>
      <w:r>
        <w:rPr>
          <w:rFonts w:ascii="Times New Roman" w:cs="Times New Roman" w:eastAsia="Times New Roman" w:hAnsi="Times New Roman"/>
          <w:sz w:val="20"/>
          <w:szCs w:val="20"/>
          <w:color w:val="454546"/>
        </w:rPr>
        <w:t>and lipid metabolism. These preclinical results and mechanistic insights encourage us to believe that TN-301 and our portfolio of HDAC6 inhibitor molecules may be well suited to the treatment of HFpEF, as well as other cardiac, metabolic, muscular and pulmonary disorders where there is strong alignment between TN-301’s mechanism and the pathophysiology of disease.</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Phase 1 Clinical Trial of TN-301 in Healthy Participants</w:t>
      </w:r>
    </w:p>
    <w:p>
      <w:pPr>
        <w:spacing w:after="0" w:line="11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Following extensive preclinical work to characterize TN-301’s mechanism, we completed a randomized (3:1), double-blind, placebo-controlled Phase 1 clinical trial to assess the safety and tolerability of escalating oral doses of TN-301 in healthy adult participants. Secondary objectives of the clinical trial included assessment of PK and PD measures.</w:t>
      </w:r>
    </w:p>
    <w:p>
      <w:pPr>
        <w:spacing w:after="0" w:line="7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We shared positive data from our Phase 1 clinical trial of TN-301 in healthy participants at the 2023 Heart Failure Society of America (HFSA) Annual Scientific Meeting. The Phase 1 trial enrolled participants in two stages. In Stage 1, participants received single ascending doses (SAD) (1mg – 700mg) and in Stage 2, participants received multiple ascending doses (MAD) (25mg, 100mg and 300mg once daily for 14 days).</w:t>
      </w:r>
    </w:p>
    <w:p>
      <w:pPr>
        <w:spacing w:after="0" w:line="7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454546"/>
        </w:rPr>
        <w:t>TN-301 was generally well tolerated across the broad range of doses studied. Most adverse events were gastro-intestinal related, occurred with similar frequency in the placebo group and did not increase as doses of TN-301 increased. No thrombocytopenia or QT prolongation risk was observed as has been reported from clinical experience with pan-HDAC inhibition (e.g., givinostat).</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PK results showed dose-proportional increases in plasma exposure in the SAD and MAD stages of the study with a half-life supportive of once-daily dosing. Increasing TN-301 doses and exposures in both stages of the clinical trial also resulted in corresponding increases in PD effect. Unlike other HDAC enzymes which are found in the cell nucleus, HDAC6 is localized to the cell cytoplasm where it interacts with multiple proteins to coordinate cellular processes. One of the main substrates of HDAC6 inhibition is tubulin. In the Phase 1 clinical trial, acetylated tubulin was evaluated in circulating cells in order to measure target engagement in a robust and reproducible manner. Inhibition of HDAC6 resulted in an increase in acetylated tubulin over baseline. There were no corresponding changes in histone acetylation with TN-301, underscoring the selectivity of TN-301 for HDAC6 and potentially reducing the risk of off target effects observed with less selective HDAC6 inhibitors or pan-HDAC inhibition.</w:t>
      </w:r>
    </w:p>
    <w:p>
      <w:pPr>
        <w:spacing w:after="0" w:line="8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Based on the safety profile, robust target engagement and pharmacokinetics observed in our Phase 1 clinical trial in healthy volunteers, we believe TN-301 is ready for advancement into clinical studies in patients, with HFpEF and DMD being among the most promising potential indications identified to date.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Clinical Potential for TN-301 in HFpEF</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HFpEF</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a progressive disease in many patients. Symptoms initially include fatigue, shortness of breath, and edema, resulting in reduced physical activity. Over time, this results in a substantial limitation in activities and impact on quality of life, and patients are at risk of premature death.</w:t>
      </w:r>
    </w:p>
    <w:p>
      <w:pPr>
        <w:spacing w:after="0" w:line="80"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454546"/>
        </w:rPr>
        <w:t>Patients with HFpEF represent approximately half of all heart failure patients, with prevalence of the disease anticipated to increase by more than 45% by 2030. The increase in HFpEF prevalence is at least in part due to the high overlap of this condition with diabetes and obesity which are also on the rise in the U.S. and globally. At least half of all hospital admissions for heart failure are related to HFpEF and approximately 24% of the HFpEF population is considered to have NYHA Class III or Class IV disease, representing a disease burden that markedly impacts quality of life and limits physical activity. Among patients hospitalized for HFpEF, readmission for heart failure and mortality rates over a five-year period are as high as 40% and 75%, respectively. Historically, HFpEF patients have been prescribed therapies for heart failure with reduced ejection fraction, including diuretics, beta-blockers, and ACE inhibitors, despite limited data demonstrating efficacy or improved outcomes. While recent advances in treatment have been made with the approval of new classes of medications such as the sodium glucose cotransporter 2 (SGLT2) inhibitors and glucagon-like peptide 1 (GLP-1) receptor agonists, HFpEF remains one of the greatest unmet needs in cardiovascular medicine.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16</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Key aspects of HFpEF disease biology include oxidative stress and inflammation, cardiac fibrosis, cardiac hypertrophy and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between patients with HFpEF population and those suffering from diabetes and obesity.</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Based on our observations of TN-301’s mechanism, we believe TN-301 has the potential to target converging mechanisms that drive HFpEF disease progression, with the potential to slow down or even reverse the symptoms.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Preclinical Evidence Supporting TN-301 Clinical Development in HFpEF</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Preclinical studies of TYA-018, a structurally similar and functionally equivalent compound to TN-301, in a relevant murine model that recapitulates systemic and cardiovascular features of HFpEF in humans demonstrated reversal of LV wall thickness, LV mass, LV end diastolic pressure and LV relaxation and filling. Treatment with TYA-018 also resulted in a trend of decreased lung weight, indicative of improvement in pulmonary congestion consistent with the reduction of filling pressure. In addition, we observed an improvement in glucose tolerance, suggesting that treatment with a selective HDAC6 inhibitor may have a positive impact on glucose metabolism, as well as reductions of key biomarkers of inflammation, fibrosis, and cardiac damage. The data overall confirmed that the multi-modal mechanism of action of selective HDAC6 inhibitors, such as TN-301 may address many of the hallmarks of HFpEF.</w:t>
      </w:r>
    </w:p>
    <w:p>
      <w:pPr>
        <w:spacing w:after="0" w:line="86" w:lineRule="exact"/>
        <w:rPr>
          <w:sz w:val="20"/>
          <w:szCs w:val="20"/>
          <w:color w:val="auto"/>
        </w:rPr>
      </w:pPr>
    </w:p>
    <w:p>
      <w:pPr>
        <w:ind w:right="280" w:firstLine="490"/>
        <w:spacing w:after="0" w:line="263" w:lineRule="auto"/>
        <w:rPr>
          <w:sz w:val="20"/>
          <w:szCs w:val="20"/>
          <w:color w:val="auto"/>
        </w:rPr>
      </w:pPr>
      <w:r>
        <w:rPr>
          <w:rFonts w:ascii="Times New Roman" w:cs="Times New Roman" w:eastAsia="Times New Roman" w:hAnsi="Times New Roman"/>
          <w:sz w:val="19"/>
          <w:szCs w:val="19"/>
          <w:color w:val="454546"/>
        </w:rPr>
        <w:t>We also conducted a comparison study of TYA-018, with empagliflozin, an SGLT2 inhibitor approved for HFpEF. TYA-018 reduced LV mass and diastolic pressure and improved diastolic function and glucose tolerance with comparable efficacy to empagliflozin. TYA-018 co-administered with empagliflozin demonstrated additive benefit compared to either agent alone improving several measures of heart function. In the study, empagliflozin achieved efficacy as anticipated based on the data generated in HFpEF patients from large clinical trials, which provides strong validation of our mouse model and suggests that preclinical results may translate to the clinic.</w:t>
      </w:r>
    </w:p>
    <w:p>
      <w:pPr>
        <w:spacing w:after="0" w:line="6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Taken together, these data support the potential for a selective HDAC6 inhibitor such as TN-301 to be used either alone or in combination with SGLT2 inhibitors, as a treatment for patients with HFpEF.</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Future Clinical Development of TN-301 in HFpEF</w:t>
      </w:r>
    </w:p>
    <w:p>
      <w:pPr>
        <w:spacing w:after="0" w:line="118"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454546"/>
        </w:rPr>
        <w:t>Consistent with our strategy, we believe that TN-301’s late-stage development and commercialization in large indications such as HFpEF would best be led by a strategic pharmaceutical partner with global resources to explore the full potential of the molecule.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Clinical Potential for TN-301 in DMD</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Based on our observations of TN-301’s mechanism and evidence of efficacy for an approved pan-HDAC agent, we are exploring the development of TN-301 for DMD, a condition caused by genetic mutations in the </w:t>
      </w:r>
      <w:r>
        <w:rPr>
          <w:rFonts w:ascii="Times New Roman" w:cs="Times New Roman" w:eastAsia="Times New Roman" w:hAnsi="Times New Roman"/>
          <w:sz w:val="20"/>
          <w:szCs w:val="20"/>
          <w:i w:val="1"/>
          <w:iCs w:val="1"/>
          <w:color w:val="454546"/>
        </w:rPr>
        <w:t xml:space="preserve">dystrophin </w:t>
      </w:r>
      <w:r>
        <w:rPr>
          <w:rFonts w:ascii="Times New Roman" w:cs="Times New Roman" w:eastAsia="Times New Roman" w:hAnsi="Times New Roman"/>
          <w:sz w:val="20"/>
          <w:szCs w:val="20"/>
          <w:color w:val="454546"/>
        </w:rPr>
        <w:t>gene, leading to absence of functional dystrophin protein in the heart and skeletal muscle. The muscle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pathologies that underlie muscle wasting in the absence of dystrophin include inflammation, fibrosis, altered regeneration, mitochondrial dysfunction and disrupted autophagic flux – all processes that can be improved by HDAC6 inhibition. Further, DMD-related cardiomyopathy, which develops as healthy heart tissue becomes fibrotic, is the leading cause of death among patients. Based on TN-301’s cardioprotective profile, we believe it may offer differentiated benefit in slowing DMD cardiomyopathy’s progression.</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Overview of DMD</w:t>
      </w:r>
    </w:p>
    <w:p>
      <w:pPr>
        <w:spacing w:after="0" w:line="11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DMD is a severe, progressive, and ultimately fatal genetic disorder estimated to impact 15,000 individuals in the U.S. and over 300,000 globally. DMD predominantly affects males as a result of mutations in the </w:t>
      </w:r>
      <w:r>
        <w:rPr>
          <w:rFonts w:ascii="Times New Roman" w:cs="Times New Roman" w:eastAsia="Times New Roman" w:hAnsi="Times New Roman"/>
          <w:sz w:val="20"/>
          <w:szCs w:val="20"/>
          <w:i w:val="1"/>
          <w:iCs w:val="1"/>
          <w:color w:val="454546"/>
        </w:rPr>
        <w:t>dystrophin</w:t>
      </w:r>
      <w:r>
        <w:rPr>
          <w:rFonts w:ascii="Times New Roman" w:cs="Times New Roman" w:eastAsia="Times New Roman" w:hAnsi="Times New Roman"/>
          <w:sz w:val="20"/>
          <w:szCs w:val="20"/>
          <w:color w:val="454546"/>
        </w:rPr>
        <w:t xml:space="preserve"> gene located on the X chromosome. The absence of functional dystrophin, a structural protein essential for maintaining the stability and integrity of muscle cell membranes, results in progressive muscle weakness and degeneration. Muscle fibers become structurally unstable and susceptible to contraction-induced damage, leading to repeated cycles of degeneration and regeneration. These recurrent injury cycles trigger a sustained inflammatory response and over time, the progressive replacement of healthy muscle tissue with fibrotic and adipose tissue leads to worsening muscle weakness and loss of function.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17</w:t>
      </w:r>
    </w:p>
    <w:p>
      <w:pPr>
        <w:sectPr>
          <w:pgSz w:w="12240" w:h="15840" w:orient="portrait"/>
          <w:cols w:equalWidth="0" w:num="1">
            <w:col w:w="9360"/>
          </w:cols>
          <w:pgMar w:left="1440" w:top="1420" w:right="1440" w:bottom="175" w:gutter="0" w:footer="0" w:header="0"/>
          <w:type w:val="continuous"/>
        </w:sectPr>
      </w:pPr>
    </w:p>
    <w:bookmarkStart w:id="19" w:name="page20"/>
    <w:bookmarkEnd w:id="19"/>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As the disease progresses, degeneration extends beyond skeletal muscle to involve the cardiac muscle, frequently culminating in heart failure. DMD-related cardiomyopathy is the most common cause of mortality, with most individuals with DMD succumbing to cardiac or respiratory failure between 20 and 30 years of age.</w:t>
      </w:r>
    </w:p>
    <w:p>
      <w:pPr>
        <w:spacing w:after="0" w:line="6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There are presently eight FDA-approved therapeutics for DMD, including a targeted gene therapy aimed at restoring dystrophin and four exon-skipping antisense oligonucleotides which target specific gene mutations to produce shortened, functional dystrophin proteins. Each of these require genetic testing and their efficacy is limited to specific mutations. Two corticosteroid therapies are intended to reduce inflammatory damage, improve muscle strength and slow progression, but are subject to traditional steroid side effects. Givinostat is an oral pan-HDAC inhibitor that has been shown to reduce inflammation and slow muscle loss. While offering the advantage of being appropriate for children over six regardless of genetic variant, givinostat has dose-limiting toxicities such as thrombocytopenia, QT prolongation risk, and gastrointestinal issues. Despite the advances in treatment for DMD, there are no approved therapies that address both the muscle atrophy associated with DMD and DMD cardiomyopathy.</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454546"/>
        </w:rPr>
        <w:t>Our Solution</w:t>
      </w:r>
    </w:p>
    <w:p>
      <w:pPr>
        <w:spacing w:after="0" w:line="118"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We believe TN-301 has the potential to target converging mechanisms that drive DMD disease progression, slowing the degeneration of both skeletal and cardiac muscle.</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Preclinical studies have demonstrated that selective HDAC6 inhibition enhances tubulin acetylation, leading to stabilization of the microtubule network and improved structural integrity of muscle fibers resulting in significant increases in muscle strength and function. In dystrophin-deficient models, HDAC6 inhibition was observed to reduce fibrotic remodeling, leading to an overall improvement in muscle morphology and function. HDAC6 inhibition may also exert indirect anti-inflammatory effects by modulating gene expression networks across muscle fibers, fibroblasts, and immune cells, further limiting secondary damage and supporting regeneration. By stabilizing the cytoskeleton, enhancing autophagy, and reducing fibrosis and inflammation, selective HDAC6 inhibitors address multiple pathogenic pathways implicated in disease progression.</w:t>
      </w:r>
    </w:p>
    <w:p>
      <w:pPr>
        <w:spacing w:after="0" w:line="8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We believe TN-301 may offer dosing and compliance advantages to currently approved treatments. As a once-daily small molecule with an orthogonal mechanism, HDAC6 inhibition may add benefit to existing dystrophin-replacement or anti-inflammatory steroidal regimens, which are administered by infusion or injection.</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Preclinical Studies in DMD</w:t>
      </w:r>
    </w:p>
    <w:p>
      <w:pPr>
        <w:spacing w:after="0" w:line="118"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454546"/>
        </w:rPr>
        <w:t>At the Muscular Dystrophy Association (MDA) Clinical &amp; Scientific Congress 2026, we presented results from preclinical studies comparing TN-301 with the FDA-approved pan HDAC inhibitor, givinostat, in a well-established mouse model of DMD, and in human iPSC-derived cardiomyocytes from DMD patients.</w:t>
      </w:r>
    </w:p>
    <w:p>
      <w:pPr>
        <w:spacing w:after="0" w:line="6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After five weeks of once-daily oral dosing, TN-301 showed a statistically significant increase in forelimb grip strength in </w:t>
      </w:r>
      <w:r>
        <w:rPr>
          <w:rFonts w:ascii="Times New Roman" w:cs="Times New Roman" w:eastAsia="Times New Roman" w:hAnsi="Times New Roman"/>
          <w:sz w:val="20"/>
          <w:szCs w:val="20"/>
          <w:i w:val="1"/>
          <w:iCs w:val="1"/>
          <w:color w:val="454546"/>
        </w:rPr>
        <w:t>mdx</w:t>
      </w:r>
      <w:r>
        <w:rPr>
          <w:rFonts w:ascii="Times New Roman" w:cs="Times New Roman" w:eastAsia="Times New Roman" w:hAnsi="Times New Roman"/>
          <w:sz w:val="20"/>
          <w:szCs w:val="20"/>
          <w:color w:val="454546"/>
        </w:rPr>
        <w:t xml:space="preserve"> mice at both 3 mg/kg and 30 mg/kg compared to vehicle with both doses of TN-301 achieving wildtype (WT) levels of grip strength after five 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spacing w:after="0" w:line="80"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454546"/>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w:t>
      </w:r>
    </w:p>
    <w:p>
      <w:pPr>
        <w:spacing w:after="0" w:line="8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Taken together, these data support advancement of TN-301 as a potential DMD therapy with benefits for both skeletal and cardiac muscle and reduced liabilities compared to pan-HDAC inhibitors.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Future Clinical Development of TN-301 in DMD and Other Cardiac, Metabolic and Muscular Diseases</w:t>
      </w:r>
    </w:p>
    <w:p>
      <w:pPr>
        <w:spacing w:after="0" w:line="238"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In parallel with seeking opportunities to partner TN-301 for late-stage development and commercialization in large indications such as HFpEF, we plan to explore indications in which it may be possible to demonstrate proof-</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18</w:t>
      </w:r>
    </w:p>
    <w:p>
      <w:pPr>
        <w:sectPr>
          <w:pgSz w:w="12240" w:h="15840" w:orient="portrait"/>
          <w:cols w:equalWidth="0" w:num="1">
            <w:col w:w="9360"/>
          </w:cols>
          <w:pgMar w:left="1440" w:top="1420" w:right="1440" w:bottom="175" w:gutter="0" w:footer="0" w:header="0"/>
          <w:type w:val="continuous"/>
        </w:sectPr>
      </w:pPr>
    </w:p>
    <w:bookmarkStart w:id="20" w:name="page21"/>
    <w:bookmarkEnd w:id="20"/>
    <w:p>
      <w:pPr>
        <w:ind w:right="180"/>
        <w:spacing w:after="0" w:line="277" w:lineRule="auto"/>
        <w:rPr>
          <w:sz w:val="20"/>
          <w:szCs w:val="20"/>
          <w:color w:val="auto"/>
        </w:rPr>
      </w:pPr>
      <w:r>
        <w:rPr>
          <w:rFonts w:ascii="Times New Roman" w:cs="Times New Roman" w:eastAsia="Times New Roman" w:hAnsi="Times New Roman"/>
          <w:sz w:val="20"/>
          <w:szCs w:val="20"/>
          <w:color w:val="454546"/>
        </w:rPr>
        <w:t>of-activity in smaller, well-defined patient populations. Based on our preclinical observations, initial indications of interest include DMD, other muscular dystrophies, genetic DCM and PAH.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Integrated Capabilities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 xml:space="preserve">Foundational to our modality-agnostic research and drug discovery efforts are our proprietary integrated capabilities that include disease models, capsid engineering, promoters and regulatory elements, drug delivery and manufacturing. These differentiated capabilities collectively support discovery of novel targets,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optimization and lead validation,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lead characterization, and efficient development, engineering and production of product candidates that, if approved, could address the high unmet need of patients with heart diseases.</w:t>
      </w:r>
    </w:p>
    <w:p>
      <w:pPr>
        <w:spacing w:after="0" w:line="7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Leveraging our extensive in-house capabilities, we are able to take a differentiated and competitively advantageous approach to target identification and validation and preclinical characterization of each of our prospective candidates, which we believe provides us with deeper insights, shortened product development cycles, reduced scientific risks and improved probability of technical and regulatory success for our product candidates relative to others. For example, with regard to our gene therapy candidates, the application of our capsid engineering and promoter design and delivery expertise may enable us to overcome the limitations faced by prior cardiac gene therapy approaches by enabling more precise delivery and more robust gene expression while lowering the risk of off-target effects. Each of our core internal capabilities is described in more detail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Disease Models</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We have internalized the ability to create and integrate proprietary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models within our research organization, which allows us to simulate human heart disease phenotypes. This combination of human </w:t>
      </w:r>
      <w:r>
        <w:rPr>
          <w:rFonts w:ascii="Times New Roman" w:cs="Times New Roman" w:eastAsia="Times New Roman" w:hAnsi="Times New Roman"/>
          <w:sz w:val="20"/>
          <w:szCs w:val="20"/>
          <w:i w:val="1"/>
          <w:iCs w:val="1"/>
          <w:color w:val="454546"/>
        </w:rPr>
        <w:t>in</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vitro </w:t>
      </w:r>
      <w:r>
        <w:rPr>
          <w:rFonts w:ascii="Times New Roman" w:cs="Times New Roman" w:eastAsia="Times New Roman" w:hAnsi="Times New Roman"/>
          <w:sz w:val="20"/>
          <w:szCs w:val="20"/>
          <w:color w:val="454546"/>
        </w:rPr>
        <w:t>and rodent</w:t>
      </w:r>
      <w:r>
        <w:rPr>
          <w:rFonts w:ascii="Times New Roman" w:cs="Times New Roman" w:eastAsia="Times New Roman" w:hAnsi="Times New Roman"/>
          <w:sz w:val="20"/>
          <w:szCs w:val="20"/>
          <w:i w:val="1"/>
          <w:iCs w:val="1"/>
          <w:color w:val="454546"/>
        </w:rPr>
        <w:t xml:space="preserve"> in vivo </w:t>
      </w:r>
      <w:r>
        <w:rPr>
          <w:rFonts w:ascii="Times New Roman" w:cs="Times New Roman" w:eastAsia="Times New Roman" w:hAnsi="Times New Roman"/>
          <w:sz w:val="20"/>
          <w:szCs w:val="20"/>
          <w:color w:val="454546"/>
        </w:rPr>
        <w:t>models creates significant value to the organization, as singular models of human heart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disease may not be adequate to assess the efficacy or safety of novel therapies. Our disease modeling capabilities serve to facilitate the discovery of new leads and to characterize the activity of existing leads as we move through preclinical development.</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i w:val="1"/>
          <w:iCs w:val="1"/>
          <w:color w:val="454546"/>
        </w:rPr>
        <w:t xml:space="preserve">In Vitro: </w:t>
      </w:r>
      <w:r>
        <w:rPr>
          <w:rFonts w:ascii="Times New Roman" w:cs="Times New Roman" w:eastAsia="Times New Roman" w:hAnsi="Times New Roman"/>
          <w:sz w:val="20"/>
          <w:szCs w:val="20"/>
          <w:color w:val="454546"/>
        </w:rPr>
        <w:t>For our</w:t>
      </w:r>
      <w:r>
        <w:rPr>
          <w:rFonts w:ascii="Times New Roman" w:cs="Times New Roman" w:eastAsia="Times New Roman" w:hAnsi="Times New Roman"/>
          <w:sz w:val="20"/>
          <w:szCs w:val="20"/>
          <w:i w:val="1"/>
          <w:iCs w:val="1"/>
          <w:color w:val="454546"/>
        </w:rPr>
        <w:t xml:space="preserve"> in vitro </w:t>
      </w:r>
      <w:r>
        <w:rPr>
          <w:rFonts w:ascii="Times New Roman" w:cs="Times New Roman" w:eastAsia="Times New Roman" w:hAnsi="Times New Roman"/>
          <w:sz w:val="20"/>
          <w:szCs w:val="20"/>
          <w:color w:val="454546"/>
        </w:rPr>
        <w:t>human iPSC-cardiomyocyte (iPSC-CM) disease models, we use multiple methods to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induce phenotypes within cell lines that simulate human diseases and then use these models for high throughput target identification and drug discovery. We have developed our own high-throughput imaging analysis technologies to characterize the impact of drug leads directly on cardiomyocytes and cardiac fibroblasts. Taken together, our advancements in disease modeling, including our practice of characterizing targets using three-dimensional human engineered heart tissues, our ability to produce human iPSC-CMs reliably and at an increasing scale, and our combination of immunostaining, high-resolution imaging and application of machine learning algorithms to support high-throughput phenotypic screening, enhance our ability to both identify and characterize potential product candidates early in the discovery process.</w:t>
      </w:r>
    </w:p>
    <w:p>
      <w:pPr>
        <w:spacing w:after="0" w:line="86"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i w:val="1"/>
          <w:iCs w:val="1"/>
          <w:color w:val="454546"/>
        </w:rPr>
        <w:t xml:space="preserve">In Vivo: </w:t>
      </w:r>
      <w:r>
        <w:rPr>
          <w:rFonts w:ascii="Times New Roman" w:cs="Times New Roman" w:eastAsia="Times New Roman" w:hAnsi="Times New Roman"/>
          <w:sz w:val="20"/>
          <w:szCs w:val="20"/>
          <w:color w:val="454546"/>
        </w:rPr>
        <w:t>We have to date established approximately 20 rodent heart disease models in pursuit of our early</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pipeline. Our rodent models represent both in-licensed and novel genetically modified lines, as well as surgically or pharmacologically induced models. Over time, we have developed important insights into the advantages and limitations of specific models and have learned how to optimize experimental design to maximize learnings and de-risk program advancement. This insight influences our preclinical drug development strategies and our discussions with regulatory agencies.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Capsid Engineering</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We believe selection of the right capsid for optimal delivery and safety of genetic medicines can make a profound difference in patient safety, therapeutic efficacy, manufacturing productivity and cost of goods. As part of our early product design efforts, we tested AAV9, which has clinically established safety profile and cardiac tropism and proven manufacturability, alongside several other capsids for tropism to cardiomyocytes and for resulting mRNA and protein expression, and in our hands AAV9 proved to be superior to other available capsids. This work contributed to the selection of AAV9 for use with TN-201 and TN-401 and also contributed to the foundations of our novel capsid engineering efforts.</w:t>
      </w:r>
    </w:p>
    <w:p>
      <w:pPr>
        <w:spacing w:after="0" w:line="80" w:lineRule="exact"/>
        <w:rPr>
          <w:sz w:val="20"/>
          <w:szCs w:val="20"/>
          <w:color w:val="auto"/>
        </w:rPr>
      </w:pPr>
    </w:p>
    <w:p>
      <w:pPr>
        <w:ind w:right="140" w:firstLine="490"/>
        <w:spacing w:after="0" w:line="278" w:lineRule="auto"/>
        <w:rPr>
          <w:sz w:val="20"/>
          <w:szCs w:val="20"/>
          <w:color w:val="auto"/>
        </w:rPr>
      </w:pPr>
      <w:r>
        <w:rPr>
          <w:rFonts w:ascii="Times New Roman" w:cs="Times New Roman" w:eastAsia="Times New Roman" w:hAnsi="Times New Roman"/>
          <w:sz w:val="19"/>
          <w:szCs w:val="19"/>
          <w:color w:val="454546"/>
        </w:rPr>
        <w:t>Our goal is to discover, design, and develop novel cardiac-tropic AAV capsids with superior attributes to AAV9 in order to enable more precise targeting of heart cells and to improve the safety profile of future product candidates by reducing tropism for other organs, particularly the liver. We also believe that using capsids that more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19</w:t>
      </w:r>
    </w:p>
    <w:p>
      <w:pPr>
        <w:sectPr>
          <w:pgSz w:w="12240" w:h="15840" w:orient="portrait"/>
          <w:cols w:equalWidth="0" w:num="1">
            <w:col w:w="9360"/>
          </w:cols>
          <w:pgMar w:left="1440" w:top="1420" w:right="1440" w:bottom="175" w:gutter="0" w:footer="0" w:header="0"/>
          <w:type w:val="continuous"/>
        </w:sectPr>
      </w:pPr>
    </w:p>
    <w:bookmarkStart w:id="21" w:name="page22"/>
    <w:bookmarkEnd w:id="21"/>
    <w:p>
      <w:pPr>
        <w:jc w:val="both"/>
        <w:ind w:right="220"/>
        <w:spacing w:after="0" w:line="252" w:lineRule="auto"/>
        <w:rPr>
          <w:sz w:val="20"/>
          <w:szCs w:val="20"/>
          <w:color w:val="auto"/>
        </w:rPr>
      </w:pPr>
      <w:r>
        <w:rPr>
          <w:rFonts w:ascii="Times New Roman" w:cs="Times New Roman" w:eastAsia="Times New Roman" w:hAnsi="Times New Roman"/>
          <w:sz w:val="20"/>
          <w:szCs w:val="20"/>
          <w:color w:val="454546"/>
        </w:rPr>
        <w:t>specifically target one cell type over another may help lower cost of goods for such candidates by lowering doses while increasing efficacy. To achieve our goals related to capsid engineering, we have established in-house AAV capsid engineering capabilities and have designed and screened over one billion variants from diverse, proprietary libraries to discover, design, and develop novel capsids to support our programs.</w:t>
      </w:r>
    </w:p>
    <w:p>
      <w:pPr>
        <w:spacing w:after="0" w:line="74"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Our approach includes the use of diverse screening methods across a variety of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silico</w:t>
      </w:r>
      <w:r>
        <w:rPr>
          <w:rFonts w:ascii="Times New Roman" w:cs="Times New Roman" w:eastAsia="Times New Roman" w:hAnsi="Times New Roman"/>
          <w:sz w:val="20"/>
          <w:szCs w:val="20"/>
          <w:color w:val="454546"/>
        </w:rPr>
        <w:t xml:space="preserve"> systems to enable our ability to identify novel capsids, followed by the application of specific criteria for the selection of novel capsids, including improved tropism for the heart compared to other organs, with a particular interest in de-targeting the liver; improved transduction of specific heart cell types; lower susceptibility to neutralizing antibodies; and comparable manufacturing in both HEK293- and Sf9/rBV-based manufacturing systems. We then evaluate these novel capsids to identify ones that can outperform the relevant parental capsids, which may vary depending on the intended use.</w:t>
      </w:r>
    </w:p>
    <w:p>
      <w:pPr>
        <w:spacing w:after="0" w:line="80" w:lineRule="exact"/>
        <w:rPr>
          <w:sz w:val="20"/>
          <w:szCs w:val="20"/>
          <w:color w:val="auto"/>
        </w:rPr>
      </w:pPr>
    </w:p>
    <w:p>
      <w:pPr>
        <w:ind w:right="80" w:firstLine="489"/>
        <w:spacing w:after="0" w:line="246" w:lineRule="auto"/>
        <w:rPr>
          <w:sz w:val="20"/>
          <w:szCs w:val="20"/>
          <w:color w:val="auto"/>
        </w:rPr>
      </w:pPr>
      <w:r>
        <w:rPr>
          <w:rFonts w:ascii="Times New Roman" w:cs="Times New Roman" w:eastAsia="Times New Roman" w:hAnsi="Times New Roman"/>
          <w:sz w:val="20"/>
          <w:szCs w:val="20"/>
          <w:color w:val="454546"/>
        </w:rPr>
        <w:t>Through these efforts, we have discovered proprietary capsids with superior performance over parental variants across multiple species. These next-generation capsids have improved tropism for the heart compared to other organs and even for specific cells within the heart; improved expression within the heart cells; and lower susceptibility to neutralizing antibodies. We have identified novel capsids capable of equivalent or superior transduction in the heart, liver detargeting and evasion of preexisting neutralizing antibodies as compared to AAV9. We have also generated data that demonstrate that certain of these capsids have a greater ability to improve heart function compared to the same dose of AAV9 in specific disease models.</w:t>
      </w:r>
    </w:p>
    <w:p>
      <w:pPr>
        <w:spacing w:after="0" w:line="80" w:lineRule="exact"/>
        <w:rPr>
          <w:sz w:val="20"/>
          <w:szCs w:val="20"/>
          <w:color w:val="auto"/>
        </w:rPr>
      </w:pPr>
    </w:p>
    <w:p>
      <w:pPr>
        <w:ind w:right="380" w:firstLine="489"/>
        <w:spacing w:after="0" w:line="258" w:lineRule="auto"/>
        <w:rPr>
          <w:sz w:val="20"/>
          <w:szCs w:val="20"/>
          <w:color w:val="auto"/>
        </w:rPr>
      </w:pPr>
      <w:r>
        <w:rPr>
          <w:rFonts w:ascii="Times New Roman" w:cs="Times New Roman" w:eastAsia="Times New Roman" w:hAnsi="Times New Roman"/>
          <w:sz w:val="20"/>
          <w:szCs w:val="20"/>
          <w:color w:val="454546"/>
        </w:rPr>
        <w:t>Overall, these data provide important proof of concept of the potential utility of capsid engineering. We believe our capsid engineering efforts will be critical in supporting the successful clinical development of future product candidates and enabling those product candidates, if approved, to reach more patients.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Promoters and Regulatory Elements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 xml:space="preserve">We have created novel promoters and regulatory elements that support our gene therapy and cellular regeneration programs by controlling the expression of genes within the cells. We use these innovations, which are essential to the success of gene therapy,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 For example, we have developed cardiac-specific promoters that enable more selective and robust expression in the heart as compared to other organs. Specifically, during optimization of TN-201, we developed a cardiomyocyte-specific promoter, TNP-CM1, with improved performance attributes and a shorter length as compared to the standard cTnT promoter.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and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analyses confirmed that TNP-CM1 significantly increased expression of the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compared to what can be achieved with the standard cTnT promoter. In addition, in a mouse model we observed 1000-fold selectivity of expression in cardiac tissue relative to other tissues, including skeletal muscle, brain and liver. This shorter, yet effective promoter enabled packaging of full-length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DNA despite the limited capacity of AAV.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Drug Delivery</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454546"/>
        </w:rPr>
        <w:t>Delivery of drugs to the heart is widely considered to be an important challenge to successful translation of cardiac gene therapy and regenerative medicines into approved products. In an effort to maximize the success of programs within our diverse pipeline, we have actively explored different routes of administration, as well as different infusion- or injection-based catheters to support more targeted delivery and more efficient uptake of therapies based on viral vectors. For our gene therapy product candidates, including TN-201 and TN-401, we generally need broad distribution across the heart tissue that is best suited to infusion-based approaches. Other programs, such as our TN-101 therapy designed to convert resident fibroblasts into working myocardial cells in the setting of post-ischemic heart failure, require more precise delivery into the heart tissue directly around the scar area of the LV. Thus TN-101 is more suited to injection-based approaches. We believe our drug delivery approaches may widen the therapeutic index of certain product candidates by reducing the dose required for a therapeutic benefit.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20</w:t>
      </w:r>
    </w:p>
    <w:p>
      <w:pPr>
        <w:sectPr>
          <w:pgSz w:w="12240" w:h="15840" w:orient="portrait"/>
          <w:cols w:equalWidth="0" w:num="1">
            <w:col w:w="9360"/>
          </w:cols>
          <w:pgMar w:left="1440" w:top="1420" w:right="144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454546"/>
        </w:rPr>
        <w:t>Manufacturing</w:t>
      </w:r>
    </w:p>
    <w:p>
      <w:pPr>
        <w:spacing w:after="0" w:line="12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454546"/>
        </w:rPr>
        <w:t>Our early strategy was to have complete ownership of our process development, analytical development, manufacturing and quality control (QC) for our gene therapy programs. Maintaining internalized manufacturing for these programs increased our understanding of the attributes of our drug substance and drug product, enabled continuous process improvement, consistency (quality and productivity) and supported the manufacturing requirements for our gene therapy programs in clinical development. The resulting innovation and insights are expected to apply not only for rare populations, but also for more prevalent indications, and allow us to be a partner of choice in AAV-based genetic medicines manufacturing. Overall, the internalization of manufacturing efforts provided us with the know-how and capabilities necessary to manage our late-stage drug manufacturing requirements. Today, we rely on a combination of internal manufacturing capabilities and external contract development manufacturing organizations (CDMOs) for our manufacturing requirements and intend to continue to utilize this strategy as our programs progress through various stages of clinical development and future commercialization, if approved.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Competition</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The biotechnology and pharmaceutical industries are characterized by rapidly advancing technologies, intense competition and a strong emphasis on intellectual property. We believe our scientific know-how,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or that may be developed in the future.</w:t>
      </w:r>
    </w:p>
    <w:p>
      <w:pPr>
        <w:spacing w:after="0" w:line="80"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Due to the depth and diversity of our pipeline, we may face competition from a variety of companies, including:</w:t>
      </w:r>
    </w:p>
    <w:p>
      <w:pPr>
        <w:spacing w:after="0" w:line="49"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i w:val="1"/>
          <w:iCs w:val="1"/>
          <w:color w:val="454546"/>
        </w:rPr>
        <w:t xml:space="preserve">TN-201: </w:t>
      </w:r>
      <w:r>
        <w:rPr>
          <w:rFonts w:ascii="Times New Roman" w:cs="Times New Roman" w:eastAsia="Times New Roman" w:hAnsi="Times New Roman"/>
          <w:sz w:val="20"/>
          <w:szCs w:val="20"/>
          <w:color w:val="454546"/>
        </w:rPr>
        <w:t>We believe the principal competition for TN-201 will be programs that address the underlying</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genetic cause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Based on publicly available data, we don’t believe any such treatments have received approval from a regulatory agency or reached clinical development. Notwithstanding, we may face competition from treatments for both nHCM and oHCM, including Bristol Myers Squibb’s myosin inhibitor Camzyos and Cytokinetics’ Myqorzo. There are also several other programs at the regulatory review stage or in clinical development for HCM, including Edgewise Therapeutics’ EDG-7500, Lexicon Pharmaceutical's sotagliflozin and Imbria Pharmaceutical's ninerafaxstat.</w:t>
      </w:r>
    </w:p>
    <w:p>
      <w:pPr>
        <w:spacing w:after="0" w:line="8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i w:val="1"/>
          <w:iCs w:val="1"/>
          <w:color w:val="454546"/>
        </w:rPr>
        <w:t xml:space="preserve">TN-301: </w:t>
      </w:r>
      <w:r>
        <w:rPr>
          <w:rFonts w:ascii="Times New Roman" w:cs="Times New Roman" w:eastAsia="Times New Roman" w:hAnsi="Times New Roman"/>
          <w:sz w:val="20"/>
          <w:szCs w:val="20"/>
          <w:color w:val="454546"/>
        </w:rPr>
        <w:t>We believe that the principal competition for TN-301 in HFpEF includes agents approved in the U.S.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and/or Europe for the treatment of HFpEF, including Novartis’ Entresto and Eli Lilly and Boehringer Ingleheim’s SGLT2 inhibitor, Jardiance and Astra Zeneca’s SGLT2 inhibitor, Farxiga. While there are no approved HDAC6 inhibitors for cardiovascular indications, HFpEF clinical development is an area of robust investment and multiple additional agents for the treatment of HFpEF are in clinical development, including Eli Lilly and Company’s Tirzepatide. We believe that the principal approved in-class competition for TN-301 in DMD is Italfarmaco's Duvyzat. Alternative approved treatments include branded steroids such as Catalyst Pharmaceuticals and Santhera Pharmaceutical's Agamree and PTC Therapeutics' Emflaza, gene therapies such as Sarepta Therapeutics' Elevidys and exon skippers such as Sarepta Therapeutics' Exondys 51 and NS Pharma's Viltepso. There are other potential treatments in development for DMD including Capricor Therapeutics' and NS Pharma's cardiosphere-derived cell therapy, Deramiocel, Edgewise Therapeutics' myosin inhibitor, Sevasemten, and Avidity Bioscience's exon skipper, AOC-1044, and multiple gene therapies and other therapies.</w:t>
      </w:r>
    </w:p>
    <w:p>
      <w:pPr>
        <w:spacing w:after="0" w:line="86"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i w:val="1"/>
          <w:iCs w:val="1"/>
          <w:color w:val="454546"/>
        </w:rPr>
        <w:t xml:space="preserve">TN-401: </w:t>
      </w:r>
      <w:r>
        <w:rPr>
          <w:rFonts w:ascii="Times New Roman" w:cs="Times New Roman" w:eastAsia="Times New Roman" w:hAnsi="Times New Roman"/>
          <w:sz w:val="20"/>
          <w:szCs w:val="20"/>
          <w:color w:val="454546"/>
        </w:rPr>
        <w:t>We believe the principal competition for TN-401 will be programs that address the underlying</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genetic cause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-associated ARVC. Based on publicly available data, we don’t believe any such treatments have received approval from a regulatory agency. However, there are several programs in clinical development for treating the underlying cause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including Rocket Pharmaceutical’s RP-A601 and Lexeo Therapeutics’ LX2020. We may also face competition from therapies and medical devices directed to treat the symptoms of ARVC.</w:t>
      </w:r>
    </w:p>
    <w:p>
      <w:pPr>
        <w:spacing w:after="0" w:line="80"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454546"/>
        </w:rPr>
        <w:t>For information regarding the risks related to competition, see “</w:t>
      </w:r>
      <w:r>
        <w:rPr>
          <w:rFonts w:ascii="Times New Roman" w:cs="Times New Roman" w:eastAsia="Times New Roman" w:hAnsi="Times New Roman"/>
          <w:sz w:val="20"/>
          <w:szCs w:val="20"/>
          <w:i w:val="1"/>
          <w:iCs w:val="1"/>
          <w:color w:val="454546"/>
        </w:rPr>
        <w:t>Risk Factors—Risks Related to the Discovery</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Development, Manufacturing and Commercialization of Our Product Candidates.</w:t>
      </w:r>
      <w:r>
        <w:rPr>
          <w:rFonts w:ascii="Times New Roman" w:cs="Times New Roman" w:eastAsia="Times New Roman" w:hAnsi="Times New Roman"/>
          <w:sz w:val="20"/>
          <w:szCs w:val="20"/>
          <w:color w:val="454546"/>
        </w:rPr>
        <w: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21</w:t>
      </w:r>
    </w:p>
    <w:p>
      <w:pPr>
        <w:sectPr>
          <w:pgSz w:w="12240" w:h="15840" w:orient="portrait"/>
          <w:cols w:equalWidth="0" w:num="1">
            <w:col w:w="9360"/>
          </w:cols>
          <w:pgMar w:left="1440" w:top="1420" w:right="144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454546"/>
        </w:rPr>
        <w:t>Intellectual Property</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European Union (EU) and other select jurisdictions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w:t>
      </w:r>
    </w:p>
    <w:p>
      <w:pPr>
        <w:spacing w:after="0" w:line="86"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454546"/>
        </w:rPr>
        <w:t>Each of our lead product candidates is covered by at least one or more issued U.S. patents, which are described below. We also have numerous pending patent applications, and will continue to file new patent applications, in the U.S., the EU and other select countries covering our lead product candidates, as well as our early-stage programs in preclinical development. Beyond these issued patents and pending patent applications, our owned and exclusively licensed patent portfolio also covers various aspects of our core capabilities, including our gene delivery expression cassettes and vectors, recombinant capsid proteins, gene editing technology and manufacturing processes.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454546"/>
        </w:rPr>
        <w:t>TN-201</w:t>
      </w:r>
      <w:r>
        <w:rPr>
          <w:rFonts w:ascii="Times New Roman" w:cs="Times New Roman" w:eastAsia="Times New Roman" w:hAnsi="Times New Roman"/>
          <w:sz w:val="20"/>
          <w:szCs w:val="20"/>
          <w:color w:val="454546"/>
        </w:rPr>
        <w:t>: With regard to TN-201, we own four issued U.S. patents covering a recombinant adeno-associated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virus (rAAV) virion whose vector genome encodes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and methods of using the same for treating cardiomyopathy, one pending non-provisional U.S. patent application, four issued foreign patents in Eurasia, Malaysia, and South Africa, and 24 pending foreign patent applications. The pending foreign patent applications are in a number of jurisdictions, including Australia, Brazil, Canada, China, European Patent Office, Israel, India, Japan, Republic of Korea, Mexico, New Zealand, Saudi Arabia, Singapore, South Africa, and United Arab Emirates. Any U.S. or foreign patents issued from the pending patent applications are expected to expire in 2041, assuming payment of all appropriate maintenance, renewal, annuity or other governmental fees, and without taking potential patent term extensions or adjustments into account. The issued U.S. patents and pending U.S. non-provisional patent applications are directed to various aspects of TN-201, including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expression cassettes, rAAV vectors, rAAV viral genomes and methods of using such compositions for therapeutic indications.</w:t>
      </w:r>
    </w:p>
    <w:p>
      <w:pPr>
        <w:spacing w:after="0" w:line="89"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i w:val="1"/>
          <w:iCs w:val="1"/>
          <w:color w:val="454546"/>
        </w:rPr>
        <w:t xml:space="preserve">TN-301: </w:t>
      </w:r>
      <w:r>
        <w:rPr>
          <w:rFonts w:ascii="Times New Roman" w:cs="Times New Roman" w:eastAsia="Times New Roman" w:hAnsi="Times New Roman"/>
          <w:sz w:val="20"/>
          <w:szCs w:val="20"/>
          <w:color w:val="454546"/>
        </w:rPr>
        <w:t>With regard to TN-301, we own three issued U.S. patents, one pending non-provisional U.S. patent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application and two issued foreign patents in Mexico, Japan, and Saudi Arabia and twenty-seven pending foreign patent applications covering TN-301 and various analogs. The pending foreign applications are in a number of jurisdictions, including Australia, Brazil, Canada, China, Eurasia, Europe, Hong Kong, India, Israel, Japan, South Korea, New Zealand, and South Africa. Any U.S. or foreign patents issued from these pending patent applications are expected to expire in 2040, assuming payment of all appropriate maintenance, renewal, annuity or other governmental fees, and without taking potential patent term extensions or adjustments into account. We also own four patent families that cover methods of treatment of various diseases and disorders with TN-301 and its analogs, with one issued U.S. patent, two pending non-provisional U.S. patent applications, one pending PCT application, one pending U.S. provisional patent application, and fifteen foreign patent applications in multiple jurisdictions including Australia, Canada, China, Europe, Hong Kong, Israel, Japan, Mexico, New Zealand, Singapore, South Africa, and Taiwan. Any U.S. or foreign patents issued from the pending applications are expected to expire between 2042 and 2046, assuming payment of all appropriate maintenance, renewal, annuity or other governmental fees, and without taking potential patent term extensions or adjustments into account. We also own one patent family that covers additional HDAC6i compounds, with one pending non-provisional U.S. patent application, one issued foreign patent in Japan, and two pending foreign patent applications in Europe and Canada.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spacing w:after="0" w:line="8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i w:val="1"/>
          <w:iCs w:val="1"/>
          <w:color w:val="454546"/>
        </w:rPr>
        <w:t xml:space="preserve">TN-401: </w:t>
      </w:r>
      <w:r>
        <w:rPr>
          <w:rFonts w:ascii="Times New Roman" w:cs="Times New Roman" w:eastAsia="Times New Roman" w:hAnsi="Times New Roman"/>
          <w:sz w:val="20"/>
          <w:szCs w:val="20"/>
          <w:color w:val="454546"/>
        </w:rPr>
        <w:t>With regard to TN-401, we own one issued U.S. patent, three pending U.S. non-provisional patent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applications, three issued foreign patents in Japan, South Africa, and Eurasia, and 24 pending foreign patent applications, related to proprietary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expression vectors and methods of use. The pending foreign patent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22</w:t>
      </w:r>
    </w:p>
    <w:p>
      <w:pPr>
        <w:sectPr>
          <w:pgSz w:w="12240" w:h="15840" w:orient="portrait"/>
          <w:cols w:equalWidth="0" w:num="1">
            <w:col w:w="9360"/>
          </w:cols>
          <w:pgMar w:left="1440" w:top="1416" w:right="1440" w:bottom="175" w:gutter="0" w:footer="0" w:header="0"/>
          <w:type w:val="continuous"/>
        </w:sectPr>
      </w:pPr>
    </w:p>
    <w:bookmarkStart w:id="24" w:name="page25"/>
    <w:bookmarkEnd w:id="24"/>
    <w:p>
      <w:pPr>
        <w:ind w:right="20"/>
        <w:spacing w:after="0" w:line="259" w:lineRule="auto"/>
        <w:rPr>
          <w:sz w:val="20"/>
          <w:szCs w:val="20"/>
          <w:color w:val="auto"/>
        </w:rPr>
      </w:pPr>
      <w:r>
        <w:rPr>
          <w:rFonts w:ascii="Times New Roman" w:cs="Times New Roman" w:eastAsia="Times New Roman" w:hAnsi="Times New Roman"/>
          <w:sz w:val="19"/>
          <w:szCs w:val="19"/>
          <w:color w:val="454546"/>
        </w:rPr>
        <w:t xml:space="preserve">applications are in a number of jurisdictions, including Australia, Brazil, Canada, China, Europe, Israel, India, Japan, Republic of Korea, Mexico, New Zealand, Saudi Arabia, Singapore, South Africa, and United Arab Emirates. Any U.S. or foreign patents issued from the pending patent applications are expected to expire in 2041, assuming payment of all appropriate maintenance, renewal, annuity or other governmental fees and without taking potential patent term extensions or adjustments into account. We own one pending U.S. non-provisional patent application and five foreign patent applications in multiple jurisdictions, including Argentina, Europe, Hong Kong, Japan, and Taiwan, related to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therapeutic treatment methods. Any U.S. or foreign patents issued from the pending patent applications are expected to expire in 2043, assuming payment of all appropriate maintenance, renewal, annuity or other governmental fees, and without taking potential patent term extensions or adjustments into account.</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Trade Secrets</w:t>
      </w:r>
    </w:p>
    <w:p>
      <w:pPr>
        <w:spacing w:after="0" w:line="12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19"/>
          <w:szCs w:val="19"/>
          <w:color w:val="454546"/>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We also seek to preserve the integrity and confidentiality of our data and trade secrets by maintaining physical security of our premises and physical and electronic security of our information technology systems.</w:t>
      </w:r>
    </w:p>
    <w:p>
      <w:pPr>
        <w:spacing w:after="0" w:line="68"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454546"/>
        </w:rPr>
        <w:t>For information regarding the risks related to our intellectual property, see “</w:t>
      </w:r>
      <w:r>
        <w:rPr>
          <w:rFonts w:ascii="Times New Roman" w:cs="Times New Roman" w:eastAsia="Times New Roman" w:hAnsi="Times New Roman"/>
          <w:sz w:val="20"/>
          <w:szCs w:val="20"/>
          <w:i w:val="1"/>
          <w:iCs w:val="1"/>
          <w:color w:val="454546"/>
        </w:rPr>
        <w:t>Risk Factors—Risks Related to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Our Intellectual Property.</w:t>
      </w:r>
      <w:r>
        <w:rPr>
          <w:rFonts w:ascii="Times New Roman" w:cs="Times New Roman" w:eastAsia="Times New Roman" w:hAnsi="Times New Roman"/>
          <w:sz w:val="20"/>
          <w:szCs w:val="20"/>
          <w:color w:val="454546"/>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Manufacturing</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We rely on a combination of internal manufacturing capabilities and external CDMOs for the manufacture of the drug substance and/or drug product of our portfolio programs and intend to continue to utilize this strategy as our programs progress through various stages of clinical development and future commercialization, if approved.</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AAV Manufacturing</w:t>
      </w:r>
    </w:p>
    <w:p>
      <w:pPr>
        <w:spacing w:after="0" w:line="11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We fully integrated and internalized AAV manufacturing capabilities to support product candidates emerging from our discovery efforts that utilize AAV for delivery. Simultaneously, we established a Quality Management System to oversee our GxP operations, including Current Good Manufacturing Practices (cGMP), GLP and Good Clinical Practice (GCP).</w:t>
      </w:r>
    </w:p>
    <w:p>
      <w:pPr>
        <w:spacing w:after="0" w:line="7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Our </w:t>
      </w:r>
      <w:r>
        <w:rPr>
          <w:rFonts w:ascii="Times New Roman" w:cs="Times New Roman" w:eastAsia="Times New Roman" w:hAnsi="Times New Roman"/>
          <w:sz w:val="20"/>
          <w:szCs w:val="20"/>
          <w:i w:val="1"/>
          <w:iCs w:val="1"/>
          <w:color w:val="454546"/>
        </w:rPr>
        <w:t>Manufacturing Technology Development Center,</w:t>
      </w:r>
      <w:r>
        <w:rPr>
          <w:rFonts w:ascii="Times New Roman" w:cs="Times New Roman" w:eastAsia="Times New Roman" w:hAnsi="Times New Roman"/>
          <w:sz w:val="20"/>
          <w:szCs w:val="20"/>
          <w:color w:val="454546"/>
        </w:rPr>
        <w:t xml:space="preserve"> or </w:t>
      </w:r>
      <w:r>
        <w:rPr>
          <w:rFonts w:ascii="Times New Roman" w:cs="Times New Roman" w:eastAsia="Times New Roman" w:hAnsi="Times New Roman"/>
          <w:sz w:val="20"/>
          <w:szCs w:val="20"/>
          <w:i w:val="1"/>
          <w:iCs w:val="1"/>
          <w:color w:val="454546"/>
        </w:rPr>
        <w:t>MTDC,</w:t>
      </w:r>
      <w:r>
        <w:rPr>
          <w:rFonts w:ascii="Times New Roman" w:cs="Times New Roman" w:eastAsia="Times New Roman" w:hAnsi="Times New Roman"/>
          <w:sz w:val="20"/>
          <w:szCs w:val="20"/>
          <w:color w:val="454546"/>
        </w:rPr>
        <w:t xml:space="preserve"> includes a Vector Core, upstream and downstream process development labs, as well as assay development and QC capabilities, and is co-located with our research labs in the San Francisco Bay Area. The MTDC does non-GMP work using both the sf9-baculovirus and HEK293 systems and operates at the shake flask, 50L, and 200L scales to support all non-clinical studies, including IND-enabling efficacy, pharmacology, toxicology, and biodistribution, as well as process and analytical work appropriate for later stages of development and approval for our lead gene therapy programs. We also utilize the MTDC to support our work on novel technologies intended to improve the scalability, yield and attributes of AAV manufactured products, including improvements in upstream and downstream processes and novel cell lines; we believe this work has the potential to contribute to our existing clinical-stage and/or future potential gene therapy programs.</w:t>
      </w:r>
    </w:p>
    <w:p>
      <w:pPr>
        <w:spacing w:after="0" w:line="82"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 xml:space="preserve">In 2021 we established our </w:t>
      </w:r>
      <w:r>
        <w:rPr>
          <w:rFonts w:ascii="Times New Roman" w:cs="Times New Roman" w:eastAsia="Times New Roman" w:hAnsi="Times New Roman"/>
          <w:sz w:val="20"/>
          <w:szCs w:val="20"/>
          <w:i w:val="1"/>
          <w:iCs w:val="1"/>
          <w:color w:val="454546"/>
        </w:rPr>
        <w:t>Genetic Medicines Manufacturing Center,</w:t>
      </w:r>
      <w:r>
        <w:rPr>
          <w:rFonts w:ascii="Times New Roman" w:cs="Times New Roman" w:eastAsia="Times New Roman" w:hAnsi="Times New Roman"/>
          <w:sz w:val="20"/>
          <w:szCs w:val="20"/>
          <w:color w:val="454546"/>
        </w:rPr>
        <w:t xml:space="preserve"> or </w:t>
      </w:r>
      <w:r>
        <w:rPr>
          <w:rFonts w:ascii="Times New Roman" w:cs="Times New Roman" w:eastAsia="Times New Roman" w:hAnsi="Times New Roman"/>
          <w:sz w:val="20"/>
          <w:szCs w:val="20"/>
          <w:i w:val="1"/>
          <w:iCs w:val="1"/>
          <w:color w:val="454546"/>
        </w:rPr>
        <w:t>GMMC</w:t>
      </w:r>
      <w:r>
        <w:rPr>
          <w:rFonts w:ascii="Times New Roman" w:cs="Times New Roman" w:eastAsia="Times New Roman" w:hAnsi="Times New Roman"/>
          <w:sz w:val="20"/>
          <w:szCs w:val="20"/>
          <w:color w:val="454546"/>
        </w:rPr>
        <w:t xml:space="preserve">, at a time when CDMO capacity was limited and the industry was experiencing quality issues with the available CDMOs. When fully operational, our </w:t>
      </w:r>
      <w:r>
        <w:rPr>
          <w:rFonts w:ascii="Times New Roman" w:cs="Times New Roman" w:eastAsia="Times New Roman" w:hAnsi="Times New Roman"/>
          <w:sz w:val="20"/>
          <w:szCs w:val="20"/>
          <w:i w:val="1"/>
          <w:iCs w:val="1"/>
          <w:color w:val="454546"/>
        </w:rPr>
        <w:t>GMMC</w:t>
      </w:r>
      <w:r>
        <w:rPr>
          <w:rFonts w:ascii="Times New Roman" w:cs="Times New Roman" w:eastAsia="Times New Roman" w:hAnsi="Times New Roman"/>
          <w:sz w:val="20"/>
          <w:szCs w:val="20"/>
          <w:color w:val="454546"/>
        </w:rPr>
        <w:t xml:space="preserve"> can operate at the 200L and 1000L scales to support clinical development activities from first-in-human clinical trials through to late-stage development, and potentially initial commercialization, should regulatory approval be obtained. We successfully utilized the GMMC to produce sufficient drug product to support the current planned dosing for both MyPEAK-1 and RIDGE-1. However, in 2025, due to the available inventory of TN-201 and TN-401 and to support our cost containment initiatives, we decided to decommission the GMMC facility. We will evaluate recommissioning it based on clinical program requirements, or alternatively, will initiate the transfer of our AAV manufacturing process to a CDMO at the appropriate time.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23</w:t>
      </w:r>
    </w:p>
    <w:p>
      <w:pPr>
        <w:sectPr>
          <w:pgSz w:w="12240" w:h="15840" w:orient="portrait"/>
          <w:cols w:equalWidth="0" w:num="1">
            <w:col w:w="9360"/>
          </w:cols>
          <w:pgMar w:left="1440" w:top="1420" w:right="1440" w:bottom="175" w:gutter="0" w:footer="0" w:header="0"/>
          <w:type w:val="continuous"/>
        </w:sectPr>
      </w:pPr>
    </w:p>
    <w:bookmarkStart w:id="25" w:name="page26"/>
    <w:bookmarkEnd w:id="25"/>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In addition to our internal manufacturing capabilities, we have also negotiated and entered into master service agreements with multiple CDMOs to provide additional AAV manufacturing and filling capacity, storage, stability program management, and associated risk mitigation. Additionally, we will rely on third parties for certain manufacturing of ancillary materials and release assays, for which we have already secured or intend to secure dual-sourced capacity. To support outsourced manufacturing activities across our gene therapy portfolio, we employ a technical operations staff with the requisite expertise to facilitate technology transfer to and oversight of our CDMOs.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Small Molecule Manufacturing</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We rely on various third parties for our cGMP small molecule manufacturing. This external network consists of well-established and reputable CDMOs for our chemistry, manufacturing and control development that have good regulatory standing, suitable manufacturing capacities and capabilities. We will continue to expand this network as appropriate to meet future manufacturing needs for TN-301 and other small molecule product candidates, should such programs advance in the clinic, to regulatory approval and subsequent commercialization.</w:t>
      </w:r>
    </w:p>
    <w:p>
      <w:pPr>
        <w:spacing w:after="0" w:line="7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We source raw materials that are used to manufacture our drug substance from multiple third-party suppliers across the globe. Where appropriate, we stock sufficient quantities of these materials and provide them to our CDMOs so they can manufacture adequate drug substance quantities per our requirements. We also rely on third parties to source materials such as excipients, components and reagents, which are required to manufacture our drug substance and finished drug product.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Government Regulation</w:t>
      </w:r>
    </w:p>
    <w:p>
      <w:pPr>
        <w:spacing w:after="0" w:line="124"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454546"/>
        </w:rPr>
        <w:t>Government authorities in the U.S. at the federal, state and local level and in other countries regulate, among other things, the research, development, testing, manufacture, QC,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 Biologic and Small Molecule Drug Product Development</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In the U.S.,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w:t>
      </w:r>
    </w:p>
    <w:p>
      <w:pPr>
        <w:spacing w:after="0" w:line="7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Biologics must be licensed by the FDA through a biologics license application (BLA), and small molecule products must be approved by the FDA through a new drug application (NDA), before they may be legally marketed in the U.S. The process generally involves the following:</w:t>
      </w:r>
    </w:p>
    <w:p>
      <w:pPr>
        <w:spacing w:after="0" w:line="83" w:lineRule="exact"/>
        <w:rPr>
          <w:sz w:val="20"/>
          <w:szCs w:val="20"/>
          <w:color w:val="auto"/>
        </w:rPr>
      </w:pPr>
    </w:p>
    <w:p>
      <w:pPr>
        <w:ind w:left="980" w:right="80" w:hanging="490"/>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Completion of extensive preclinical studies in accordance with applicable regulations, including studies conducted in accordance with GLP requirements;</w:t>
      </w:r>
    </w:p>
    <w:p>
      <w:pPr>
        <w:spacing w:after="0" w:line="64" w:lineRule="exact"/>
        <w:rPr>
          <w:rFonts w:ascii="Arial" w:cs="Arial" w:eastAsia="Arial" w:hAnsi="Arial"/>
          <w:sz w:val="20"/>
          <w:szCs w:val="20"/>
          <w:color w:val="454546"/>
        </w:rPr>
      </w:pPr>
    </w:p>
    <w:p>
      <w:pPr>
        <w:ind w:left="980" w:hanging="490"/>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Submission to the FDA of an IND, which must become effective before human clinical trials may begin, and alignment with the FDA on clinical trial design;</w:t>
      </w:r>
    </w:p>
    <w:p>
      <w:pPr>
        <w:spacing w:after="0" w:line="64" w:lineRule="exact"/>
        <w:rPr>
          <w:rFonts w:ascii="Arial" w:cs="Arial" w:eastAsia="Arial" w:hAnsi="Arial"/>
          <w:sz w:val="20"/>
          <w:szCs w:val="20"/>
          <w:color w:val="454546"/>
        </w:rPr>
      </w:pPr>
    </w:p>
    <w:p>
      <w:pPr>
        <w:ind w:left="980" w:right="180" w:hanging="490"/>
        <w:spacing w:after="0" w:line="276"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Approval by an independent institutional review board (IRB), or ethics committee at each clinical trial site before each trial may be initiated;</w:t>
      </w:r>
    </w:p>
    <w:p>
      <w:pPr>
        <w:spacing w:after="0" w:line="64" w:lineRule="exact"/>
        <w:rPr>
          <w:rFonts w:ascii="Arial" w:cs="Arial" w:eastAsia="Arial" w:hAnsi="Arial"/>
          <w:sz w:val="20"/>
          <w:szCs w:val="20"/>
          <w:color w:val="454546"/>
        </w:rPr>
      </w:pPr>
    </w:p>
    <w:p>
      <w:pPr>
        <w:ind w:left="980" w:right="240" w:hanging="490"/>
        <w:spacing w:after="0" w:line="258" w:lineRule="auto"/>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24</w:t>
      </w:r>
    </w:p>
    <w:p>
      <w:pPr>
        <w:sectPr>
          <w:pgSz w:w="12240" w:h="15840" w:orient="portrait"/>
          <w:cols w:equalWidth="0" w:num="1">
            <w:col w:w="9360"/>
          </w:cols>
          <w:pgMar w:left="1440" w:top="1420" w:right="1440" w:bottom="175" w:gutter="0" w:footer="0" w:header="0"/>
          <w:type w:val="continuous"/>
        </w:sectPr>
      </w:pPr>
    </w:p>
    <w:bookmarkStart w:id="26" w:name="page27"/>
    <w:bookmarkEnd w:id="26"/>
    <w:p>
      <w:pPr>
        <w:ind w:left="980" w:hanging="490"/>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Submission to the FDA of a BLA or NDA;</w:t>
      </w:r>
    </w:p>
    <w:p>
      <w:pPr>
        <w:spacing w:after="0" w:line="133" w:lineRule="exact"/>
        <w:rPr>
          <w:rFonts w:ascii="Arial" w:cs="Arial" w:eastAsia="Arial" w:hAnsi="Arial"/>
          <w:sz w:val="20"/>
          <w:szCs w:val="20"/>
          <w:color w:val="454546"/>
        </w:rPr>
      </w:pPr>
    </w:p>
    <w:p>
      <w:pPr>
        <w:ind w:left="980" w:right="460" w:hanging="490"/>
        <w:spacing w:after="0" w:line="276"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A determination by the FDA within 60 days of its receipt of a BLA or NDA to accept the filing for review;</w:t>
      </w:r>
    </w:p>
    <w:p>
      <w:pPr>
        <w:spacing w:after="0" w:line="64" w:lineRule="exact"/>
        <w:rPr>
          <w:rFonts w:ascii="Arial" w:cs="Arial" w:eastAsia="Arial" w:hAnsi="Arial"/>
          <w:sz w:val="20"/>
          <w:szCs w:val="20"/>
          <w:color w:val="454546"/>
        </w:rPr>
      </w:pPr>
    </w:p>
    <w:p>
      <w:pPr>
        <w:ind w:left="980" w:right="260" w:hanging="490"/>
        <w:spacing w:after="0" w:line="249"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QCs, or the small molecule product’s identity, chemistry, and QCs;</w:t>
      </w:r>
    </w:p>
    <w:p>
      <w:pPr>
        <w:spacing w:after="0" w:line="90" w:lineRule="exact"/>
        <w:rPr>
          <w:rFonts w:ascii="Arial" w:cs="Arial" w:eastAsia="Arial" w:hAnsi="Arial"/>
          <w:sz w:val="20"/>
          <w:szCs w:val="20"/>
          <w:color w:val="454546"/>
        </w:rPr>
      </w:pPr>
    </w:p>
    <w:p>
      <w:pPr>
        <w:ind w:left="980" w:right="200" w:hanging="490"/>
        <w:spacing w:after="0" w:line="276"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Potential FDA audit of the preclinical study and/or clinical trial sites that generated the data in support of the BLA or NDA;</w:t>
      </w:r>
    </w:p>
    <w:p>
      <w:pPr>
        <w:spacing w:after="0" w:line="64" w:lineRule="exact"/>
        <w:rPr>
          <w:rFonts w:ascii="Arial" w:cs="Arial" w:eastAsia="Arial" w:hAnsi="Arial"/>
          <w:sz w:val="20"/>
          <w:szCs w:val="20"/>
          <w:color w:val="454546"/>
        </w:rPr>
      </w:pPr>
    </w:p>
    <w:p>
      <w:pPr>
        <w:ind w:left="980" w:right="1220" w:hanging="490"/>
        <w:spacing w:after="0" w:line="276"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Satisfactory completion of other studies required by the FDA, including immunogenicity, carcinogenicity, genotoxicity, and stability studies;</w:t>
      </w:r>
    </w:p>
    <w:p>
      <w:pPr>
        <w:spacing w:after="0" w:line="64" w:lineRule="exact"/>
        <w:rPr>
          <w:rFonts w:ascii="Arial" w:cs="Arial" w:eastAsia="Arial" w:hAnsi="Arial"/>
          <w:sz w:val="20"/>
          <w:szCs w:val="20"/>
          <w:color w:val="454546"/>
        </w:rPr>
      </w:pPr>
    </w:p>
    <w:p>
      <w:pPr>
        <w:jc w:val="both"/>
        <w:ind w:left="980" w:right="620" w:hanging="490"/>
        <w:spacing w:after="0" w:line="258"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FDA review and approval of the BLA or NDA, including consideration of the views of any FDA advisory committee, prior to any commercial marketing or sale of the biologic or small molecule therapeutic in the United States; and</w:t>
      </w:r>
    </w:p>
    <w:p>
      <w:pPr>
        <w:spacing w:after="0" w:line="81" w:lineRule="exact"/>
        <w:rPr>
          <w:rFonts w:ascii="Arial" w:cs="Arial" w:eastAsia="Arial" w:hAnsi="Arial"/>
          <w:sz w:val="20"/>
          <w:szCs w:val="20"/>
          <w:color w:val="454546"/>
        </w:rPr>
      </w:pPr>
    </w:p>
    <w:p>
      <w:pPr>
        <w:ind w:left="980" w:right="40" w:hanging="490"/>
        <w:spacing w:after="0" w:line="258"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Compliance with any post-approval requirements, including the potential requirement to implement risk evaluation and mitigation strategies (REMS), and the potential requirement to conduct post-approval studies.</w:t>
      </w:r>
    </w:p>
    <w:p>
      <w:pPr>
        <w:spacing w:after="0" w:line="67" w:lineRule="exact"/>
        <w:rPr>
          <w:sz w:val="20"/>
          <w:szCs w:val="20"/>
          <w:color w:val="auto"/>
        </w:rPr>
      </w:pPr>
    </w:p>
    <w:p>
      <w:pPr>
        <w:jc w:val="both"/>
        <w:ind w:right="100" w:firstLine="490"/>
        <w:spacing w:after="0" w:line="252" w:lineRule="auto"/>
        <w:rPr>
          <w:sz w:val="20"/>
          <w:szCs w:val="20"/>
          <w:color w:val="auto"/>
        </w:rPr>
      </w:pPr>
      <w:r>
        <w:rPr>
          <w:rFonts w:ascii="Times New Roman" w:cs="Times New Roman" w:eastAsia="Times New Roman" w:hAnsi="Times New Roman"/>
          <w:sz w:val="20"/>
          <w:szCs w:val="20"/>
          <w:color w:val="454546"/>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Preclinical Studies and IND</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 xml:space="preserve">Preclinical studies include laboratory evaluation of product biochemistry, formulation and stability, as well as </w:t>
      </w:r>
      <w:r>
        <w:rPr>
          <w:rFonts w:ascii="Times New Roman" w:cs="Times New Roman" w:eastAsia="Times New Roman" w:hAnsi="Times New Roman"/>
          <w:sz w:val="20"/>
          <w:szCs w:val="20"/>
          <w:i w:val="1"/>
          <w:iCs w:val="1"/>
          <w:color w:val="454546"/>
        </w:rPr>
        <w:t xml:space="preserve">in vitro </w:t>
      </w:r>
      <w:r>
        <w:rPr>
          <w:rFonts w:ascii="Times New Roman" w:cs="Times New Roman" w:eastAsia="Times New Roman" w:hAnsi="Times New Roman"/>
          <w:sz w:val="20"/>
          <w:szCs w:val="20"/>
          <w:color w:val="454546"/>
        </w:rPr>
        <w:t>and animal studies to assess the potential for toxicity and to establish a rationale for therapeutic use for</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Clinical Trials</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454546"/>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25</w:t>
      </w:r>
    </w:p>
    <w:p>
      <w:pPr>
        <w:sectPr>
          <w:pgSz w:w="12240" w:h="15840" w:orient="portrait"/>
          <w:cols w:equalWidth="0" w:num="1">
            <w:col w:w="9360"/>
          </w:cols>
          <w:pgMar w:left="1440" w:top="1434" w:right="1440" w:bottom="175" w:gutter="0" w:footer="0" w:header="0"/>
          <w:type w:val="continuous"/>
        </w:sectPr>
      </w:pPr>
    </w:p>
    <w:bookmarkStart w:id="27" w:name="page28"/>
    <w:bookmarkEnd w:id="27"/>
    <w:p>
      <w:pPr>
        <w:ind w:right="20"/>
        <w:spacing w:after="0" w:line="277" w:lineRule="auto"/>
        <w:rPr>
          <w:sz w:val="20"/>
          <w:szCs w:val="20"/>
          <w:color w:val="auto"/>
        </w:rPr>
      </w:pPr>
      <w:r>
        <w:rPr>
          <w:rFonts w:ascii="Times New Roman" w:cs="Times New Roman" w:eastAsia="Times New Roman" w:hAnsi="Times New Roman"/>
          <w:sz w:val="20"/>
          <w:szCs w:val="20"/>
          <w:color w:val="454546"/>
        </w:rPr>
        <w:t>completed. There also are requirements governing the reporting of ongoing clinical trials and completed clinical trial results to public registries.</w:t>
      </w:r>
    </w:p>
    <w:p>
      <w:pPr>
        <w:spacing w:after="0" w:line="49"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8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Clinical trials in the United States generally are conducted in three sequential phases, known as Phase 1, Phase 2 and Phase 3, and may overlap.</w:t>
      </w:r>
    </w:p>
    <w:p>
      <w:pPr>
        <w:spacing w:after="0" w:line="64" w:lineRule="exact"/>
        <w:rPr>
          <w:sz w:val="20"/>
          <w:szCs w:val="20"/>
          <w:color w:val="auto"/>
        </w:rPr>
      </w:pPr>
    </w:p>
    <w:p>
      <w:pPr>
        <w:ind w:left="980" w:right="60" w:hanging="490"/>
        <w:spacing w:after="0" w:line="252"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7" w:lineRule="exact"/>
        <w:rPr>
          <w:rFonts w:ascii="Arial" w:cs="Arial" w:eastAsia="Arial" w:hAnsi="Arial"/>
          <w:sz w:val="20"/>
          <w:szCs w:val="20"/>
          <w:color w:val="454546"/>
        </w:rPr>
      </w:pPr>
    </w:p>
    <w:p>
      <w:pPr>
        <w:ind w:left="980" w:right="60" w:hanging="490"/>
        <w:spacing w:after="0" w:line="252"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7" w:lineRule="exact"/>
        <w:rPr>
          <w:rFonts w:ascii="Arial" w:cs="Arial" w:eastAsia="Arial" w:hAnsi="Arial"/>
          <w:sz w:val="20"/>
          <w:szCs w:val="20"/>
          <w:color w:val="454546"/>
        </w:rPr>
      </w:pPr>
    </w:p>
    <w:p>
      <w:pPr>
        <w:ind w:left="980" w:right="80" w:hanging="490"/>
        <w:spacing w:after="0" w:line="247"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7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trials suggesting a significant risk to humans exposed to the investigational product, findings from animal or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testing that suggest a significant risk for human subjects and any clinically important increase in the rate of a serious suspected adverse reaction over that listed in the protocol or investigator brochure.</w:t>
      </w:r>
    </w:p>
    <w:p>
      <w:pPr>
        <w:spacing w:after="0" w:line="8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26</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NDA and BLA Review Process</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8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Under the Prescription Drug User Fee Act (PDUFA), as amended, each BLA or NDA must be accompanied by a user fee. FDA adjusts the PDUFA user fees on an annual basis. According to the FDA’s FY 2026 fee schedule, effective through September 30, 2026, the user fee for an application requiring clinical data, such as a BLA or NDA, is approximately $4.68 million. PDUFA also imposes an annual program fee for each marketed human prescription drug product ($442,213 in 2026)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86"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82"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454546"/>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27</w:t>
      </w:r>
    </w:p>
    <w:p>
      <w:pPr>
        <w:sectPr>
          <w:pgSz w:w="12240" w:h="15840" w:orient="portrait"/>
          <w:cols w:equalWidth="0" w:num="1">
            <w:col w:w="9360"/>
          </w:cols>
          <w:pgMar w:left="1440" w:top="1420" w:right="1440" w:bottom="175" w:gutter="0" w:footer="0" w:header="0"/>
          <w:type w:val="continuous"/>
        </w:sectPr>
      </w:pPr>
    </w:p>
    <w:bookmarkStart w:id="29" w:name="page30"/>
    <w:bookmarkEnd w:id="29"/>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Orphan Drugs</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7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454546"/>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74"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19"/>
          <w:szCs w:val="19"/>
          <w:color w:val="454546"/>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69"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In </w:t>
      </w:r>
      <w:r>
        <w:rPr>
          <w:rFonts w:ascii="Times New Roman" w:cs="Times New Roman" w:eastAsia="Times New Roman" w:hAnsi="Times New Roman"/>
          <w:sz w:val="20"/>
          <w:szCs w:val="20"/>
          <w:i w:val="1"/>
          <w:iCs w:val="1"/>
          <w:color w:val="454546"/>
        </w:rPr>
        <w:t>Catalyst Pharms., Inc. v. Becerra</w:t>
      </w:r>
      <w:r>
        <w:rPr>
          <w:rFonts w:ascii="Times New Roman" w:cs="Times New Roman" w:eastAsia="Times New Roman" w:hAnsi="Times New Roman"/>
          <w:sz w:val="20"/>
          <w:szCs w:val="20"/>
          <w:color w:val="454546"/>
        </w:rPr>
        <w:t xml:space="preserve">, 14 F.4th 1299 (11th Cir. 2021), the court disagreed with the FDA’s longstanding position that the orphan drug exclusivity only applies to the approved use or indication within an eligible disease. On January 24,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the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 xml:space="preserve">In June 2024, the U.S. Supreme Court overruled the </w:t>
      </w:r>
      <w:r>
        <w:rPr>
          <w:rFonts w:ascii="Times New Roman" w:cs="Times New Roman" w:eastAsia="Times New Roman" w:hAnsi="Times New Roman"/>
          <w:sz w:val="20"/>
          <w:szCs w:val="20"/>
          <w:i w:val="1"/>
          <w:iCs w:val="1"/>
          <w:color w:val="454546"/>
        </w:rPr>
        <w:t>Chevron</w:t>
      </w:r>
      <w:r>
        <w:rPr>
          <w:rFonts w:ascii="Times New Roman" w:cs="Times New Roman" w:eastAsia="Times New Roman" w:hAnsi="Times New Roman"/>
          <w:sz w:val="20"/>
          <w:szCs w:val="20"/>
          <w:color w:val="454546"/>
        </w:rPr>
        <w:t xml:space="preserve"> doctrine, which gives deference to regulatory agencies’ statutory interpretations in litigation against federal government agencies, such as the FDA, where the law is ambiguous. This landmark Supreme Court decision may invite more stakeholders to bring lawsuits against the FDA and other federal agencies to challenge longstanding decisions and policies, including the FDA’s statutory interpretations of market exclusivities and the “substantial evidence” requirements for drug approvals, which could undermine the FDA's authority and lead to uncertainties in the industry. Further, changes in the leadership of the FDA and other federal agencies under the current administration may lead to new policies and regulatory changes that can impact our clinical development programs and timelines. For example, the FDA has proposed a new process under RDEP to facilitate the approval of drugs to treat rare diseases with very small patient populations with significant unmet medical need and with a known genetic defect that is the major driver of the pathophysiology. We may engage with the FDA for candidates that qualify for this new process, which permits substantial evidence of effectiveness based upon one adequate and well-controlled study with confirmatory evidence.</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Expedited Development and Review Programs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28</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right="280" w:firstLine="490"/>
        <w:spacing w:after="0" w:line="249" w:lineRule="auto"/>
        <w:rPr>
          <w:sz w:val="20"/>
          <w:szCs w:val="20"/>
          <w:color w:val="auto"/>
        </w:rPr>
      </w:pPr>
      <w:r>
        <w:rPr>
          <w:rFonts w:ascii="Times New Roman" w:cs="Times New Roman" w:eastAsia="Times New Roman" w:hAnsi="Times New Roman"/>
          <w:sz w:val="20"/>
          <w:szCs w:val="20"/>
          <w:color w:val="454546"/>
        </w:rPr>
        <w:t>Any product submitted to the FDA for marketing, including under a fast-track program, may be eligible for other types of FDA programs intended to expedite development and review, such as priority review, RMAT designation, and accelerated approval. Any product is eligible for priority review if it treats a serious or life-threatening condition and, if approved, would provide a significant improvement in safety and effectiveness compared to available therapies.</w:t>
      </w:r>
    </w:p>
    <w:p>
      <w:pPr>
        <w:spacing w:after="0" w:line="77"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 For accelerated approval, the FDA has the authority to specify conditions for post approval study requirements and can withdraw a product on an expedited basis for noncompliance with post-approval requirements.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454546"/>
        </w:rPr>
        <w:t>Abbreviated Licensure Pathway of Biological Products as Biosimilars or Interchangeable Biosimilars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94" w:lineRule="exact"/>
        <w:rPr>
          <w:sz w:val="20"/>
          <w:szCs w:val="20"/>
          <w:color w:val="auto"/>
        </w:rPr>
      </w:pPr>
    </w:p>
    <w:p>
      <w:pPr>
        <w:ind w:left="980" w:right="160" w:hanging="490"/>
        <w:spacing w:after="0" w:line="276" w:lineRule="auto"/>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Analytical studies demonstrating that the proposed biosimilar product is highly similar to the approved product notwithstanding minor differences in clinically inactive components;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Animal studies (including the assessment of toxicity); and</w:t>
      </w:r>
    </w:p>
    <w:p>
      <w:pPr>
        <w:spacing w:after="0" w:line="133" w:lineRule="exact"/>
        <w:rPr>
          <w:rFonts w:ascii="Arial" w:cs="Arial" w:eastAsia="Arial" w:hAnsi="Arial"/>
          <w:sz w:val="20"/>
          <w:szCs w:val="20"/>
          <w:color w:val="454546"/>
        </w:rPr>
      </w:pPr>
    </w:p>
    <w:p>
      <w:pPr>
        <w:ind w:left="980" w:right="280" w:hanging="490"/>
        <w:spacing w:after="0" w:line="258" w:lineRule="auto"/>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In addition, an application must include information demonstrating that:</w:t>
      </w:r>
    </w:p>
    <w:p>
      <w:pPr>
        <w:spacing w:after="0" w:line="134" w:lineRule="exact"/>
        <w:rPr>
          <w:sz w:val="20"/>
          <w:szCs w:val="20"/>
          <w:color w:val="auto"/>
        </w:rPr>
      </w:pPr>
    </w:p>
    <w:p>
      <w:pPr>
        <w:ind w:left="980" w:right="360" w:hanging="490"/>
        <w:spacing w:after="0" w:line="258"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81" w:lineRule="exact"/>
        <w:rPr>
          <w:rFonts w:ascii="Arial" w:cs="Arial" w:eastAsia="Arial" w:hAnsi="Arial"/>
          <w:sz w:val="20"/>
          <w:szCs w:val="20"/>
          <w:color w:val="454546"/>
        </w:rPr>
      </w:pPr>
    </w:p>
    <w:p>
      <w:pPr>
        <w:ind w:left="980" w:right="680" w:hanging="490"/>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condition or conditions of use prescribed, recommended or suggested in the labeling for the proposed biosimilar product have been previously approved for the reference product;</w:t>
      </w:r>
    </w:p>
    <w:p>
      <w:pPr>
        <w:spacing w:after="0" w:line="64" w:lineRule="exact"/>
        <w:rPr>
          <w:rFonts w:ascii="Arial" w:cs="Arial" w:eastAsia="Arial" w:hAnsi="Arial"/>
          <w:sz w:val="20"/>
          <w:szCs w:val="20"/>
          <w:color w:val="454546"/>
        </w:rPr>
      </w:pPr>
    </w:p>
    <w:p>
      <w:pPr>
        <w:ind w:left="980" w:right="60" w:hanging="490"/>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The route of administration, the dosage form and the strength of the proposed biosimilar product are the same as those for the reference product; and</w:t>
      </w:r>
    </w:p>
    <w:p>
      <w:pPr>
        <w:spacing w:after="0" w:line="64" w:lineRule="exact"/>
        <w:rPr>
          <w:rFonts w:ascii="Arial" w:cs="Arial" w:eastAsia="Arial" w:hAnsi="Arial"/>
          <w:sz w:val="20"/>
          <w:szCs w:val="20"/>
          <w:color w:val="454546"/>
        </w:rPr>
      </w:pPr>
    </w:p>
    <w:p>
      <w:pPr>
        <w:ind w:left="980" w:right="80" w:hanging="490"/>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The facility in which the biological product is manufactured, processed, packed or held meets standards designed to assure that the biological product continues to be safe, pure and potent.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29</w:t>
      </w:r>
    </w:p>
    <w:p>
      <w:pPr>
        <w:sectPr>
          <w:pgSz w:w="12240" w:h="15840" w:orient="portrait"/>
          <w:cols w:equalWidth="0" w:num="1">
            <w:col w:w="9360"/>
          </w:cols>
          <w:pgMar w:left="1440" w:top="1420" w:right="1440" w:bottom="175" w:gutter="0" w:footer="0" w:header="0"/>
          <w:type w:val="continuous"/>
        </w:sectPr>
      </w:pPr>
    </w:p>
    <w:bookmarkStart w:id="31" w:name="page32"/>
    <w:bookmarkEnd w:id="31"/>
    <w:p>
      <w:pPr>
        <w:ind w:right="100" w:firstLine="490"/>
        <w:spacing w:after="0" w:line="246" w:lineRule="auto"/>
        <w:rPr>
          <w:sz w:val="20"/>
          <w:szCs w:val="20"/>
          <w:color w:val="auto"/>
        </w:rPr>
      </w:pPr>
      <w:r>
        <w:rPr>
          <w:rFonts w:ascii="Times New Roman" w:cs="Times New Roman" w:eastAsia="Times New Roman" w:hAnsi="Times New Roman"/>
          <w:sz w:val="20"/>
          <w:szCs w:val="20"/>
          <w:color w:val="454546"/>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94" w:lineRule="exact"/>
        <w:rPr>
          <w:sz w:val="20"/>
          <w:szCs w:val="20"/>
          <w:color w:val="auto"/>
        </w:rPr>
      </w:pPr>
    </w:p>
    <w:p>
      <w:pPr>
        <w:ind w:left="980" w:hanging="490"/>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proposed product is biosimilar to the reference product;</w:t>
      </w:r>
    </w:p>
    <w:p>
      <w:pPr>
        <w:spacing w:after="0" w:line="133" w:lineRule="exact"/>
        <w:rPr>
          <w:rFonts w:ascii="Arial" w:cs="Arial" w:eastAsia="Arial" w:hAnsi="Arial"/>
          <w:sz w:val="20"/>
          <w:szCs w:val="20"/>
          <w:color w:val="454546"/>
        </w:rPr>
      </w:pPr>
    </w:p>
    <w:p>
      <w:pPr>
        <w:ind w:left="980" w:right="380" w:hanging="490"/>
        <w:spacing w:after="0" w:line="276" w:lineRule="auto"/>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proposed product is expected to produce the same clinical result as the reference product in any given patient; and</w:t>
      </w:r>
    </w:p>
    <w:p>
      <w:pPr>
        <w:spacing w:after="0" w:line="64" w:lineRule="exact"/>
        <w:rPr>
          <w:rFonts w:ascii="Arial" w:cs="Arial" w:eastAsia="Arial" w:hAnsi="Arial"/>
          <w:sz w:val="20"/>
          <w:szCs w:val="20"/>
          <w:color w:val="454546"/>
        </w:rPr>
      </w:pPr>
    </w:p>
    <w:p>
      <w:pPr>
        <w:ind w:left="980" w:right="400" w:hanging="490"/>
        <w:spacing w:after="0" w:line="278" w:lineRule="auto"/>
        <w:tabs>
          <w:tab w:leader="none" w:pos="980" w:val="left"/>
        </w:tabs>
        <w:numPr>
          <w:ilvl w:val="0"/>
          <w:numId w:val="17"/>
        </w:numPr>
        <w:rPr>
          <w:rFonts w:ascii="Arial" w:cs="Arial" w:eastAsia="Arial" w:hAnsi="Arial"/>
          <w:sz w:val="19"/>
          <w:szCs w:val="19"/>
          <w:color w:val="454546"/>
        </w:rPr>
      </w:pPr>
      <w:r>
        <w:rPr>
          <w:rFonts w:ascii="Times New Roman" w:cs="Times New Roman" w:eastAsia="Times New Roman" w:hAnsi="Times New Roman"/>
          <w:sz w:val="19"/>
          <w:szCs w:val="19"/>
          <w:color w:val="454546"/>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5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6"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454546"/>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80" w:lineRule="exact"/>
        <w:rPr>
          <w:sz w:val="20"/>
          <w:szCs w:val="20"/>
          <w:color w:val="auto"/>
        </w:rPr>
      </w:pPr>
    </w:p>
    <w:p>
      <w:pPr>
        <w:jc w:val="both"/>
        <w:ind w:right="120" w:firstLine="490"/>
        <w:spacing w:after="0" w:line="249" w:lineRule="auto"/>
        <w:rPr>
          <w:sz w:val="20"/>
          <w:szCs w:val="20"/>
          <w:color w:val="auto"/>
        </w:rPr>
      </w:pPr>
      <w:r>
        <w:rPr>
          <w:rFonts w:ascii="Times New Roman" w:cs="Times New Roman" w:eastAsia="Times New Roman" w:hAnsi="Times New Roman"/>
          <w:sz w:val="20"/>
          <w:szCs w:val="20"/>
          <w:color w:val="454546"/>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w:t>
      </w:r>
    </w:p>
    <w:p>
      <w:pPr>
        <w:spacing w:after="0" w:line="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454546"/>
        </w:rPr>
        <w:t>The FDA cannot approve a biosimilar application for twelve years from the date of first licensure of the reference product.</w:t>
      </w:r>
    </w:p>
    <w:p>
      <w:pPr>
        <w:spacing w:after="0" w:line="7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82"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The first biological product determined to be interchangeable with a branded product for any condition of use is also entitled to a period of exclusivity, during which time the FDA may not determine that another product is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30</w:t>
      </w:r>
    </w:p>
    <w:p>
      <w:pPr>
        <w:sectPr>
          <w:pgSz w:w="12240" w:h="15840" w:orient="portrait"/>
          <w:cols w:equalWidth="0" w:num="1">
            <w:col w:w="9360"/>
          </w:cols>
          <w:pgMar w:left="1440" w:top="1420" w:right="1440" w:bottom="175" w:gutter="0" w:footer="0" w:header="0"/>
          <w:type w:val="continuous"/>
        </w:sectPr>
      </w:pPr>
    </w:p>
    <w:bookmarkStart w:id="32" w:name="page33"/>
    <w:bookmarkEnd w:id="32"/>
    <w:p>
      <w:pPr>
        <w:ind w:right="40"/>
        <w:spacing w:after="0" w:line="245" w:lineRule="auto"/>
        <w:rPr>
          <w:sz w:val="20"/>
          <w:szCs w:val="20"/>
          <w:color w:val="auto"/>
        </w:rPr>
      </w:pPr>
      <w:r>
        <w:rPr>
          <w:rFonts w:ascii="Times New Roman" w:cs="Times New Roman" w:eastAsia="Times New Roman" w:hAnsi="Times New Roman"/>
          <w:sz w:val="20"/>
          <w:szCs w:val="20"/>
          <w:color w:val="454546"/>
        </w:rPr>
        <w:t>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Abbreviated NDA Pathway for Generic Drug Products</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active pharmaceutical ingredients (API), drug product formulation, specifications, stability, analytical methods, manufacturing process validation data, QC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Post-Approval Requirements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82"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454546"/>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980" w:right="20" w:hanging="490"/>
        <w:spacing w:after="0" w:line="276" w:lineRule="auto"/>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Warning letters, or holds on post-approval clinical studies;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31</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left="980" w:hanging="490"/>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Refusal of the FDA to approve pending applications or supplements to approved applications;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Applications, or suspension or revocation of product license approvals;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 seizure or detention, or refusal to permit the import or export of products; or</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Injunctions or the imposition of civil or criminal penalties.</w:t>
      </w:r>
    </w:p>
    <w:p>
      <w:pPr>
        <w:spacing w:after="0" w:line="119"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 label uses, and a company that is found to have improperly promoted off-label uses may be subject to significant liability.</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FDA Regulation of Combination Biologic-Medical Device Products</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92" w:lineRule="exact"/>
        <w:rPr>
          <w:sz w:val="20"/>
          <w:szCs w:val="20"/>
          <w:color w:val="auto"/>
        </w:rPr>
      </w:pPr>
    </w:p>
    <w:p>
      <w:pPr>
        <w:ind w:right="260" w:firstLine="490"/>
        <w:spacing w:after="0" w:line="243" w:lineRule="auto"/>
        <w:rPr>
          <w:sz w:val="20"/>
          <w:szCs w:val="20"/>
          <w:color w:val="auto"/>
        </w:rPr>
      </w:pPr>
      <w:r>
        <w:rPr>
          <w:rFonts w:ascii="Times New Roman" w:cs="Times New Roman" w:eastAsia="Times New Roman" w:hAnsi="Times New Roman"/>
          <w:sz w:val="20"/>
          <w:szCs w:val="20"/>
          <w:color w:val="454546"/>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(CBER)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Regulations (QSR) applicable to medical devices. Further, in February 2024, the FDA issued a final rule replacing the QSR with the Quality Management System Regulation (QMSR) which incorporates by reference the quality management system requirements of ISO 13485:2016. The FDA has stated that the standards contained in ISO 13485:216 are substantially similar to those set forth in the existing QSR. This final rule went into effect on February 2, 2026.</w:t>
      </w:r>
    </w:p>
    <w:p>
      <w:pPr>
        <w:spacing w:after="0" w:line="8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We may develop one or more of our biologic product candidates in combination with a novel delivery medical device.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510(k) clearance process</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 Application (PMA). The FDA’s 510(k) clearance process may take three to twelve months from the date the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32</w:t>
      </w:r>
    </w:p>
    <w:p>
      <w:pPr>
        <w:sectPr>
          <w:pgSz w:w="12240" w:h="15840" w:orient="portrait"/>
          <w:cols w:equalWidth="0" w:num="1">
            <w:col w:w="9360"/>
          </w:cols>
          <w:pgMar w:left="1440" w:top="1434" w:right="1440" w:bottom="175" w:gutter="0" w:footer="0" w:header="0"/>
          <w:type w:val="continuous"/>
        </w:sectPr>
      </w:pPr>
    </w:p>
    <w:bookmarkStart w:id="34" w:name="page35"/>
    <w:bookmarkEnd w:id="34"/>
    <w:p>
      <w:pPr>
        <w:ind w:right="40"/>
        <w:spacing w:after="0" w:line="270" w:lineRule="auto"/>
        <w:rPr>
          <w:sz w:val="20"/>
          <w:szCs w:val="20"/>
          <w:color w:val="auto"/>
        </w:rPr>
      </w:pPr>
      <w:r>
        <w:rPr>
          <w:rFonts w:ascii="Times New Roman" w:cs="Times New Roman" w:eastAsia="Times New Roman" w:hAnsi="Times New Roman"/>
          <w:sz w:val="19"/>
          <w:szCs w:val="19"/>
          <w:color w:val="454546"/>
        </w:rPr>
        <w:t>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57"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De novo classification process</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PMA approval process</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QMSR, which imposes extensive testing, control, documentation, and other Quality Assurance and GMP requirements.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Other U.S. Regulatory Matters</w:t>
      </w:r>
    </w:p>
    <w:p>
      <w:pPr>
        <w:spacing w:after="0" w:line="120"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19"/>
          <w:szCs w:val="19"/>
          <w:color w:val="454546"/>
        </w:rPr>
        <w:t>Manufacturing, sales, promotion and other activities following product approval are also subject to regulation by numerous regulatory authorities in the United States in addition to the FDA, including the Centers for Medicare</w:t>
      </w:r>
    </w:p>
    <w:p>
      <w:pPr>
        <w:ind w:right="600"/>
        <w:spacing w:after="0" w:line="242" w:lineRule="auto"/>
        <w:tabs>
          <w:tab w:leader="none" w:pos="206"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Medicaid Services (CMS), other divisions of the Department of Health and Human Services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84"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19"/>
          <w:szCs w:val="19"/>
          <w:color w:val="454546"/>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33</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right="40"/>
        <w:spacing w:after="0" w:line="277" w:lineRule="auto"/>
        <w:rPr>
          <w:sz w:val="20"/>
          <w:szCs w:val="20"/>
          <w:color w:val="auto"/>
        </w:rPr>
      </w:pPr>
      <w:r>
        <w:rPr>
          <w:rFonts w:ascii="Times New Roman" w:cs="Times New Roman" w:eastAsia="Times New Roman" w:hAnsi="Times New Roman"/>
          <w:sz w:val="20"/>
          <w:szCs w:val="20"/>
          <w:color w:val="454546"/>
        </w:rPr>
        <w:t>resulting from a violation of the federal Anti-Kickback Statute constitutes a false or fraudulent claim for purposes of the False Claims Act.</w:t>
      </w:r>
    </w:p>
    <w:p>
      <w:pPr>
        <w:spacing w:after="0" w:line="4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454546"/>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 failure to comply with any of these laws or regulatory requirements subjects firms to possible legal or regulatory action, including fines, penalties, injunctions, requests for recall, and exclusion from participating in government programs. Any action against us for violation of these laws, even if we successfully defend against it, could cause us to incur significant legal expenses and divert our management’s attention from the operation of our business. Changes in regulations, statutes or the interpretation of existing regulations could impact our business and increase our exposure to additional liabilities. For more information, see “</w:t>
      </w:r>
      <w:r>
        <w:rPr>
          <w:rFonts w:ascii="Times New Roman" w:cs="Times New Roman" w:eastAsia="Times New Roman" w:hAnsi="Times New Roman"/>
          <w:sz w:val="20"/>
          <w:szCs w:val="20"/>
          <w:i w:val="1"/>
          <w:iCs w:val="1"/>
          <w:color w:val="454546"/>
        </w:rPr>
        <w:t>Risk Factors— Risks Related to</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Regulatory Approval and Other Legal Compliance Matters</w:t>
      </w:r>
      <w:r>
        <w:rPr>
          <w:rFonts w:ascii="Times New Roman" w:cs="Times New Roman" w:eastAsia="Times New Roman" w:hAnsi="Times New Roman"/>
          <w:sz w:val="20"/>
          <w:szCs w:val="20"/>
          <w:color w:val="454546"/>
        </w:rPr>
        <w: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 Data Privacy and Security Laws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In the United States, a broad variety of laws, rules, regulations and standards relating to privacy, data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protection and security may apply to our activities, such as state data breach notification laws, state personal data</w:t>
      </w:r>
    </w:p>
    <w:p>
      <w:pPr>
        <w:spacing w:after="0"/>
        <w:rPr>
          <w:sz w:val="20"/>
          <w:szCs w:val="20"/>
          <w:color w:val="auto"/>
        </w:rPr>
      </w:pPr>
      <w:r>
        <w:rPr>
          <w:rFonts w:ascii="Times New Roman" w:cs="Times New Roman" w:eastAsia="Times New Roman" w:hAnsi="Times New Roman"/>
          <w:sz w:val="20"/>
          <w:szCs w:val="20"/>
          <w:color w:val="454546"/>
        </w:rPr>
        <w:t>privacy laws (for example, the California Consumer Privacy Act of 2018, as amended by the California Privacy</w:t>
      </w:r>
    </w:p>
    <w:p>
      <w:pPr>
        <w:spacing w:after="0"/>
        <w:rPr>
          <w:sz w:val="20"/>
          <w:szCs w:val="20"/>
          <w:color w:val="auto"/>
        </w:rPr>
      </w:pPr>
      <w:r>
        <w:rPr>
          <w:rFonts w:ascii="Times New Roman" w:cs="Times New Roman" w:eastAsia="Times New Roman" w:hAnsi="Times New Roman"/>
          <w:sz w:val="20"/>
          <w:szCs w:val="20"/>
          <w:color w:val="454546"/>
        </w:rPr>
        <w:t>Rights Act (CCPA)), state health information privacy laws, and federal and state consumer protection laws. The</w:t>
      </w:r>
    </w:p>
    <w:p>
      <w:pPr>
        <w:spacing w:after="0"/>
        <w:rPr>
          <w:sz w:val="20"/>
          <w:szCs w:val="20"/>
          <w:color w:val="auto"/>
        </w:rPr>
      </w:pPr>
      <w:r>
        <w:rPr>
          <w:rFonts w:ascii="Times New Roman" w:cs="Times New Roman" w:eastAsia="Times New Roman" w:hAnsi="Times New Roman"/>
          <w:sz w:val="20"/>
          <w:szCs w:val="20"/>
          <w:color w:val="454546"/>
        </w:rPr>
        <w:t>CCPA requires covered businesses that process personal information of California residents to disclose their data</w:t>
      </w:r>
    </w:p>
    <w:p>
      <w:pPr>
        <w:spacing w:after="0"/>
        <w:rPr>
          <w:sz w:val="20"/>
          <w:szCs w:val="20"/>
          <w:color w:val="auto"/>
        </w:rPr>
      </w:pPr>
      <w:r>
        <w:rPr>
          <w:rFonts w:ascii="Times New Roman" w:cs="Times New Roman" w:eastAsia="Times New Roman" w:hAnsi="Times New Roman"/>
          <w:sz w:val="20"/>
          <w:szCs w:val="20"/>
          <w:color w:val="454546"/>
        </w:rPr>
        <w:t>collection, use, sharing and retention practices, provides California residents with data privacy rights (including the</w:t>
      </w:r>
    </w:p>
    <w:p>
      <w:pPr>
        <w:spacing w:after="0"/>
        <w:rPr>
          <w:sz w:val="20"/>
          <w:szCs w:val="20"/>
          <w:color w:val="auto"/>
        </w:rPr>
      </w:pPr>
      <w:r>
        <w:rPr>
          <w:rFonts w:ascii="Times New Roman" w:cs="Times New Roman" w:eastAsia="Times New Roman" w:hAnsi="Times New Roman"/>
          <w:sz w:val="20"/>
          <w:szCs w:val="20"/>
          <w:color w:val="454546"/>
        </w:rPr>
        <w:t>ability to opt out of certain disclosures of personal information including for certain advertising purposes), imposes</w:t>
      </w:r>
    </w:p>
    <w:p>
      <w:pPr>
        <w:spacing w:after="0"/>
        <w:rPr>
          <w:sz w:val="20"/>
          <w:szCs w:val="20"/>
          <w:color w:val="auto"/>
        </w:rPr>
      </w:pPr>
      <w:r>
        <w:rPr>
          <w:rFonts w:ascii="Times New Roman" w:cs="Times New Roman" w:eastAsia="Times New Roman" w:hAnsi="Times New Roman"/>
          <w:sz w:val="20"/>
          <w:szCs w:val="20"/>
          <w:color w:val="454546"/>
        </w:rPr>
        <w:t>operational requirements for covered businesses, provides for significant civil penalties for violations as well as a</w:t>
      </w:r>
    </w:p>
    <w:p>
      <w:pPr>
        <w:spacing w:after="0"/>
        <w:rPr>
          <w:sz w:val="20"/>
          <w:szCs w:val="20"/>
          <w:color w:val="auto"/>
        </w:rPr>
      </w:pPr>
      <w:r>
        <w:rPr>
          <w:rFonts w:ascii="Times New Roman" w:cs="Times New Roman" w:eastAsia="Times New Roman" w:hAnsi="Times New Roman"/>
          <w:sz w:val="20"/>
          <w:szCs w:val="20"/>
          <w:color w:val="454546"/>
        </w:rPr>
        <w:t>private right of action for certain data breaches and statutory damages. Aspects of the CCPA and its interpretation</w:t>
      </w:r>
    </w:p>
    <w:p>
      <w:pPr>
        <w:spacing w:after="0"/>
        <w:rPr>
          <w:sz w:val="20"/>
          <w:szCs w:val="20"/>
          <w:color w:val="auto"/>
        </w:rPr>
      </w:pPr>
      <w:r>
        <w:rPr>
          <w:rFonts w:ascii="Times New Roman" w:cs="Times New Roman" w:eastAsia="Times New Roman" w:hAnsi="Times New Roman"/>
          <w:sz w:val="20"/>
          <w:szCs w:val="20"/>
          <w:color w:val="454546"/>
        </w:rPr>
        <w:t>and enforcement remain uncertain. Although there are limited exemptions for clinical trial data under the CCPA, the</w:t>
      </w:r>
    </w:p>
    <w:p>
      <w:pPr>
        <w:spacing w:after="0"/>
        <w:rPr>
          <w:sz w:val="20"/>
          <w:szCs w:val="20"/>
          <w:color w:val="auto"/>
        </w:rPr>
      </w:pPr>
      <w:r>
        <w:rPr>
          <w:rFonts w:ascii="Times New Roman" w:cs="Times New Roman" w:eastAsia="Times New Roman" w:hAnsi="Times New Roman"/>
          <w:sz w:val="20"/>
          <w:szCs w:val="20"/>
          <w:color w:val="454546"/>
        </w:rPr>
        <w:t>CCPA and other similar laws could impact our business activities, depending on their interpretation. Other states</w:t>
      </w:r>
    </w:p>
    <w:p>
      <w:pPr>
        <w:spacing w:after="0"/>
        <w:rPr>
          <w:sz w:val="20"/>
          <w:szCs w:val="20"/>
          <w:color w:val="auto"/>
        </w:rPr>
      </w:pPr>
      <w:r>
        <w:rPr>
          <w:rFonts w:ascii="Times New Roman" w:cs="Times New Roman" w:eastAsia="Times New Roman" w:hAnsi="Times New Roman"/>
          <w:sz w:val="20"/>
          <w:szCs w:val="20"/>
          <w:color w:val="454546"/>
        </w:rPr>
        <w:t>have enacted laws similar to the CCPA, and other state legislatures are currently considering, and may pass, their</w:t>
      </w:r>
    </w:p>
    <w:p>
      <w:pPr>
        <w:spacing w:after="0"/>
        <w:rPr>
          <w:sz w:val="20"/>
          <w:szCs w:val="20"/>
          <w:color w:val="auto"/>
        </w:rPr>
      </w:pPr>
      <w:r>
        <w:rPr>
          <w:rFonts w:ascii="Times New Roman" w:cs="Times New Roman" w:eastAsia="Times New Roman" w:hAnsi="Times New Roman"/>
          <w:sz w:val="20"/>
          <w:szCs w:val="20"/>
          <w:color w:val="454546"/>
        </w:rPr>
        <w:t>own comprehensive data privacy and security laws, with potentially greater penalties and more rigorous compliance</w:t>
      </w:r>
    </w:p>
    <w:p>
      <w:pPr>
        <w:spacing w:after="0"/>
        <w:rPr>
          <w:sz w:val="20"/>
          <w:szCs w:val="20"/>
          <w:color w:val="auto"/>
        </w:rPr>
      </w:pPr>
      <w:r>
        <w:rPr>
          <w:rFonts w:ascii="Times New Roman" w:cs="Times New Roman" w:eastAsia="Times New Roman" w:hAnsi="Times New Roman"/>
          <w:sz w:val="20"/>
          <w:szCs w:val="20"/>
          <w:color w:val="454546"/>
        </w:rPr>
        <w:t>requirements, and laws in all 50 states require businesses, in certain cases, to provide notice to customers whose</w:t>
      </w:r>
    </w:p>
    <w:p>
      <w:pPr>
        <w:spacing w:after="0"/>
        <w:rPr>
          <w:sz w:val="20"/>
          <w:szCs w:val="20"/>
          <w:color w:val="auto"/>
        </w:rPr>
      </w:pPr>
      <w:r>
        <w:rPr>
          <w:rFonts w:ascii="Times New Roman" w:cs="Times New Roman" w:eastAsia="Times New Roman" w:hAnsi="Times New Roman"/>
          <w:sz w:val="20"/>
          <w:szCs w:val="20"/>
          <w:color w:val="454546"/>
        </w:rPr>
        <w:t>personal data has been disclosed as a result of a data breach. We will continue to monitor and assess the impact of</w:t>
      </w:r>
    </w:p>
    <w:p>
      <w:pPr>
        <w:spacing w:after="0"/>
        <w:rPr>
          <w:sz w:val="20"/>
          <w:szCs w:val="20"/>
          <w:color w:val="auto"/>
        </w:rPr>
      </w:pPr>
      <w:r>
        <w:rPr>
          <w:rFonts w:ascii="Times New Roman" w:cs="Times New Roman" w:eastAsia="Times New Roman" w:hAnsi="Times New Roman"/>
          <w:sz w:val="20"/>
          <w:szCs w:val="20"/>
          <w:color w:val="454546"/>
        </w:rPr>
        <w:t>these state laws, which may impose substantial penalties for violations, impose significant costs for investigation</w:t>
      </w:r>
    </w:p>
    <w:p>
      <w:pPr>
        <w:spacing w:after="0"/>
        <w:rPr>
          <w:sz w:val="20"/>
          <w:szCs w:val="20"/>
          <w:color w:val="auto"/>
        </w:rPr>
      </w:pPr>
      <w:r>
        <w:rPr>
          <w:rFonts w:ascii="Times New Roman" w:cs="Times New Roman" w:eastAsia="Times New Roman" w:hAnsi="Times New Roman"/>
          <w:sz w:val="20"/>
          <w:szCs w:val="20"/>
          <w:color w:val="454546"/>
        </w:rPr>
        <w:t>and compliance, allow private class-action litigation and carry significant potential liability for our business. For</w:t>
      </w:r>
    </w:p>
    <w:p>
      <w:pPr>
        <w:spacing w:after="0"/>
        <w:rPr>
          <w:sz w:val="20"/>
          <w:szCs w:val="20"/>
          <w:color w:val="auto"/>
        </w:rPr>
      </w:pPr>
      <w:r>
        <w:rPr>
          <w:rFonts w:ascii="Times New Roman" w:cs="Times New Roman" w:eastAsia="Times New Roman" w:hAnsi="Times New Roman"/>
          <w:sz w:val="20"/>
          <w:szCs w:val="20"/>
          <w:color w:val="454546"/>
        </w:rPr>
        <w:t>more information, see “</w:t>
      </w:r>
      <w:r>
        <w:rPr>
          <w:rFonts w:ascii="Times New Roman" w:cs="Times New Roman" w:eastAsia="Times New Roman" w:hAnsi="Times New Roman"/>
          <w:sz w:val="20"/>
          <w:szCs w:val="20"/>
          <w:i w:val="1"/>
          <w:iCs w:val="1"/>
          <w:color w:val="454546"/>
        </w:rPr>
        <w:t>Risk Factors— Risks Related to Regulatory Approval and Other Legal Compliance</w:t>
      </w:r>
    </w:p>
    <w:p>
      <w:pPr>
        <w:spacing w:after="0"/>
        <w:rPr>
          <w:sz w:val="20"/>
          <w:szCs w:val="20"/>
          <w:color w:val="auto"/>
        </w:rPr>
      </w:pPr>
      <w:r>
        <w:rPr>
          <w:rFonts w:ascii="Times New Roman" w:cs="Times New Roman" w:eastAsia="Times New Roman" w:hAnsi="Times New Roman"/>
          <w:sz w:val="20"/>
          <w:szCs w:val="20"/>
          <w:i w:val="1"/>
          <w:iCs w:val="1"/>
          <w:color w:val="454546"/>
        </w:rPr>
        <w:t>Matters.</w:t>
      </w:r>
      <w:r>
        <w:rPr>
          <w:rFonts w:ascii="Times New Roman" w:cs="Times New Roman" w:eastAsia="Times New Roman" w:hAnsi="Times New Roman"/>
          <w:sz w:val="20"/>
          <w:szCs w:val="20"/>
          <w:color w:val="454546"/>
        </w:rPr>
        <w:t>” We are subject to stringent laws, rules, regulations, policies, industry standards and contractual obligations</w:t>
      </w:r>
    </w:p>
    <w:p>
      <w:pPr>
        <w:spacing w:after="0"/>
        <w:rPr>
          <w:sz w:val="20"/>
          <w:szCs w:val="20"/>
          <w:color w:val="auto"/>
        </w:rPr>
      </w:pPr>
      <w:r>
        <w:rPr>
          <w:rFonts w:ascii="Times New Roman" w:cs="Times New Roman" w:eastAsia="Times New Roman" w:hAnsi="Times New Roman"/>
          <w:sz w:val="20"/>
          <w:szCs w:val="20"/>
          <w:color w:val="454546"/>
        </w:rPr>
        <w:t>regarding data privacy and security and may be subject to additional laws and regulations in jurisdictions into which</w:t>
      </w:r>
    </w:p>
    <w:p>
      <w:pPr>
        <w:spacing w:after="0"/>
        <w:rPr>
          <w:sz w:val="20"/>
          <w:szCs w:val="20"/>
          <w:color w:val="auto"/>
        </w:rPr>
      </w:pPr>
      <w:r>
        <w:rPr>
          <w:rFonts w:ascii="Times New Roman" w:cs="Times New Roman" w:eastAsia="Times New Roman" w:hAnsi="Times New Roman"/>
          <w:sz w:val="20"/>
          <w:szCs w:val="20"/>
          <w:color w:val="454546"/>
        </w:rPr>
        <w:t>we expand. Many of these laws and regulations are subject to change and reinterpretation and could result in claims,</w:t>
      </w:r>
    </w:p>
    <w:p>
      <w:pPr>
        <w:spacing w:after="0"/>
        <w:rPr>
          <w:sz w:val="20"/>
          <w:szCs w:val="20"/>
          <w:color w:val="auto"/>
        </w:rPr>
      </w:pPr>
      <w:r>
        <w:rPr>
          <w:rFonts w:ascii="Times New Roman" w:cs="Times New Roman" w:eastAsia="Times New Roman" w:hAnsi="Times New Roman"/>
          <w:sz w:val="20"/>
          <w:szCs w:val="20"/>
          <w:color w:val="454546"/>
        </w:rPr>
        <w:t>changes to our business practices, monetary penalties, increased cost of operations or other harm to our business.</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 Patent-Term Restoration and Marketing Exclusivity</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34</w:t>
      </w:r>
    </w:p>
    <w:p>
      <w:pPr>
        <w:sectPr>
          <w:pgSz w:w="12240" w:h="15840" w:orient="portrait"/>
          <w:cols w:equalWidth="0" w:num="1">
            <w:col w:w="9360"/>
          </w:cols>
          <w:pgMar w:left="1440" w:top="1420" w:right="1440" w:bottom="175" w:gutter="0" w:footer="0" w:header="0"/>
          <w:type w:val="continuous"/>
        </w:sectPr>
      </w:pPr>
    </w:p>
    <w:bookmarkStart w:id="36" w:name="page37"/>
    <w:bookmarkEnd w:id="36"/>
    <w:p>
      <w:pPr>
        <w:ind w:right="40"/>
        <w:spacing w:after="0" w:line="246" w:lineRule="auto"/>
        <w:rPr>
          <w:sz w:val="20"/>
          <w:szCs w:val="20"/>
          <w:color w:val="auto"/>
        </w:rPr>
      </w:pPr>
      <w:r>
        <w:rPr>
          <w:rFonts w:ascii="Times New Roman" w:cs="Times New Roman" w:eastAsia="Times New Roman" w:hAnsi="Times New Roman"/>
          <w:sz w:val="20"/>
          <w:szCs w:val="20"/>
          <w:color w:val="454546"/>
        </w:rPr>
        <w:t>submitted prior to the expiration of the patent. The United States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8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9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European Union Drug Development</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 Clinical Trials Regulation EU No 536/2014 (the Regulation) repealed the Clinical Trials Directive No. 2001/20/EC on January 31, 2022, which harmonizes the processes for assessment and supervision of clinical trials throughout the European Union. Under the Regulation, clinical trial sponsors can use the Clinical Trials Information System (CTIS) from January 31, 2022, but are not required to use it immediately, in line with a three-year transition period. CTIS publishes certain clinical trial information on a searchable public website and supports the flow of information and interactions between clinical trial sponsors and regulatory authorities in European Union Member States, European Economic Area countries, and the EC.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35</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EU Drug Review and Approval</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454546"/>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MAs:</w:t>
      </w:r>
    </w:p>
    <w:p>
      <w:pPr>
        <w:spacing w:after="0" w:line="83" w:lineRule="exact"/>
        <w:rPr>
          <w:sz w:val="20"/>
          <w:szCs w:val="20"/>
          <w:color w:val="auto"/>
        </w:rPr>
      </w:pPr>
    </w:p>
    <w:p>
      <w:pPr>
        <w:ind w:left="980" w:right="40" w:hanging="490"/>
        <w:spacing w:after="0" w:line="244"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Community MA is issued by the EC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95" w:lineRule="exact"/>
        <w:rPr>
          <w:rFonts w:ascii="Arial" w:cs="Arial" w:eastAsia="Arial" w:hAnsi="Arial"/>
          <w:sz w:val="20"/>
          <w:szCs w:val="20"/>
          <w:color w:val="454546"/>
        </w:rPr>
      </w:pPr>
    </w:p>
    <w:p>
      <w:pPr>
        <w:ind w:left="980" w:hanging="490"/>
        <w:spacing w:after="0" w:line="242" w:lineRule="auto"/>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91"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Foreign Data Privacy and Security Laws</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Outside of the United States, we are subject to extensive legal requirements relating to privacy, data protection, security and the collection, use, transfer and other processing of personal data, and these requirements are continuing to evolve. For example, in the EU, the General Data Protection Regulation (GDPR) imposes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We are also subject to the UK GDPR, which implements the GDPR in the UK post-Brexit. Failure to comply with the GDPR or UK GDPR may result in fines up to €20,000,000 ( £17.5 million in the UK) or 4% of the total worldwide annual turnover of the preceding financial year, whichever is higher, and other administrative penalties. The GDPR and UK GDPR have increased our responsibility and liability in relation to personal data that we may process, and we may be required to implement additional measures in an effort to comply with the GDPR and UK GDPR and with other laws, rules and regulations in the EEA, United Kingdom (UK) and Switzerland relating to privacy and data protection. If our efforts to comply with GDPR and UK GDPR or other applicable foreign laws, rules and regulations are not successful, or are perceived to be unsuccessful, it could adversely affect our business. For more information, see “</w:t>
      </w:r>
      <w:r>
        <w:rPr>
          <w:rFonts w:ascii="Times New Roman" w:cs="Times New Roman" w:eastAsia="Times New Roman" w:hAnsi="Times New Roman"/>
          <w:sz w:val="20"/>
          <w:szCs w:val="20"/>
          <w:i w:val="1"/>
          <w:iCs w:val="1"/>
          <w:color w:val="454546"/>
        </w:rPr>
        <w:t>Risk Factors—Risks</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Related to Regulatory Approval and Other Legal Compliance Matters.</w:t>
      </w:r>
      <w:r>
        <w:rPr>
          <w:rFonts w:ascii="Times New Roman" w:cs="Times New Roman" w:eastAsia="Times New Roman" w:hAnsi="Times New Roman"/>
          <w:sz w:val="20"/>
          <w:szCs w:val="20"/>
          <w:color w:val="454546"/>
        </w:rPr>
        <w:t>” We are subject to stringent laws, rules,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regulations, policies, industry standards and contractual obligations regarding data privacy and security and may be subject to additional laws and regulations in jurisdictions into which we expand. Many of these laws and regulations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36</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right="340"/>
        <w:spacing w:after="0" w:line="277" w:lineRule="auto"/>
        <w:rPr>
          <w:sz w:val="20"/>
          <w:szCs w:val="20"/>
          <w:color w:val="auto"/>
        </w:rPr>
      </w:pPr>
      <w:r>
        <w:rPr>
          <w:rFonts w:ascii="Times New Roman" w:cs="Times New Roman" w:eastAsia="Times New Roman" w:hAnsi="Times New Roman"/>
          <w:sz w:val="20"/>
          <w:szCs w:val="20"/>
          <w:color w:val="454546"/>
        </w:rPr>
        <w:t>are subject to change and reinterpretation and could result in claims, changes to our business practices, monetary penalties, increased cost of operations or other harm to our business.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Coverage and Reimbursement</w:t>
      </w:r>
    </w:p>
    <w:p>
      <w:pPr>
        <w:spacing w:after="0" w:line="12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454546"/>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0"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454546"/>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6"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454546"/>
        </w:rPr>
        <w:t>The Medicaid Drug Rebate Program requires pharmaceutical manufacturers to enter into and have in effect a national rebate agreement with the Secretary of the Department of HHS as a condition for states to receive federal matching funds for the manufacturer’s outpatient drugs furnished to Medicaid patients. The ACA made several changes to the Medicaid Drug Rebate Program, including increasing pharmaceutical manufacturers’ rebate liability and requiring pharmaceutical manufacturers to pay rebates on Medicaid managed care utilization and enlarging the population potentially eligible for Medicaid drug benefits. The American Rescue Plan Act of 2021, beginning January 1, 2024,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 to, among other things, bring more transparency to product pricing, impose limitations on drug price increases and reform government program reimbursement methodologies for drug products. Changes in the leadership of the Department of HHS and various federal agencies under the new Trump administration may lead to new policies and regulatory changes that can increase our compliance costs and impact our operations.</w:t>
      </w:r>
    </w:p>
    <w:p>
      <w:pPr>
        <w:spacing w:after="0" w:line="92"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454546"/>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9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454546"/>
        </w:rPr>
        <w:t>For a drug product to receive federal reimbursement under the Medicaid or Medicare Part B programs, or to be sold directly to U.S. government agencies, the manufacturer must extend discounts to entities eligible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37</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right="80"/>
        <w:spacing w:after="0" w:line="277" w:lineRule="auto"/>
        <w:rPr>
          <w:sz w:val="20"/>
          <w:szCs w:val="20"/>
          <w:color w:val="auto"/>
        </w:rPr>
      </w:pPr>
      <w:r>
        <w:rPr>
          <w:rFonts w:ascii="Times New Roman" w:cs="Times New Roman" w:eastAsia="Times New Roman" w:hAnsi="Times New Roman"/>
          <w:sz w:val="20"/>
          <w:szCs w:val="20"/>
          <w:color w:val="454546"/>
        </w:rPr>
        <w:t>participate in the 340B drug pricing program. The required 340B discount on a given product is calculated based on the AMP and Medicaid rebate amounts reported by the manufacturer.</w:t>
      </w:r>
    </w:p>
    <w:p>
      <w:pPr>
        <w:spacing w:after="0" w:line="49"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454546"/>
        </w:rPr>
        <w:t>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such judicial challenges, legislative, executive, and administrative actions and any future healthcare measures and agency rules implemented by the new Trump administration on us and the pharmaceutical industry as a whole is unclear.</w:t>
      </w:r>
    </w:p>
    <w:p>
      <w:pPr>
        <w:spacing w:after="0" w:line="9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For more information, see “</w:t>
      </w:r>
      <w:r>
        <w:rPr>
          <w:rFonts w:ascii="Times New Roman" w:cs="Times New Roman" w:eastAsia="Times New Roman" w:hAnsi="Times New Roman"/>
          <w:sz w:val="20"/>
          <w:szCs w:val="20"/>
          <w:i w:val="1"/>
          <w:iCs w:val="1"/>
          <w:color w:val="454546"/>
        </w:rPr>
        <w:t>Risk Factors—Risks Related to Regulatory Approval and Other Legal Compliance Matters.</w:t>
      </w:r>
      <w:r>
        <w:rPr>
          <w:rFonts w:ascii="Times New Roman" w:cs="Times New Roman" w:eastAsia="Times New Roman" w:hAnsi="Times New Roman"/>
          <w:sz w:val="20"/>
          <w:szCs w:val="20"/>
          <w:color w:val="454546"/>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Human Capital Resources</w:t>
      </w:r>
    </w:p>
    <w:p>
      <w:pPr>
        <w:spacing w:after="0" w:line="12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As of December 31, 2025, we had 70 full-time employees. Of the full-time employees employed as of December 31, 2025, 52 engaged in research, development and technical operations. 24 of such employees hold Ph.D. or M.D. (or foreign equivalent) degrees and 10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w:t>
      </w:r>
    </w:p>
    <w:p>
      <w:pPr>
        <w:spacing w:after="0" w:line="80" w:lineRule="exact"/>
        <w:rPr>
          <w:sz w:val="20"/>
          <w:szCs w:val="20"/>
          <w:color w:val="auto"/>
        </w:rPr>
      </w:pPr>
    </w:p>
    <w:p>
      <w:pPr>
        <w:jc w:val="both"/>
        <w:ind w:right="120" w:firstLine="490"/>
        <w:spacing w:after="0" w:line="270" w:lineRule="auto"/>
        <w:rPr>
          <w:sz w:val="20"/>
          <w:szCs w:val="20"/>
          <w:color w:val="auto"/>
        </w:rPr>
      </w:pPr>
      <w:r>
        <w:rPr>
          <w:rFonts w:ascii="Times New Roman" w:cs="Times New Roman" w:eastAsia="Times New Roman" w:hAnsi="Times New Roman"/>
          <w:sz w:val="19"/>
          <w:szCs w:val="19"/>
          <w:color w:val="454546"/>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 -based compensation awards, in order to increase stockholder value and the success of our company by motivating such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38</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right="140"/>
        <w:spacing w:after="0" w:line="249" w:lineRule="auto"/>
        <w:rPr>
          <w:sz w:val="20"/>
          <w:szCs w:val="20"/>
          <w:color w:val="auto"/>
        </w:rPr>
      </w:pPr>
      <w:r>
        <w:rPr>
          <w:rFonts w:ascii="Times New Roman" w:cs="Times New Roman" w:eastAsia="Times New Roman" w:hAnsi="Times New Roman"/>
          <w:sz w:val="20"/>
          <w:szCs w:val="20"/>
          <w:color w:val="454546"/>
        </w:rPr>
        <w:t>individuals to perform to the best of their abilities and achieve our objectives. In addition, we provide a variety of programs and services to help employees meet and balance their needs at work, at home and in life, including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spacing w:after="0" w:line="7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2025, was approximately 60% non-white and 51%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spacing w:after="0" w:line="8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Our mission is to foster and create a unique culture where belonging and empowerment are at the forefront of our community. We advocate for diverse perspectives and encourage employees to be authentic, inclusive, and respectful to each other. We discourage behaviors that do not have a positive impact on our community or support our mission to discover, develop, and deliver curative therapies that target the underlying causes of heart disease.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Corporate Information</w:t>
      </w:r>
    </w:p>
    <w:p>
      <w:pPr>
        <w:spacing w:after="0" w:line="124" w:lineRule="exact"/>
        <w:rPr>
          <w:sz w:val="20"/>
          <w:szCs w:val="20"/>
          <w:color w:val="auto"/>
        </w:rPr>
      </w:pPr>
    </w:p>
    <w:p>
      <w:pPr>
        <w:ind w:right="160" w:firstLine="490"/>
        <w:spacing w:after="0" w:line="232" w:lineRule="auto"/>
        <w:rPr>
          <w:sz w:val="20"/>
          <w:szCs w:val="20"/>
          <w:color w:val="auto"/>
        </w:rPr>
      </w:pPr>
      <w:r>
        <w:rPr>
          <w:rFonts w:ascii="Times New Roman" w:cs="Times New Roman" w:eastAsia="Times New Roman" w:hAnsi="Times New Roman"/>
          <w:sz w:val="20"/>
          <w:szCs w:val="20"/>
          <w:color w:val="454546"/>
        </w:rPr>
        <w:t>We were incorporated in Delaware in August 2016. Our principal executive offices are located at 171 Oyster Point Boulevard, 5</w:t>
      </w:r>
      <w:r>
        <w:rPr>
          <w:rFonts w:ascii="Times New Roman" w:cs="Times New Roman" w:eastAsia="Times New Roman" w:hAnsi="Times New Roman"/>
          <w:sz w:val="26"/>
          <w:szCs w:val="26"/>
          <w:color w:val="454546"/>
          <w:vertAlign w:val="superscript"/>
        </w:rPr>
        <w:t>th</w:t>
      </w:r>
      <w:r>
        <w:rPr>
          <w:rFonts w:ascii="Times New Roman" w:cs="Times New Roman" w:eastAsia="Times New Roman" w:hAnsi="Times New Roman"/>
          <w:sz w:val="20"/>
          <w:szCs w:val="20"/>
          <w:color w:val="454546"/>
        </w:rPr>
        <w:t xml:space="preserve"> Floor, South San Francisco, California 94080. Our telephone number is (650) 825-6990. We maintain a site on the worldwide web at www.tenayatherapeutics.com; however, information found on our website is not incorporated by reference into this report.</w:t>
      </w:r>
    </w:p>
    <w:p>
      <w:pPr>
        <w:spacing w:after="0" w:line="8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Investors and others should note that we may announce material information to the public through filings with the SEC, our website (www.tenayatherapeutics.com), press releases, public conference calls, and public webcasts. We use these channels, as well as social media, to communicate with the public about us, our product candidates and other matters. As such, investors, the media and others are encouraged to review the information disclosed through our social media and other channels listed above as such information could be deemed to be material information. Please note that this list may be updated from time to time.</w:t>
      </w:r>
    </w:p>
    <w:p>
      <w:pPr>
        <w:spacing w:after="0" w:line="8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39</w:t>
      </w:r>
    </w:p>
    <w:p>
      <w:pPr>
        <w:sectPr>
          <w:pgSz w:w="12240" w:h="15840" w:orient="portrait"/>
          <w:cols w:equalWidth="0" w:num="1">
            <w:col w:w="9360"/>
          </w:cols>
          <w:pgMar w:left="1440" w:top="1420" w:right="1440" w:bottom="175" w:gutter="0" w:footer="0" w:header="0"/>
          <w:type w:val="continuous"/>
        </w:sectPr>
      </w:pPr>
    </w:p>
    <w:bookmarkStart w:id="41" w:name="page42"/>
    <w:bookmarkEnd w:id="4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1A. Risk Factors</w:t>
      </w:r>
    </w:p>
    <w:p>
      <w:pPr>
        <w:spacing w:after="0" w:line="12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Investing in our common stock involves a high degree of risk. You should carefully consider the risks described below, as well as the other information in this annual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 Factors Summary</w:t>
      </w:r>
    </w:p>
    <w:p>
      <w:pPr>
        <w:spacing w:after="0" w:line="126" w:lineRule="exact"/>
        <w:rPr>
          <w:sz w:val="20"/>
          <w:szCs w:val="20"/>
          <w:color w:val="auto"/>
        </w:rPr>
      </w:pPr>
    </w:p>
    <w:p>
      <w:pPr>
        <w:ind w:right="400" w:firstLine="475"/>
        <w:spacing w:after="0" w:line="257" w:lineRule="auto"/>
        <w:rPr>
          <w:sz w:val="20"/>
          <w:szCs w:val="20"/>
          <w:color w:val="auto"/>
        </w:rPr>
      </w:pPr>
      <w:r>
        <w:rPr>
          <w:rFonts w:ascii="Times New Roman" w:cs="Times New Roman" w:eastAsia="Times New Roman" w:hAnsi="Times New Roman"/>
          <w:sz w:val="20"/>
          <w:szCs w:val="20"/>
          <w:i w:val="1"/>
          <w:iCs w:val="1"/>
          <w:color w:val="454546"/>
        </w:rPr>
        <w:t>Our ability to execute on our business strategy is subject to a number of risks and uncertainties, including those outside of our control, that could cause our actual results to be harmed, including risks regarding the following:</w:t>
      </w:r>
    </w:p>
    <w:p>
      <w:pPr>
        <w:spacing w:after="0" w:line="84" w:lineRule="exact"/>
        <w:rPr>
          <w:sz w:val="20"/>
          <w:szCs w:val="20"/>
          <w:color w:val="auto"/>
        </w:rPr>
      </w:pPr>
    </w:p>
    <w:p>
      <w:pPr>
        <w:ind w:left="980" w:right="120" w:hanging="490"/>
        <w:spacing w:after="0" w:line="258"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81" w:lineRule="exact"/>
        <w:rPr>
          <w:rFonts w:ascii="Arial" w:cs="Arial" w:eastAsia="Arial" w:hAnsi="Arial"/>
          <w:sz w:val="20"/>
          <w:szCs w:val="20"/>
          <w:color w:val="454546"/>
        </w:rPr>
      </w:pPr>
    </w:p>
    <w:p>
      <w:pPr>
        <w:ind w:left="980" w:right="580" w:hanging="490"/>
        <w:spacing w:after="0" w:line="276"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We have not generated any product revenue to date, have incurred significant net losses since our inception, and expect to continue to incur significant net losses for the foreseeable future.</w:t>
      </w:r>
    </w:p>
    <w:p>
      <w:pPr>
        <w:spacing w:after="0" w:line="64" w:lineRule="exact"/>
        <w:rPr>
          <w:rFonts w:ascii="Arial" w:cs="Arial" w:eastAsia="Arial" w:hAnsi="Arial"/>
          <w:sz w:val="20"/>
          <w:szCs w:val="20"/>
          <w:color w:val="454546"/>
        </w:rPr>
      </w:pPr>
    </w:p>
    <w:p>
      <w:pPr>
        <w:ind w:left="980" w:right="140" w:hanging="490"/>
        <w:spacing w:after="0" w:line="258"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generate revenue and achieve profitability depends significantly on our ability to achieve several objectives relating to the discovery, development and commercialization of our product candidates, if approved.</w:t>
      </w:r>
    </w:p>
    <w:p>
      <w:pPr>
        <w:spacing w:after="0" w:line="81" w:lineRule="exact"/>
        <w:rPr>
          <w:rFonts w:ascii="Arial" w:cs="Arial" w:eastAsia="Arial" w:hAnsi="Arial"/>
          <w:sz w:val="20"/>
          <w:szCs w:val="20"/>
          <w:color w:val="454546"/>
        </w:rPr>
      </w:pPr>
    </w:p>
    <w:p>
      <w:pPr>
        <w:ind w:left="980" w:right="120" w:hanging="490"/>
        <w:spacing w:after="0" w:line="249"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90" w:lineRule="exact"/>
        <w:rPr>
          <w:rFonts w:ascii="Arial" w:cs="Arial" w:eastAsia="Arial" w:hAnsi="Arial"/>
          <w:sz w:val="20"/>
          <w:szCs w:val="20"/>
          <w:color w:val="454546"/>
        </w:rPr>
      </w:pPr>
    </w:p>
    <w:p>
      <w:pPr>
        <w:ind w:left="980" w:right="80" w:hanging="490"/>
        <w:spacing w:after="0" w:line="252"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7" w:lineRule="exact"/>
        <w:rPr>
          <w:rFonts w:ascii="Arial" w:cs="Arial" w:eastAsia="Arial" w:hAnsi="Arial"/>
          <w:sz w:val="20"/>
          <w:szCs w:val="20"/>
          <w:color w:val="454546"/>
        </w:rPr>
      </w:pPr>
    </w:p>
    <w:p>
      <w:pPr>
        <w:ind w:left="980" w:right="240" w:hanging="490"/>
        <w:spacing w:after="0" w:line="252"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7" w:lineRule="exact"/>
        <w:rPr>
          <w:rFonts w:ascii="Arial" w:cs="Arial" w:eastAsia="Arial" w:hAnsi="Arial"/>
          <w:sz w:val="20"/>
          <w:szCs w:val="20"/>
          <w:color w:val="454546"/>
        </w:rPr>
      </w:pPr>
    </w:p>
    <w:p>
      <w:pPr>
        <w:ind w:left="980" w:right="20" w:hanging="490"/>
        <w:spacing w:after="0" w:line="276"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mechanisms of action of our product candidates are unproven, and we do not know whether we will be able to develop any drug of commercial value.</w:t>
      </w:r>
    </w:p>
    <w:p>
      <w:pPr>
        <w:spacing w:after="0" w:line="64" w:lineRule="exact"/>
        <w:rPr>
          <w:rFonts w:ascii="Arial" w:cs="Arial" w:eastAsia="Arial" w:hAnsi="Arial"/>
          <w:sz w:val="20"/>
          <w:szCs w:val="20"/>
          <w:color w:val="454546"/>
        </w:rPr>
      </w:pPr>
    </w:p>
    <w:p>
      <w:pPr>
        <w:ind w:left="980" w:right="40" w:hanging="490"/>
        <w:spacing w:after="0" w:line="247"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3" w:lineRule="exact"/>
        <w:rPr>
          <w:rFonts w:ascii="Arial" w:cs="Arial" w:eastAsia="Arial" w:hAnsi="Arial"/>
          <w:sz w:val="20"/>
          <w:szCs w:val="20"/>
          <w:color w:val="454546"/>
        </w:rPr>
      </w:pPr>
    </w:p>
    <w:p>
      <w:pPr>
        <w:ind w:left="980" w:hanging="490"/>
        <w:spacing w:after="0" w:line="247"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40</w:t>
      </w:r>
    </w:p>
    <w:p>
      <w:pPr>
        <w:sectPr>
          <w:pgSz w:w="12240" w:h="15840" w:orient="portrait"/>
          <w:cols w:equalWidth="0" w:num="1">
            <w:col w:w="9360"/>
          </w:cols>
          <w:pgMar w:left="1440" w:top="1440" w:right="1440" w:bottom="175" w:gutter="0" w:footer="0" w:header="0"/>
          <w:type w:val="continuous"/>
        </w:sectPr>
      </w:pPr>
    </w:p>
    <w:bookmarkStart w:id="42" w:name="page43"/>
    <w:bookmarkEnd w:id="42"/>
    <w:p>
      <w:pPr>
        <w:ind w:left="980" w:hanging="490"/>
        <w:spacing w:after="0" w:line="249"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0" w:lineRule="exact"/>
        <w:rPr>
          <w:rFonts w:ascii="Arial" w:cs="Arial" w:eastAsia="Arial" w:hAnsi="Arial"/>
          <w:sz w:val="20"/>
          <w:szCs w:val="20"/>
          <w:color w:val="454546"/>
        </w:rPr>
      </w:pPr>
    </w:p>
    <w:p>
      <w:pPr>
        <w:ind w:left="980" w:right="120" w:hanging="490"/>
        <w:spacing w:after="0" w:line="258"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81" w:lineRule="exact"/>
        <w:rPr>
          <w:rFonts w:ascii="Arial" w:cs="Arial" w:eastAsia="Arial" w:hAnsi="Arial"/>
          <w:sz w:val="20"/>
          <w:szCs w:val="20"/>
          <w:color w:val="454546"/>
        </w:rPr>
      </w:pPr>
    </w:p>
    <w:p>
      <w:pPr>
        <w:ind w:left="980" w:right="320" w:hanging="490"/>
        <w:spacing w:after="0" w:line="252"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7" w:lineRule="exact"/>
        <w:rPr>
          <w:rFonts w:ascii="Arial" w:cs="Arial" w:eastAsia="Arial" w:hAnsi="Arial"/>
          <w:sz w:val="20"/>
          <w:szCs w:val="20"/>
          <w:color w:val="454546"/>
        </w:rPr>
      </w:pPr>
    </w:p>
    <w:p>
      <w:pPr>
        <w:ind w:left="980" w:right="120" w:hanging="490"/>
        <w:spacing w:after="0" w:line="252"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7" w:lineRule="exact"/>
        <w:rPr>
          <w:rFonts w:ascii="Arial" w:cs="Arial" w:eastAsia="Arial" w:hAnsi="Arial"/>
          <w:sz w:val="20"/>
          <w:szCs w:val="20"/>
          <w:color w:val="454546"/>
        </w:rPr>
      </w:pPr>
    </w:p>
    <w:p>
      <w:pPr>
        <w:ind w:left="980" w:right="40" w:hanging="490"/>
        <w:spacing w:after="0" w:line="258"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commercial success depends significantly on our ability to operate without infringing, misappropriating or otherwise violating the patents and other intellectual property and proprietary rights of third parties.</w:t>
      </w:r>
    </w:p>
    <w:p>
      <w:pPr>
        <w:spacing w:after="0" w:line="81" w:lineRule="exact"/>
        <w:rPr>
          <w:rFonts w:ascii="Arial" w:cs="Arial" w:eastAsia="Arial" w:hAnsi="Arial"/>
          <w:sz w:val="20"/>
          <w:szCs w:val="20"/>
          <w:color w:val="454546"/>
        </w:rPr>
      </w:pPr>
    </w:p>
    <w:p>
      <w:pPr>
        <w:ind w:left="980" w:hanging="490"/>
        <w:spacing w:after="0" w:line="252"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87" w:lineRule="exact"/>
        <w:rPr>
          <w:rFonts w:ascii="Arial" w:cs="Arial" w:eastAsia="Arial" w:hAnsi="Arial"/>
          <w:sz w:val="20"/>
          <w:szCs w:val="20"/>
          <w:color w:val="454546"/>
        </w:rPr>
      </w:pPr>
    </w:p>
    <w:p>
      <w:pPr>
        <w:ind w:left="980" w:right="260" w:hanging="490"/>
        <w:spacing w:after="0" w:line="252"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Financial Position, Need for Additional Capital and Limited Operating History</w:t>
      </w:r>
    </w:p>
    <w:p>
      <w:pPr>
        <w:spacing w:after="0" w:line="12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would be if we had a longer operating history.</w:t>
      </w:r>
    </w:p>
    <w:p>
      <w:pPr>
        <w:spacing w:after="0" w:line="8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41</w:t>
      </w:r>
    </w:p>
    <w:p>
      <w:pPr>
        <w:sectPr>
          <w:pgSz w:w="12240" w:h="15840" w:orient="portrait"/>
          <w:cols w:equalWidth="0" w:num="1">
            <w:col w:w="9360"/>
          </w:cols>
          <w:pgMar w:left="1440" w:top="1434" w:right="1440" w:bottom="175" w:gutter="0" w:footer="0" w:header="0"/>
          <w:type w:val="continuous"/>
        </w:sectPr>
      </w:pPr>
    </w:p>
    <w:bookmarkStart w:id="43" w:name="page44"/>
    <w:bookmarkEnd w:id="43"/>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have not generated any product revenue to date, have incurred significant net losses since our inception, and expect to continue to incur significant net losses for the foreseeable future.</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We have incurred significant net losses since our inception, have not generated any product revenue to date and have financed our operations principally through issuances of our stock. As of December 31, 2025, we had an accumulated deficit of $605.0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02"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ability to generate revenue and achieve profitability depends significantly on our ability to achieve several objectives relating to the discovery, development and commercialization of our product candidates, if approved.</w:t>
      </w:r>
    </w:p>
    <w:p>
      <w:pPr>
        <w:spacing w:after="0" w:line="49"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83" w:lineRule="exact"/>
        <w:rPr>
          <w:sz w:val="20"/>
          <w:szCs w:val="20"/>
          <w:color w:val="auto"/>
        </w:rPr>
      </w:pPr>
    </w:p>
    <w:p>
      <w:pPr>
        <w:ind w:left="980" w:right="420" w:hanging="490"/>
        <w:spacing w:after="0" w:line="258"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successful and timely completion of preclinical and clinical development of product candidates and programs, including, but not limited to, generating sufficient data to support the initiation or continuation of clinical trials;</w:t>
      </w:r>
    </w:p>
    <w:p>
      <w:pPr>
        <w:spacing w:after="0" w:line="81" w:lineRule="exact"/>
        <w:rPr>
          <w:rFonts w:ascii="Arial" w:cs="Arial" w:eastAsia="Arial" w:hAnsi="Arial"/>
          <w:sz w:val="20"/>
          <w:szCs w:val="20"/>
          <w:color w:val="454546"/>
        </w:rPr>
      </w:pPr>
    </w:p>
    <w:p>
      <w:pPr>
        <w:ind w:left="980" w:right="120" w:hanging="490"/>
        <w:spacing w:after="0" w:line="258"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submission of INDs or other regulatory applications for our planned clinical trials, obtaining regulatory approval to commence clinical trials of our product candidates, and achieving favorable results from clinical trials;</w:t>
      </w:r>
    </w:p>
    <w:p>
      <w:pPr>
        <w:spacing w:after="0" w:line="81" w:lineRule="exact"/>
        <w:rPr>
          <w:rFonts w:ascii="Arial" w:cs="Arial" w:eastAsia="Arial" w:hAnsi="Arial"/>
          <w:sz w:val="20"/>
          <w:szCs w:val="20"/>
          <w:color w:val="454546"/>
        </w:rPr>
      </w:pPr>
    </w:p>
    <w:p>
      <w:pPr>
        <w:ind w:left="980" w:hanging="490"/>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establishing and maintaining relationships with contract research organizations (CROs) and clinical sites for the clinical development of our product candidates;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the initiation and successful patient enrollment and completion of clinical trials on a timely basis;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acceptable frequency and severity of adverse events in the clinical trials;</w:t>
      </w:r>
    </w:p>
    <w:p>
      <w:pPr>
        <w:spacing w:after="0" w:line="133" w:lineRule="exact"/>
        <w:rPr>
          <w:rFonts w:ascii="Arial" w:cs="Arial" w:eastAsia="Arial" w:hAnsi="Arial"/>
          <w:sz w:val="20"/>
          <w:szCs w:val="20"/>
          <w:color w:val="454546"/>
        </w:rPr>
      </w:pPr>
    </w:p>
    <w:p>
      <w:pPr>
        <w:ind w:left="980" w:right="600" w:hanging="490"/>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efficacy and safety profiles that are satisfactory to the FDA or any comparable foreign regulatory authority for marketing approval;</w:t>
      </w:r>
    </w:p>
    <w:p>
      <w:pPr>
        <w:spacing w:after="0" w:line="64" w:lineRule="exact"/>
        <w:rPr>
          <w:rFonts w:ascii="Arial" w:cs="Arial" w:eastAsia="Arial" w:hAnsi="Arial"/>
          <w:sz w:val="20"/>
          <w:szCs w:val="20"/>
          <w:color w:val="454546"/>
        </w:rPr>
      </w:pPr>
    </w:p>
    <w:p>
      <w:pPr>
        <w:ind w:left="980" w:right="120" w:hanging="490"/>
        <w:spacing w:after="0" w:line="276"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timely receipt of marketing approvals from applicable regulatory authorities for any product candidates for which we successfully complete clinical development;</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complying with any required post-marketing approval commitments to applicable regulatory authorities;</w:t>
      </w:r>
    </w:p>
    <w:p>
      <w:pPr>
        <w:spacing w:after="0" w:line="133" w:lineRule="exact"/>
        <w:rPr>
          <w:rFonts w:ascii="Arial" w:cs="Arial" w:eastAsia="Arial" w:hAnsi="Arial"/>
          <w:sz w:val="20"/>
          <w:szCs w:val="20"/>
          <w:color w:val="454546"/>
        </w:rPr>
      </w:pPr>
    </w:p>
    <w:p>
      <w:pPr>
        <w:ind w:left="980" w:right="240" w:hanging="490"/>
        <w:spacing w:after="0" w:line="258"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developing an efficient and scalable manufacturing process for our product candidates, and the timely manufacture of sufficient quantities of a product candidate for use in clinical trials and, if approved, commercialization;</w:t>
      </w:r>
    </w:p>
    <w:p>
      <w:pPr>
        <w:spacing w:after="0" w:line="81" w:lineRule="exact"/>
        <w:rPr>
          <w:rFonts w:ascii="Arial" w:cs="Arial" w:eastAsia="Arial" w:hAnsi="Arial"/>
          <w:sz w:val="20"/>
          <w:szCs w:val="20"/>
          <w:color w:val="454546"/>
        </w:rPr>
      </w:pPr>
    </w:p>
    <w:p>
      <w:pPr>
        <w:ind w:left="980" w:right="180" w:hanging="490"/>
        <w:spacing w:after="0" w:line="258" w:lineRule="auto"/>
        <w:tabs>
          <w:tab w:leader="none" w:pos="98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42</w:t>
      </w:r>
    </w:p>
    <w:p>
      <w:pPr>
        <w:sectPr>
          <w:pgSz w:w="12240" w:h="15840" w:orient="portrait"/>
          <w:cols w:equalWidth="0" w:num="1">
            <w:col w:w="9360"/>
          </w:cols>
          <w:pgMar w:left="1440" w:top="1420" w:right="1440" w:bottom="175" w:gutter="0" w:footer="0" w:header="0"/>
          <w:type w:val="continuous"/>
        </w:sectPr>
      </w:pPr>
    </w:p>
    <w:bookmarkStart w:id="44" w:name="page45"/>
    <w:bookmarkEnd w:id="44"/>
    <w:p>
      <w:pPr>
        <w:ind w:left="980" w:right="62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successful commercial launch following any marketing approval, including the development of a commercial infrastructure, whether in-house or with one or more collaborators;</w:t>
      </w:r>
    </w:p>
    <w:p>
      <w:pPr>
        <w:spacing w:after="0" w:line="64" w:lineRule="exact"/>
        <w:rPr>
          <w:rFonts w:ascii="Arial" w:cs="Arial" w:eastAsia="Arial" w:hAnsi="Arial"/>
          <w:sz w:val="20"/>
          <w:szCs w:val="20"/>
          <w:color w:val="454546"/>
        </w:rPr>
      </w:pPr>
    </w:p>
    <w:p>
      <w:pPr>
        <w:ind w:left="980" w:right="72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the achievement of development, regulatory and sales-based milestones under our collaboration agreement with Alnylam;</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successful outputs from our capsid engineering and promoter and regulatory elements efforts;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a continued acceptable safety profile following any marketing approval of our product candidates;</w:t>
      </w:r>
    </w:p>
    <w:p>
      <w:pPr>
        <w:spacing w:after="0" w:line="133" w:lineRule="exact"/>
        <w:rPr>
          <w:rFonts w:ascii="Arial" w:cs="Arial" w:eastAsia="Arial" w:hAnsi="Arial"/>
          <w:sz w:val="20"/>
          <w:szCs w:val="20"/>
          <w:color w:val="454546"/>
        </w:rPr>
      </w:pPr>
    </w:p>
    <w:p>
      <w:pPr>
        <w:ind w:left="980" w:right="16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actual market-size, ability to identify patients and the demographics of patients eligible for our product candidates, which may be different than expected;</w:t>
      </w:r>
    </w:p>
    <w:p>
      <w:pPr>
        <w:spacing w:after="0" w:line="64" w:lineRule="exact"/>
        <w:rPr>
          <w:rFonts w:ascii="Arial" w:cs="Arial" w:eastAsia="Arial" w:hAnsi="Arial"/>
          <w:sz w:val="20"/>
          <w:szCs w:val="20"/>
          <w:color w:val="454546"/>
        </w:rPr>
      </w:pPr>
    </w:p>
    <w:p>
      <w:pPr>
        <w:ind w:left="980" w:right="26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commercial acceptance of our product candidates by patients, the medical community and third-party payors;</w:t>
      </w:r>
    </w:p>
    <w:p>
      <w:pPr>
        <w:spacing w:after="0" w:line="64" w:lineRule="exact"/>
        <w:rPr>
          <w:rFonts w:ascii="Arial" w:cs="Arial" w:eastAsia="Arial" w:hAnsi="Arial"/>
          <w:sz w:val="20"/>
          <w:szCs w:val="20"/>
          <w:color w:val="454546"/>
        </w:rPr>
      </w:pPr>
    </w:p>
    <w:p>
      <w:pPr>
        <w:ind w:left="980" w:right="62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distribute our products to certain segments of the patient population only accessible through restricted or closed distribution channels;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satisfying any required post-marketing approval commitments to applicable regulatory authorities;</w:t>
      </w:r>
    </w:p>
    <w:p>
      <w:pPr>
        <w:spacing w:after="0" w:line="133"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maintaining consistent quality, purity, and potency across clinical supplies and commercial supplies for any approved products;</w:t>
      </w:r>
    </w:p>
    <w:p>
      <w:pPr>
        <w:spacing w:after="0" w:line="64" w:lineRule="exact"/>
        <w:rPr>
          <w:rFonts w:ascii="Arial" w:cs="Arial" w:eastAsia="Arial" w:hAnsi="Arial"/>
          <w:sz w:val="20"/>
          <w:szCs w:val="20"/>
          <w:color w:val="454546"/>
        </w:rPr>
      </w:pPr>
    </w:p>
    <w:p>
      <w:pPr>
        <w:ind w:left="980" w:right="26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identifying, assessing and developing new product candidates, and our ability to expand into multiple indications;</w:t>
      </w:r>
    </w:p>
    <w:p>
      <w:pPr>
        <w:spacing w:after="0" w:line="64" w:lineRule="exact"/>
        <w:rPr>
          <w:rFonts w:ascii="Arial" w:cs="Arial" w:eastAsia="Arial" w:hAnsi="Arial"/>
          <w:sz w:val="20"/>
          <w:szCs w:val="20"/>
          <w:color w:val="454546"/>
        </w:rPr>
      </w:pPr>
    </w:p>
    <w:p>
      <w:pPr>
        <w:ind w:left="980" w:right="42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obtaining, maintaining, and expanding patent and other intellectual property protection, trade secret protection and regulatory exclusivity, both in the U.S. and internationally;</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protecting and enforcing our rights in our intellectual property portfolio;</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defending against third-party infringement, misappropriation, or other claims, if any;</w:t>
      </w:r>
    </w:p>
    <w:p>
      <w:pPr>
        <w:spacing w:after="0" w:line="133" w:lineRule="exact"/>
        <w:rPr>
          <w:rFonts w:ascii="Arial" w:cs="Arial" w:eastAsia="Arial" w:hAnsi="Arial"/>
          <w:sz w:val="20"/>
          <w:szCs w:val="20"/>
          <w:color w:val="454546"/>
        </w:rPr>
      </w:pPr>
    </w:p>
    <w:p>
      <w:pPr>
        <w:ind w:left="980" w:hanging="490"/>
        <w:spacing w:after="0" w:line="258"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81" w:lineRule="exact"/>
        <w:rPr>
          <w:rFonts w:ascii="Arial" w:cs="Arial" w:eastAsia="Arial" w:hAnsi="Arial"/>
          <w:sz w:val="20"/>
          <w:szCs w:val="20"/>
          <w:color w:val="454546"/>
        </w:rPr>
      </w:pPr>
    </w:p>
    <w:p>
      <w:pPr>
        <w:ind w:left="980" w:right="34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obtaining coverage and adequate reimbursement by third-party payors for our products and patients’ willingness to pay in the absence of such coverage and adequate reimbursement;</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obtaining additional funding to develop, manufacture and commercialize our product candidates;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addressing any competing therapies and technological and market developments;</w:t>
      </w:r>
    </w:p>
    <w:p>
      <w:pPr>
        <w:spacing w:after="0" w:line="133" w:lineRule="exact"/>
        <w:rPr>
          <w:rFonts w:ascii="Arial" w:cs="Arial" w:eastAsia="Arial" w:hAnsi="Arial"/>
          <w:sz w:val="20"/>
          <w:szCs w:val="20"/>
          <w:color w:val="454546"/>
        </w:rPr>
      </w:pPr>
    </w:p>
    <w:p>
      <w:pPr>
        <w:ind w:left="980" w:right="32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managing costs, including any unforeseen costs, that we may incur as a result of nonclinical study or clinical trial delays; and</w:t>
      </w:r>
    </w:p>
    <w:p>
      <w:pPr>
        <w:spacing w:after="0" w:line="64" w:lineRule="exact"/>
        <w:rPr>
          <w:rFonts w:ascii="Arial" w:cs="Arial" w:eastAsia="Arial" w:hAnsi="Arial"/>
          <w:sz w:val="20"/>
          <w:szCs w:val="20"/>
          <w:color w:val="454546"/>
        </w:rPr>
      </w:pPr>
    </w:p>
    <w:p>
      <w:pPr>
        <w:ind w:left="980" w:right="280" w:hanging="490"/>
        <w:spacing w:after="0" w:line="276" w:lineRule="auto"/>
        <w:tabs>
          <w:tab w:leader="none" w:pos="980" w:val="left"/>
        </w:tabs>
        <w:numPr>
          <w:ilvl w:val="0"/>
          <w:numId w:val="25"/>
        </w:numPr>
        <w:rPr>
          <w:rFonts w:ascii="Arial" w:cs="Arial" w:eastAsia="Arial" w:hAnsi="Arial"/>
          <w:sz w:val="20"/>
          <w:szCs w:val="20"/>
          <w:color w:val="454546"/>
        </w:rPr>
      </w:pPr>
      <w:r>
        <w:rPr>
          <w:rFonts w:ascii="Times New Roman" w:cs="Times New Roman" w:eastAsia="Times New Roman" w:hAnsi="Times New Roman"/>
          <w:sz w:val="20"/>
          <w:szCs w:val="20"/>
          <w:color w:val="454546"/>
        </w:rPr>
        <w:t>attracting, hiring and retaining qualified and key personnel including clinical, scientific, management and administrative personnel.</w:t>
      </w:r>
    </w:p>
    <w:p>
      <w:pPr>
        <w:spacing w:after="0" w:line="5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197"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9"/>
          <w:szCs w:val="19"/>
          <w:b w:val="1"/>
          <w:bCs w:val="1"/>
          <w:i w:val="1"/>
          <w:iCs w:val="1"/>
          <w:color w:val="454546"/>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43</w:t>
      </w:r>
    </w:p>
    <w:p>
      <w:pPr>
        <w:sectPr>
          <w:pgSz w:w="12240" w:h="15840" w:orient="portrait"/>
          <w:cols w:equalWidth="0" w:num="1">
            <w:col w:w="9360"/>
          </w:cols>
          <w:pgMar w:left="1440" w:top="1434" w:right="1440" w:bottom="175" w:gutter="0" w:footer="0" w:header="0"/>
          <w:type w:val="continuous"/>
        </w:sectPr>
      </w:pPr>
    </w:p>
    <w:bookmarkStart w:id="45" w:name="page46"/>
    <w:bookmarkEnd w:id="45"/>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and/or eliminate one or more of our research and drug development programs or future commercialization efforts.</w:t>
      </w:r>
    </w:p>
    <w:p>
      <w:pPr>
        <w:spacing w:after="0" w:line="49"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454546"/>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over the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3"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As of December 31, 2025, we had $ 100.5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82" w:lineRule="exact"/>
        <w:rPr>
          <w:sz w:val="20"/>
          <w:szCs w:val="20"/>
          <w:color w:val="auto"/>
        </w:rPr>
      </w:pPr>
    </w:p>
    <w:p>
      <w:pPr>
        <w:ind w:right="240" w:firstLine="490"/>
        <w:spacing w:after="0" w:line="245" w:lineRule="auto"/>
        <w:rPr>
          <w:sz w:val="20"/>
          <w:szCs w:val="20"/>
          <w:color w:val="auto"/>
        </w:rPr>
      </w:pPr>
      <w:r>
        <w:rPr>
          <w:rFonts w:ascii="Times New Roman" w:cs="Times New Roman" w:eastAsia="Times New Roman" w:hAnsi="Times New Roman"/>
          <w:sz w:val="20"/>
          <w:szCs w:val="20"/>
          <w:color w:val="454546"/>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8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For example, under our collaboration agreement with Alnylam, we are not permitted to conduct any research or development activities with respect to certain collaboration targets or any therapeutic products designed to be directed to such targets, for as long as the target remains a collaboration target.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cs="Times New Roman" w:eastAsia="Times New Roman" w:hAnsi="Times New Roman"/>
          <w:sz w:val="19"/>
          <w:szCs w:val="19"/>
          <w:color w:val="454546"/>
        </w:rPr>
        <w:t>.</w:t>
      </w:r>
    </w:p>
    <w:p>
      <w:pPr>
        <w:spacing w:after="0" w:line="202"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Loan Agreement requires us to comply with specified operating covenants and places restrictions on our operating and financial flexibility.</w:t>
      </w:r>
    </w:p>
    <w:p>
      <w:pPr>
        <w:spacing w:after="0" w:line="4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454546"/>
        </w:rPr>
        <w:t>As of the filing date of this periodic report, under our Loan Agreement, we have the right to draw down up to $20.0 million,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8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The Loan Agreement contains customary representations and warranties, events of default and affirmative and negative covenants, including covenants that limit or restrict our ability to, among other things, dispose of assets,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44</w:t>
      </w:r>
    </w:p>
    <w:p>
      <w:pPr>
        <w:sectPr>
          <w:pgSz w:w="12240" w:h="15840" w:orient="portrait"/>
          <w:cols w:equalWidth="0" w:num="1">
            <w:col w:w="9360"/>
          </w:cols>
          <w:pgMar w:left="1440" w:top="1420" w:right="1440" w:bottom="17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454546"/>
        </w:rPr>
        <w:t>make changes to our business, merge or consolidate, incur additional indebtedness, incur additional liens, pay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dividends or other distributions or repurchase equity, make investments, and enter into certain transactions with</w:t>
      </w:r>
    </w:p>
    <w:p>
      <w:pPr>
        <w:spacing w:after="0"/>
        <w:rPr>
          <w:sz w:val="20"/>
          <w:szCs w:val="20"/>
          <w:color w:val="auto"/>
        </w:rPr>
      </w:pPr>
      <w:r>
        <w:rPr>
          <w:rFonts w:ascii="Times New Roman" w:cs="Times New Roman" w:eastAsia="Times New Roman" w:hAnsi="Times New Roman"/>
          <w:sz w:val="20"/>
          <w:szCs w:val="20"/>
          <w:color w:val="454546"/>
        </w:rPr>
        <w:t>affiliates, in each case subject to certain exceptions. These restrictive covenants could limit our flexibility in</w:t>
      </w:r>
    </w:p>
    <w:p>
      <w:pPr>
        <w:spacing w:after="0"/>
        <w:rPr>
          <w:sz w:val="20"/>
          <w:szCs w:val="20"/>
          <w:color w:val="auto"/>
        </w:rPr>
      </w:pPr>
      <w:r>
        <w:rPr>
          <w:rFonts w:ascii="Times New Roman" w:cs="Times New Roman" w:eastAsia="Times New Roman" w:hAnsi="Times New Roman"/>
          <w:sz w:val="20"/>
          <w:szCs w:val="20"/>
          <w:color w:val="454546"/>
        </w:rPr>
        <w:t>operating our business and our ability to pursue business opportunities that we or our stockholders may</w:t>
      </w:r>
    </w:p>
    <w:p>
      <w:pPr>
        <w:spacing w:after="0"/>
        <w:rPr>
          <w:sz w:val="20"/>
          <w:szCs w:val="20"/>
          <w:color w:val="auto"/>
        </w:rPr>
      </w:pPr>
      <w:r>
        <w:rPr>
          <w:rFonts w:ascii="Times New Roman" w:cs="Times New Roman" w:eastAsia="Times New Roman" w:hAnsi="Times New Roman"/>
          <w:sz w:val="20"/>
          <w:szCs w:val="20"/>
          <w:color w:val="454546"/>
        </w:rPr>
        <w:t>consider beneficial. In addition, a failure to comply with the conditions of our Loan Agreement, including a breach</w:t>
      </w:r>
    </w:p>
    <w:p>
      <w:pPr>
        <w:spacing w:after="0"/>
        <w:rPr>
          <w:sz w:val="20"/>
          <w:szCs w:val="20"/>
          <w:color w:val="auto"/>
        </w:rPr>
      </w:pPr>
      <w:r>
        <w:rPr>
          <w:rFonts w:ascii="Times New Roman" w:cs="Times New Roman" w:eastAsia="Times New Roman" w:hAnsi="Times New Roman"/>
          <w:sz w:val="20"/>
          <w:szCs w:val="20"/>
          <w:color w:val="454546"/>
        </w:rPr>
        <w:t>of any covenant, could limit our ability to draw upon available tranches or result in an event of default and an</w:t>
      </w:r>
    </w:p>
    <w:p>
      <w:pPr>
        <w:spacing w:after="0"/>
        <w:rPr>
          <w:sz w:val="20"/>
          <w:szCs w:val="20"/>
          <w:color w:val="auto"/>
        </w:rPr>
      </w:pPr>
      <w:r>
        <w:rPr>
          <w:rFonts w:ascii="Times New Roman" w:cs="Times New Roman" w:eastAsia="Times New Roman" w:hAnsi="Times New Roman"/>
          <w:sz w:val="20"/>
          <w:szCs w:val="20"/>
          <w:color w:val="454546"/>
        </w:rPr>
        <w:t>acceleration of any outstanding loans thereunder.</w:t>
      </w:r>
    </w:p>
    <w:p>
      <w:pPr>
        <w:spacing w:after="0" w:line="92"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454546"/>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20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ability to utilize our net operating loss carryforwards and certain other tax attributes to offset future taxable income may be limited.</w:t>
      </w:r>
    </w:p>
    <w:p>
      <w:pPr>
        <w:spacing w:after="0" w:line="4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enacted a temporary suspension on the use of state NOLs in taxable years beginning in 2024, 2025 and 2026, which would adversely affect our company if we earn taxable income in 2026. Consequently, our ability to use our NOLs and certain other tax attributes may be limited.</w:t>
      </w:r>
    </w:p>
    <w:p>
      <w:pPr>
        <w:spacing w:after="0" w:line="20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20"/>
          <w:szCs w:val="20"/>
          <w:b w:val="1"/>
          <w:bCs w:val="1"/>
          <w:color w:val="454546"/>
        </w:rPr>
        <w:t>Risks Related to the Discovery, Development, Manufacturing and Commercialization of Our Product Candidates</w:t>
      </w:r>
    </w:p>
    <w:p>
      <w:pPr>
        <w:spacing w:after="0" w:line="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7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Before we are able to generate any revenue from product sales, each of our programs and product candidates will require additional preclinical and/or clinical development, expansion of manufacturing capabilities and expertise or successfully outsourcing manufacturing,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If we do not successfully initiate and complete our clinical trials in a timely manner, including the successful manufacturing of the relevant product candidate,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45</w:t>
      </w:r>
    </w:p>
    <w:p>
      <w:pPr>
        <w:sectPr>
          <w:pgSz w:w="12240" w:h="15840" w:orient="portrait"/>
          <w:cols w:equalWidth="0" w:num="1">
            <w:col w:w="9360"/>
          </w:cols>
          <w:pgMar w:left="1440" w:top="1420" w:right="1440" w:bottom="175" w:gutter="0" w:footer="0" w:header="0"/>
          <w:type w:val="continuous"/>
        </w:sectPr>
      </w:pPr>
    </w:p>
    <w:bookmarkStart w:id="47" w:name="page48"/>
    <w:bookmarkEnd w:id="47"/>
    <w:p>
      <w:pPr>
        <w:ind w:right="1060"/>
        <w:spacing w:after="0" w:line="277" w:lineRule="auto"/>
        <w:rPr>
          <w:sz w:val="20"/>
          <w:szCs w:val="20"/>
          <w:color w:val="auto"/>
        </w:rPr>
      </w:pPr>
      <w:r>
        <w:rPr>
          <w:rFonts w:ascii="Times New Roman" w:cs="Times New Roman" w:eastAsia="Times New Roman" w:hAnsi="Times New Roman"/>
          <w:sz w:val="20"/>
          <w:szCs w:val="20"/>
          <w:color w:val="454546"/>
        </w:rPr>
        <w:t>trials, increase clinical trial costs, delay approval of our product candidates and jeopardize our ability to commercialize our product candidates, if approved, and generate revenue.</w:t>
      </w:r>
    </w:p>
    <w:p>
      <w:pPr>
        <w:spacing w:after="0" w:line="49"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8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20"/>
          <w:szCs w:val="20"/>
          <w:i w:val="1"/>
          <w:iCs w:val="1"/>
          <w:color w:val="454546"/>
        </w:rPr>
        <w:t>Our ability to generate revenue and</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20"/>
          <w:szCs w:val="20"/>
          <w:color w:val="454546"/>
        </w:rPr>
        <w:t>.”</w:t>
      </w:r>
    </w:p>
    <w:p>
      <w:pPr>
        <w:spacing w:after="0" w:line="77" w:lineRule="exact"/>
        <w:rPr>
          <w:sz w:val="20"/>
          <w:szCs w:val="20"/>
          <w:color w:val="auto"/>
        </w:rPr>
      </w:pPr>
    </w:p>
    <w:p>
      <w:pPr>
        <w:ind w:right="140" w:firstLine="490"/>
        <w:spacing w:after="0" w:line="270" w:lineRule="auto"/>
        <w:rPr>
          <w:sz w:val="20"/>
          <w:szCs w:val="20"/>
          <w:color w:val="auto"/>
        </w:rPr>
      </w:pPr>
      <w:r>
        <w:rPr>
          <w:rFonts w:ascii="Times New Roman" w:cs="Times New Roman" w:eastAsia="Times New Roman" w:hAnsi="Times New Roman"/>
          <w:sz w:val="19"/>
          <w:szCs w:val="19"/>
          <w:color w:val="454546"/>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5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as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7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8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80" w:lineRule="exact"/>
        <w:rPr>
          <w:sz w:val="20"/>
          <w:szCs w:val="20"/>
          <w:color w:val="auto"/>
        </w:rPr>
      </w:pPr>
    </w:p>
    <w:p>
      <w:pPr>
        <w:ind w:right="260" w:firstLine="490"/>
        <w:spacing w:after="0" w:line="263" w:lineRule="auto"/>
        <w:rPr>
          <w:sz w:val="20"/>
          <w:szCs w:val="20"/>
          <w:color w:val="auto"/>
        </w:rPr>
      </w:pPr>
      <w:r>
        <w:rPr>
          <w:rFonts w:ascii="Times New Roman" w:cs="Times New Roman" w:eastAsia="Times New Roman" w:hAnsi="Times New Roman"/>
          <w:sz w:val="19"/>
          <w:szCs w:val="19"/>
          <w:color w:val="454546"/>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46</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right="140"/>
        <w:spacing w:after="0" w:line="249" w:lineRule="auto"/>
        <w:rPr>
          <w:sz w:val="20"/>
          <w:szCs w:val="20"/>
          <w:color w:val="auto"/>
        </w:rPr>
      </w:pPr>
      <w:r>
        <w:rPr>
          <w:rFonts w:ascii="Times New Roman" w:cs="Times New Roman" w:eastAsia="Times New Roman" w:hAnsi="Times New Roman"/>
          <w:sz w:val="20"/>
          <w:szCs w:val="20"/>
          <w:color w:val="454546"/>
        </w:rPr>
        <w:t>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CBER to consolidate the review of gene therapy and related products, and the Cellular, Tissue and Gene Therapies Advisory Committee to advise CBER on its review.</w:t>
      </w:r>
    </w:p>
    <w:p>
      <w:pPr>
        <w:spacing w:after="0" w:line="7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454546"/>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71"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454546"/>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454546"/>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00"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454546"/>
        </w:rPr>
        <w:t>The regulatory review committees and advisory groups described above and the new guidelines they promulgate may lengthen the regulatory review process, require us to perform additional preclinical studies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47</w:t>
      </w:r>
    </w:p>
    <w:p>
      <w:pPr>
        <w:sectPr>
          <w:pgSz w:w="12240" w:h="15840" w:orient="portrait"/>
          <w:cols w:equalWidth="0" w:num="1">
            <w:col w:w="9360"/>
          </w:cols>
          <w:pgMar w:left="1440" w:top="1420" w:right="1440" w:bottom="175" w:gutter="0" w:footer="0" w:header="0"/>
          <w:type w:val="continuous"/>
        </w:sectPr>
      </w:pPr>
    </w:p>
    <w:bookmarkStart w:id="49" w:name="page50"/>
    <w:bookmarkEnd w:id="49"/>
    <w:p>
      <w:pPr>
        <w:ind w:right="20"/>
        <w:spacing w:after="0" w:line="244" w:lineRule="auto"/>
        <w:rPr>
          <w:sz w:val="20"/>
          <w:szCs w:val="20"/>
          <w:color w:val="auto"/>
        </w:rPr>
      </w:pPr>
      <w:r>
        <w:rPr>
          <w:rFonts w:ascii="Times New Roman" w:cs="Times New Roman" w:eastAsia="Times New Roman" w:hAnsi="Times New Roman"/>
          <w:sz w:val="20"/>
          <w:szCs w:val="20"/>
          <w:color w:val="454546"/>
        </w:rPr>
        <w:t>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20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The mechanisms of action of our product candidates are unproven, and we do not know whether we will be able to develop any drug of commercial value.</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9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0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i w:val="1"/>
          <w:iCs w:val="1"/>
          <w:color w:val="454546"/>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Preclinical and 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Failure can occur at any stage of testing.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clinical trial application,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48</w:t>
      </w:r>
    </w:p>
    <w:p>
      <w:pPr>
        <w:sectPr>
          <w:pgSz w:w="12240" w:h="15840" w:orient="portrait"/>
          <w:cols w:equalWidth="0" w:num="1">
            <w:col w:w="9360"/>
          </w:cols>
          <w:pgMar w:left="1440" w:top="1420" w:right="1440" w:bottom="175" w:gutter="0" w:footer="0" w:header="0"/>
          <w:type w:val="continuous"/>
        </w:sectPr>
      </w:pPr>
    </w:p>
    <w:bookmarkStart w:id="50" w:name="page51"/>
    <w:bookmarkEnd w:id="50"/>
    <w:p>
      <w:pPr>
        <w:ind w:firstLine="490"/>
        <w:spacing w:after="0" w:line="243" w:lineRule="auto"/>
        <w:rPr>
          <w:sz w:val="20"/>
          <w:szCs w:val="20"/>
          <w:color w:val="auto"/>
        </w:rPr>
      </w:pPr>
      <w:r>
        <w:rPr>
          <w:rFonts w:ascii="Times New Roman" w:cs="Times New Roman" w:eastAsia="Times New Roman" w:hAnsi="Times New Roman"/>
          <w:sz w:val="20"/>
          <w:szCs w:val="20"/>
          <w:color w:val="454546"/>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 Compliance with the CTR and/or MHRA requirements by us, our collaborators and third-party service providers, such as CROs,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88"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454546"/>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83" w:lineRule="exact"/>
        <w:rPr>
          <w:sz w:val="20"/>
          <w:szCs w:val="20"/>
          <w:color w:val="auto"/>
        </w:rPr>
      </w:pPr>
    </w:p>
    <w:p>
      <w:pPr>
        <w:ind w:left="980" w:right="420" w:hanging="490"/>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 xml:space="preserve">inability to generate sufficient preclinical, toxicology, or other </w:t>
      </w:r>
      <w:r>
        <w:rPr>
          <w:rFonts w:ascii="Times New Roman" w:cs="Times New Roman" w:eastAsia="Times New Roman" w:hAnsi="Times New Roman"/>
          <w:sz w:val="20"/>
          <w:szCs w:val="20"/>
          <w:i w:val="1"/>
          <w:iCs w:val="1"/>
          <w:color w:val="454546"/>
        </w:rPr>
        <w:t>in vivo</w:t>
      </w:r>
      <w:r>
        <w:rPr>
          <w:rFonts w:ascii="Times New Roman" w:cs="Times New Roman" w:eastAsia="Times New Roman" w:hAnsi="Times New Roman"/>
          <w:sz w:val="20"/>
          <w:szCs w:val="20"/>
          <w:color w:val="454546"/>
        </w:rPr>
        <w:t xml:space="preserve"> or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data to support the initiation of clinical trials;</w:t>
      </w:r>
    </w:p>
    <w:p>
      <w:pPr>
        <w:spacing w:after="0" w:line="64" w:lineRule="exact"/>
        <w:rPr>
          <w:rFonts w:ascii="Arial" w:cs="Arial" w:eastAsia="Arial" w:hAnsi="Arial"/>
          <w:sz w:val="20"/>
          <w:szCs w:val="20"/>
          <w:color w:val="454546"/>
        </w:rPr>
      </w:pPr>
    </w:p>
    <w:p>
      <w:pPr>
        <w:ind w:left="980" w:right="420" w:hanging="490"/>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sufficiently developing, characterizing or controlling a manufacturing process suitable for clinical trials;</w:t>
      </w:r>
    </w:p>
    <w:p>
      <w:pPr>
        <w:spacing w:after="0" w:line="64" w:lineRule="exact"/>
        <w:rPr>
          <w:rFonts w:ascii="Arial" w:cs="Arial" w:eastAsia="Arial" w:hAnsi="Arial"/>
          <w:sz w:val="20"/>
          <w:szCs w:val="20"/>
          <w:color w:val="454546"/>
        </w:rPr>
      </w:pPr>
    </w:p>
    <w:p>
      <w:pPr>
        <w:ind w:left="980" w:right="20" w:hanging="490"/>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receipt of feedback from regulatory authorities that requires us to modify the design of our preclinical or clinical trials;</w:t>
      </w:r>
    </w:p>
    <w:p>
      <w:pPr>
        <w:spacing w:after="0" w:line="64" w:lineRule="exact"/>
        <w:rPr>
          <w:rFonts w:ascii="Arial" w:cs="Arial" w:eastAsia="Arial" w:hAnsi="Arial"/>
          <w:sz w:val="20"/>
          <w:szCs w:val="20"/>
          <w:color w:val="454546"/>
        </w:rPr>
      </w:pPr>
    </w:p>
    <w:p>
      <w:pPr>
        <w:ind w:left="980" w:right="540" w:hanging="490"/>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preclinical study or clinical trial observations or results that require us to modify the design of our clinical trials;</w:t>
      </w:r>
    </w:p>
    <w:p>
      <w:pPr>
        <w:spacing w:after="0" w:line="64" w:lineRule="exact"/>
        <w:rPr>
          <w:rFonts w:ascii="Arial" w:cs="Arial" w:eastAsia="Arial" w:hAnsi="Arial"/>
          <w:sz w:val="20"/>
          <w:szCs w:val="20"/>
          <w:color w:val="454546"/>
        </w:rPr>
      </w:pPr>
    </w:p>
    <w:p>
      <w:pPr>
        <w:ind w:left="980" w:right="460" w:hanging="490"/>
        <w:spacing w:after="0" w:line="258"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negative or inconclusive preclinical study or clinical trial results that may require us to conduct additional preclinical studies or clinical trials or abandon certain research and/or drug development programs;</w:t>
      </w:r>
    </w:p>
    <w:p>
      <w:pPr>
        <w:spacing w:after="0" w:line="81"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extended IRB, IBC and/or EC review process, or inability to obtain approval from one or more of these committees;</w:t>
      </w:r>
    </w:p>
    <w:p>
      <w:pPr>
        <w:spacing w:after="0" w:line="64" w:lineRule="exact"/>
        <w:rPr>
          <w:rFonts w:ascii="Arial" w:cs="Arial" w:eastAsia="Arial" w:hAnsi="Arial"/>
          <w:sz w:val="20"/>
          <w:szCs w:val="20"/>
          <w:color w:val="454546"/>
        </w:rPr>
      </w:pPr>
    </w:p>
    <w:p>
      <w:pPr>
        <w:ind w:left="980" w:right="160" w:hanging="490"/>
        <w:spacing w:after="0" w:line="258"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81" w:lineRule="exact"/>
        <w:rPr>
          <w:rFonts w:ascii="Arial" w:cs="Arial" w:eastAsia="Arial" w:hAnsi="Arial"/>
          <w:sz w:val="20"/>
          <w:szCs w:val="20"/>
          <w:color w:val="454546"/>
        </w:rPr>
      </w:pPr>
    </w:p>
    <w:p>
      <w:pPr>
        <w:ind w:left="980" w:hanging="490"/>
        <w:spacing w:after="0"/>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any failure or delay in reaching an agreement with CROs and clinical trial sites;</w:t>
      </w:r>
    </w:p>
    <w:p>
      <w:pPr>
        <w:spacing w:after="0" w:line="133" w:lineRule="exact"/>
        <w:rPr>
          <w:rFonts w:ascii="Arial" w:cs="Arial" w:eastAsia="Arial" w:hAnsi="Arial"/>
          <w:sz w:val="20"/>
          <w:szCs w:val="20"/>
          <w:color w:val="454546"/>
        </w:rPr>
      </w:pPr>
    </w:p>
    <w:p>
      <w:pPr>
        <w:ind w:left="980" w:right="80" w:hanging="490"/>
        <w:spacing w:after="0" w:line="276"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the suspension or termination of our clinical trials, as a result of a clinical hold by regulatory authorities or a voluntary pause, for various reasons, such as we experienced with MyPEAK-1;</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49</w:t>
      </w:r>
    </w:p>
    <w:p>
      <w:pPr>
        <w:sectPr>
          <w:pgSz w:w="12240" w:h="15840" w:orient="portrait"/>
          <w:cols w:equalWidth="0" w:num="1">
            <w:col w:w="9360"/>
          </w:cols>
          <w:pgMar w:left="1440" w:top="1420" w:right="1440" w:bottom="175" w:gutter="0" w:footer="0" w:header="0"/>
          <w:type w:val="continuous"/>
        </w:sectPr>
      </w:pPr>
    </w:p>
    <w:bookmarkStart w:id="51" w:name="page52"/>
    <w:bookmarkEnd w:id="51"/>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to clinical trial protocol;</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clinical sites deviating from trial protocol or dropping out of a trial;</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costs and/or duration of preclinical studies or clinical trials being greater than anticipated;</w:t>
      </w:r>
    </w:p>
    <w:p>
      <w:pPr>
        <w:spacing w:after="0" w:line="133" w:lineRule="exact"/>
        <w:rPr>
          <w:rFonts w:ascii="Arial" w:cs="Arial" w:eastAsia="Arial" w:hAnsi="Arial"/>
          <w:sz w:val="20"/>
          <w:szCs w:val="20"/>
          <w:color w:val="454546"/>
        </w:rPr>
      </w:pPr>
    </w:p>
    <w:p>
      <w:pPr>
        <w:ind w:left="980" w:right="160" w:hanging="490"/>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supply or quality of our product candidates or other materials necessary to conduct clinical trials of our product candidates being insufficient or inadequate or slower than anticipated;</w:t>
      </w:r>
    </w:p>
    <w:p>
      <w:pPr>
        <w:spacing w:after="0" w:line="64" w:lineRule="exact"/>
        <w:rPr>
          <w:rFonts w:ascii="Arial" w:cs="Arial" w:eastAsia="Arial" w:hAnsi="Arial"/>
          <w:sz w:val="20"/>
          <w:szCs w:val="20"/>
          <w:color w:val="454546"/>
        </w:rPr>
      </w:pPr>
    </w:p>
    <w:p>
      <w:pPr>
        <w:ind w:left="980" w:right="200" w:hanging="490"/>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subjects experiencing serious, severe, unexpected or otherwise important drug-related or study-related adverse effects;</w:t>
      </w:r>
    </w:p>
    <w:p>
      <w:pPr>
        <w:spacing w:after="0" w:line="64" w:lineRule="exact"/>
        <w:rPr>
          <w:rFonts w:ascii="Arial" w:cs="Arial" w:eastAsia="Arial" w:hAnsi="Arial"/>
          <w:sz w:val="20"/>
          <w:szCs w:val="20"/>
          <w:color w:val="454546"/>
        </w:rPr>
      </w:pPr>
    </w:p>
    <w:p>
      <w:pPr>
        <w:ind w:left="980" w:right="200" w:hanging="490"/>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selection of clinical end points that require prolonged periods of clinical observation or analysis of the resulting data;</w:t>
      </w:r>
    </w:p>
    <w:p>
      <w:pPr>
        <w:spacing w:after="0" w:line="64" w:lineRule="exact"/>
        <w:rPr>
          <w:rFonts w:ascii="Arial" w:cs="Arial" w:eastAsia="Arial" w:hAnsi="Arial"/>
          <w:sz w:val="20"/>
          <w:szCs w:val="20"/>
          <w:color w:val="454546"/>
        </w:rPr>
      </w:pPr>
    </w:p>
    <w:p>
      <w:pPr>
        <w:ind w:left="980" w:right="220" w:hanging="490"/>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inaccurate or untimely clinical data collection, entry, analysis or reporting by clinical sites, third-party contractors and/or CROs;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variability of efficacy assessments;</w:t>
      </w:r>
    </w:p>
    <w:p>
      <w:pPr>
        <w:spacing w:after="0" w:line="133" w:lineRule="exact"/>
        <w:rPr>
          <w:rFonts w:ascii="Arial" w:cs="Arial" w:eastAsia="Arial" w:hAnsi="Arial"/>
          <w:sz w:val="20"/>
          <w:szCs w:val="20"/>
          <w:color w:val="454546"/>
        </w:rPr>
      </w:pPr>
    </w:p>
    <w:p>
      <w:pPr>
        <w:ind w:left="980" w:right="20" w:hanging="490"/>
        <w:spacing w:after="0" w:line="252"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87" w:lineRule="exact"/>
        <w:rPr>
          <w:rFonts w:ascii="Arial" w:cs="Arial" w:eastAsia="Arial" w:hAnsi="Arial"/>
          <w:sz w:val="20"/>
          <w:szCs w:val="20"/>
          <w:color w:val="454546"/>
        </w:rPr>
      </w:pPr>
    </w:p>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any changes to our manufacturing process that may be necessary or desired;</w:t>
      </w:r>
    </w:p>
    <w:p>
      <w:pPr>
        <w:spacing w:after="0" w:line="133" w:lineRule="exact"/>
        <w:rPr>
          <w:rFonts w:ascii="Arial" w:cs="Arial" w:eastAsia="Arial" w:hAnsi="Arial"/>
          <w:sz w:val="20"/>
          <w:szCs w:val="20"/>
          <w:color w:val="454546"/>
        </w:rPr>
      </w:pPr>
    </w:p>
    <w:p>
      <w:pPr>
        <w:ind w:left="980" w:right="240" w:hanging="490"/>
        <w:spacing w:after="0" w:line="258"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81" w:lineRule="exact"/>
        <w:rPr>
          <w:rFonts w:ascii="Arial" w:cs="Arial" w:eastAsia="Arial" w:hAnsi="Arial"/>
          <w:sz w:val="20"/>
          <w:szCs w:val="20"/>
          <w:color w:val="454546"/>
        </w:rPr>
      </w:pPr>
    </w:p>
    <w:p>
      <w:pPr>
        <w:ind w:left="980" w:right="220" w:hanging="490"/>
        <w:spacing w:after="0" w:line="252"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7" w:lineRule="exact"/>
        <w:rPr>
          <w:rFonts w:ascii="Arial" w:cs="Arial" w:eastAsia="Arial" w:hAnsi="Arial"/>
          <w:sz w:val="20"/>
          <w:szCs w:val="20"/>
          <w:color w:val="454546"/>
        </w:rPr>
      </w:pPr>
    </w:p>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regulators revising the requirements for approving our product candidates;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an unsuccessful post-marketing study or failure to complete such a study;</w:t>
      </w:r>
    </w:p>
    <w:p>
      <w:pPr>
        <w:spacing w:after="0" w:line="133"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absence in some countries of established groups with sufficient regulatory expertise for review of AAV gene therapy protocols; and</w:t>
      </w:r>
    </w:p>
    <w:p>
      <w:pPr>
        <w:spacing w:after="0" w:line="64" w:lineRule="exact"/>
        <w:rPr>
          <w:rFonts w:ascii="Arial" w:cs="Arial" w:eastAsia="Arial" w:hAnsi="Arial"/>
          <w:sz w:val="20"/>
          <w:szCs w:val="20"/>
          <w:color w:val="454546"/>
        </w:rPr>
      </w:pPr>
    </w:p>
    <w:p>
      <w:pPr>
        <w:ind w:left="980" w:right="360" w:hanging="490"/>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the potential burden of complying with a variety of foreign laws, medical standards and regulatory requirements, including the regulation of pharmaceutical and biotechnology products and treatment.</w:t>
      </w:r>
    </w:p>
    <w:p>
      <w:pPr>
        <w:spacing w:after="0" w:line="50"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454546"/>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50</w:t>
      </w:r>
    </w:p>
    <w:p>
      <w:pPr>
        <w:sectPr>
          <w:pgSz w:w="12240" w:h="15840" w:orient="portrait"/>
          <w:cols w:equalWidth="0" w:num="1">
            <w:col w:w="9360"/>
          </w:cols>
          <w:pgMar w:left="1440" w:top="1434" w:right="1440" w:bottom="175" w:gutter="0" w:footer="0" w:header="0"/>
          <w:type w:val="continuous"/>
        </w:sectPr>
      </w:pPr>
    </w:p>
    <w:bookmarkStart w:id="52" w:name="page53"/>
    <w:bookmarkEnd w:id="52"/>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submitting an IND, initiating clinical trials or seeking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3"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454546"/>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19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p>
    <w:p>
      <w:pPr>
        <w:spacing w:after="0" w:line="83"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Serious adverse events or other side effects observed in any of our clinical trials, through our expanded access program, or in similar trials by other sponsors, may result in difficulty recruiting patients to the clinical trials, cause patients to drop out of our trials, or require that we abandon the trials or our development efforts of that product candidate altogether.</w:t>
      </w:r>
    </w:p>
    <w:p>
      <w:pPr>
        <w:spacing w:after="0" w:line="7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For example, in November 2025, we announced that the FDA placed MyPEAK-1 on clinical hold to request a protocol amendment, primarily to standardize activities related to patient monitoring and management of the immunosuppressive regimen across trial sites. While the hold was lifted after swift and collaborative engagement with the FDA, there is no assurance that it or any future hold on our clinical trials would not have a material adverse effect on our business or our data milestones or development timelines for TN-201 or other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51</w:t>
      </w:r>
    </w:p>
    <w:p>
      <w:pPr>
        <w:sectPr>
          <w:pgSz w:w="12240" w:h="15840" w:orient="portrait"/>
          <w:cols w:equalWidth="0" w:num="1">
            <w:col w:w="9360"/>
          </w:cols>
          <w:pgMar w:left="1440" w:top="1420" w:right="1440" w:bottom="175" w:gutter="0" w:footer="0" w:header="0"/>
          <w:type w:val="continuous"/>
        </w:sectPr>
      </w:pPr>
    </w:p>
    <w:bookmarkStart w:id="53" w:name="page54"/>
    <w:bookmarkEnd w:id="53"/>
    <w:p>
      <w:pPr>
        <w:ind w:firstLine="490"/>
        <w:spacing w:after="0" w:line="242" w:lineRule="auto"/>
        <w:rPr>
          <w:sz w:val="20"/>
          <w:szCs w:val="20"/>
          <w:color w:val="auto"/>
        </w:rPr>
      </w:pPr>
      <w:r>
        <w:rPr>
          <w:rFonts w:ascii="Times New Roman" w:cs="Times New Roman" w:eastAsia="Times New Roman" w:hAnsi="Times New Roman"/>
          <w:sz w:val="20"/>
          <w:szCs w:val="20"/>
          <w:color w:val="454546"/>
        </w:rPr>
        <w:t>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2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 -stage trials until we have demonstrated satisfactory safety, which could delay regulatory approval, limit the size of the patient population to which we may market our product candidates, or prevent regulatory approval.</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6"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454546"/>
        </w:rPr>
        <w:t>We do not know whether any clinical trials we may conduct will demonstrate consistent or adequate efficacy and safety sufficient to obtain approval to market any of our product candidates.</w:t>
      </w:r>
    </w:p>
    <w:p>
      <w:pPr>
        <w:spacing w:after="0" w:line="169"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experience delays or difficulties in the enrollment and/or maintenance of patients in clinical trials, our regulatory submissions or receipt of necessary marketing approvals could be delayed or prevented.</w:t>
      </w:r>
    </w:p>
    <w:p>
      <w:pPr>
        <w:spacing w:after="0" w:line="4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454546"/>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52</w:t>
      </w:r>
    </w:p>
    <w:p>
      <w:pPr>
        <w:sectPr>
          <w:pgSz w:w="12240" w:h="15840" w:orient="portrait"/>
          <w:cols w:equalWidth="0" w:num="1">
            <w:col w:w="9360"/>
          </w:cols>
          <w:pgMar w:left="1440" w:top="1420" w:right="1440" w:bottom="175" w:gutter="0" w:footer="0" w:header="0"/>
          <w:type w:val="continuous"/>
        </w:sectPr>
      </w:pPr>
    </w:p>
    <w:bookmarkStart w:id="54" w:name="page55"/>
    <w:bookmarkEnd w:id="54"/>
    <w:p>
      <w:pPr>
        <w:ind w:right="180"/>
        <w:spacing w:after="0" w:line="247" w:lineRule="auto"/>
        <w:rPr>
          <w:sz w:val="20"/>
          <w:szCs w:val="20"/>
          <w:color w:val="auto"/>
        </w:rPr>
      </w:pPr>
      <w:r>
        <w:rPr>
          <w:rFonts w:ascii="Times New Roman" w:cs="Times New Roman" w:eastAsia="Times New Roman" w:hAnsi="Times New Roman"/>
          <w:sz w:val="20"/>
          <w:szCs w:val="20"/>
          <w:color w:val="454546"/>
        </w:rPr>
        <w:t>in advising patients enrolled in our clinical trials to withdraw from our studies to try alternative therapies. Patients also have the right to withdraw from our clinical trials for any reason. Enrollment may also be impacted by an IRB or ethics committee decision to pause or stop enrollment at a trial site, a DSMB recommendation to pause or stop trial enrollment, or a decision by a regulatory authority to pause or stop trial enrollment in a particular country. Additionally, the FDA, EMA or other comparable foreign regulatory authorities may require long-term follow-up assessments for a certain number of patients, which could delay marketing approval.</w:t>
      </w:r>
    </w:p>
    <w:p>
      <w:pPr>
        <w:spacing w:after="0" w:line="8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454546"/>
        </w:rPr>
        <w:t>We also expect patient enrollment to be affected because our competitors have ongoing clinical trials for programs that are under development or are approved for the same indications as our product candidates, and patients who would otherwise be eligible for our clinical trials could instead enroll in clinical trials of our competitors’ programs or choose to take an approved medication. Patient enrollment for our clinical trials has been and may continue to be affected by other factors, including:</w:t>
      </w:r>
    </w:p>
    <w:p>
      <w:pPr>
        <w:spacing w:after="0" w:line="91" w:lineRule="exact"/>
        <w:rPr>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size and nature of the patient population;</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perceived risks and benefits of novel, unproven approaches;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severity of the disease under investigation;</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availability and efficacy of approved drugs for the disease under investigation;</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ongoing clinical trials evaluating other product candidates in the same disease under investigation;</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patient eligibility criteria for the trial in question as defined in the protocol;</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perceived risks and benefits of the product candidate under study;</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regulatory actions, ongoing IRB and/or ethics committee decisions and DSMB recommendations;</w:t>
      </w:r>
    </w:p>
    <w:p>
      <w:pPr>
        <w:spacing w:after="0" w:line="133" w:lineRule="exact"/>
        <w:rPr>
          <w:rFonts w:ascii="Arial" w:cs="Arial" w:eastAsia="Arial" w:hAnsi="Arial"/>
          <w:sz w:val="20"/>
          <w:szCs w:val="20"/>
          <w:color w:val="454546"/>
        </w:rPr>
      </w:pPr>
    </w:p>
    <w:p>
      <w:pPr>
        <w:ind w:left="980" w:right="420" w:hanging="490"/>
        <w:spacing w:after="0" w:line="258"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1"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public perception about the use of genetic medicines in human therapeutics or precision medicine;</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patient referral practices of physicians;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challenges associated with recruiting eligible patients;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ability to monitor patients adequately during and after treatment;</w:t>
      </w:r>
    </w:p>
    <w:p>
      <w:pPr>
        <w:spacing w:after="0" w:line="133" w:lineRule="exact"/>
        <w:rPr>
          <w:rFonts w:ascii="Arial" w:cs="Arial" w:eastAsia="Arial" w:hAnsi="Arial"/>
          <w:sz w:val="20"/>
          <w:szCs w:val="20"/>
          <w:color w:val="454546"/>
        </w:rPr>
      </w:pPr>
    </w:p>
    <w:p>
      <w:pPr>
        <w:ind w:left="980" w:right="300" w:hanging="490"/>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limited staff and resources at clinical trial sites, including support for clinical trial enrollment and the availability of hospital beds;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activities of key opinion leaders (KOLs) and patient advocacy groups;</w:t>
      </w:r>
    </w:p>
    <w:p>
      <w:pPr>
        <w:spacing w:after="0" w:line="133" w:lineRule="exact"/>
        <w:rPr>
          <w:rFonts w:ascii="Arial" w:cs="Arial" w:eastAsia="Arial" w:hAnsi="Arial"/>
          <w:sz w:val="20"/>
          <w:szCs w:val="20"/>
          <w:color w:val="454546"/>
        </w:rPr>
      </w:pPr>
    </w:p>
    <w:p>
      <w:pPr>
        <w:ind w:left="980" w:right="460" w:hanging="490"/>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proximity and availability of clinical trial sites for prospective patients and the ability of patients to travel to these sites;</w:t>
      </w:r>
    </w:p>
    <w:p>
      <w:pPr>
        <w:spacing w:after="0" w:line="64" w:lineRule="exact"/>
        <w:rPr>
          <w:rFonts w:ascii="Arial" w:cs="Arial" w:eastAsia="Arial" w:hAnsi="Arial"/>
          <w:sz w:val="20"/>
          <w:szCs w:val="20"/>
          <w:color w:val="454546"/>
        </w:rPr>
      </w:pPr>
    </w:p>
    <w:p>
      <w:pPr>
        <w:ind w:left="980" w:right="260" w:hanging="490"/>
        <w:spacing w:after="0" w:line="258"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practical and financial burden of the trial protocol on patients, including conflicts with their work, family and personal activities, as well as travel costs, lodging, lost wages and insufficient reimbursement or support;</w:t>
      </w:r>
    </w:p>
    <w:p>
      <w:pPr>
        <w:spacing w:after="0" w:line="81"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site activation, contracting and budget approvals;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protocol amendments, reviews and approvals;</w:t>
      </w:r>
    </w:p>
    <w:p>
      <w:pPr>
        <w:spacing w:after="0" w:line="133" w:lineRule="exact"/>
        <w:rPr>
          <w:rFonts w:ascii="Arial" w:cs="Arial" w:eastAsia="Arial" w:hAnsi="Arial"/>
          <w:sz w:val="20"/>
          <w:szCs w:val="20"/>
          <w:color w:val="454546"/>
        </w:rPr>
      </w:pPr>
    </w:p>
    <w:p>
      <w:pPr>
        <w:ind w:left="980" w:right="260" w:hanging="490"/>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the risk that patients enrolled in clinical trials will drop out of the trials before completion or, because they may have an advanced disease, will not survive the full terms of the clinical trials; and</w:t>
      </w:r>
    </w:p>
    <w:p>
      <w:pPr>
        <w:spacing w:after="0" w:line="64" w:lineRule="exact"/>
        <w:rPr>
          <w:rFonts w:ascii="Arial" w:cs="Arial" w:eastAsia="Arial" w:hAnsi="Arial"/>
          <w:sz w:val="20"/>
          <w:szCs w:val="20"/>
          <w:color w:val="454546"/>
        </w:rPr>
      </w:pPr>
    </w:p>
    <w:p>
      <w:pPr>
        <w:ind w:left="980" w:right="240" w:hanging="490"/>
        <w:spacing w:after="0" w:line="276" w:lineRule="auto"/>
        <w:tabs>
          <w:tab w:leader="none" w:pos="980" w:val="left"/>
        </w:tabs>
        <w:numPr>
          <w:ilvl w:val="0"/>
          <w:numId w:val="28"/>
        </w:numPr>
        <w:rPr>
          <w:rFonts w:ascii="Arial" w:cs="Arial" w:eastAsia="Arial" w:hAnsi="Arial"/>
          <w:sz w:val="20"/>
          <w:szCs w:val="20"/>
          <w:color w:val="454546"/>
        </w:rPr>
      </w:pPr>
      <w:r>
        <w:rPr>
          <w:rFonts w:ascii="Times New Roman" w:cs="Times New Roman" w:eastAsia="Times New Roman" w:hAnsi="Times New Roman"/>
          <w:sz w:val="20"/>
          <w:szCs w:val="20"/>
          <w:color w:val="454546"/>
        </w:rPr>
        <w:t>limitations on the rate of patient enrollment required by the clinical trial protocol, including those that may be requested by health authorities.</w:t>
      </w:r>
    </w:p>
    <w:p>
      <w:pPr>
        <w:spacing w:after="0" w:line="50" w:lineRule="exact"/>
        <w:rPr>
          <w:sz w:val="20"/>
          <w:szCs w:val="20"/>
          <w:color w:val="auto"/>
        </w:rPr>
      </w:pPr>
    </w:p>
    <w:p>
      <w:pPr>
        <w:jc w:val="both"/>
        <w:ind w:right="20" w:firstLine="490"/>
        <w:spacing w:after="0" w:line="278" w:lineRule="auto"/>
        <w:rPr>
          <w:sz w:val="20"/>
          <w:szCs w:val="20"/>
          <w:color w:val="auto"/>
        </w:rPr>
      </w:pPr>
      <w:r>
        <w:rPr>
          <w:rFonts w:ascii="Times New Roman" w:cs="Times New Roman" w:eastAsia="Times New Roman" w:hAnsi="Times New Roman"/>
          <w:sz w:val="19"/>
          <w:szCs w:val="19"/>
          <w:color w:val="454546"/>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53</w:t>
      </w:r>
    </w:p>
    <w:p>
      <w:pPr>
        <w:sectPr>
          <w:pgSz w:w="12240" w:h="15840" w:orient="portrait"/>
          <w:cols w:equalWidth="0" w:num="1">
            <w:col w:w="9360"/>
          </w:cols>
          <w:pgMar w:left="1440" w:top="1420" w:right="1440" w:bottom="175" w:gutter="0" w:footer="0" w:header="0"/>
          <w:type w:val="continuous"/>
        </w:sectPr>
      </w:pPr>
    </w:p>
    <w:bookmarkStart w:id="55" w:name="page56"/>
    <w:bookmarkEnd w:id="55"/>
    <w:p>
      <w:pPr>
        <w:jc w:val="both"/>
        <w:ind w:right="140"/>
        <w:spacing w:after="0" w:line="258" w:lineRule="auto"/>
        <w:rPr>
          <w:sz w:val="20"/>
          <w:szCs w:val="20"/>
          <w:color w:val="auto"/>
        </w:rPr>
      </w:pPr>
      <w:r>
        <w:rPr>
          <w:rFonts w:ascii="Times New Roman" w:cs="Times New Roman" w:eastAsia="Times New Roman" w:hAnsi="Times New Roman"/>
          <w:sz w:val="20"/>
          <w:szCs w:val="20"/>
          <w:color w:val="454546"/>
        </w:rPr>
        <w:t>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8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Due to the significant resources required for the development of product candidates, in particular our product candidates in clinical trials, we must decide which programs, product candidates and indications to pursue and advance the amount of resources to allocate to each. For example, in connection with our cost containment measures, we are prioritizing generating data from our MyPEAK-1 and RIDGE-1 clinical trials of TN-201 and TN-401, respectively. Our decisions concerning the allocation of research, development, 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6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80"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454546"/>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7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54</w:t>
      </w:r>
    </w:p>
    <w:p>
      <w:pPr>
        <w:sectPr>
          <w:pgSz w:w="12240" w:h="15840" w:orient="portrait"/>
          <w:cols w:equalWidth="0" w:num="1">
            <w:col w:w="9360"/>
          </w:cols>
          <w:pgMar w:left="1440" w:top="1420" w:right="1440" w:bottom="175" w:gutter="0" w:footer="0" w:header="0"/>
          <w:type w:val="continuous"/>
        </w:sectPr>
      </w:pPr>
    </w:p>
    <w:bookmarkStart w:id="56" w:name="page57"/>
    <w:bookmarkEnd w:id="56"/>
    <w:p>
      <w:pPr>
        <w:ind w:right="480"/>
        <w:spacing w:after="0" w:line="258" w:lineRule="auto"/>
        <w:rPr>
          <w:sz w:val="20"/>
          <w:szCs w:val="20"/>
          <w:color w:val="auto"/>
        </w:rPr>
      </w:pPr>
      <w:r>
        <w:rPr>
          <w:rFonts w:ascii="Times New Roman" w:cs="Times New Roman" w:eastAsia="Times New Roman" w:hAnsi="Times New Roman"/>
          <w:sz w:val="20"/>
          <w:szCs w:val="20"/>
          <w:color w:val="454546"/>
        </w:rPr>
        <w:t>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6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0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Initial, interim and topline data from our clinical trials that we announce or publish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trials,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w:t>
      </w:r>
    </w:p>
    <w:p>
      <w:pPr>
        <w:spacing w:after="0" w:line="9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8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68" w:lineRule="exact"/>
        <w:rPr>
          <w:sz w:val="20"/>
          <w:szCs w:val="20"/>
          <w:color w:val="auto"/>
        </w:rPr>
      </w:pPr>
    </w:p>
    <w:p>
      <w:pPr>
        <w:ind w:right="120" w:firstLine="490"/>
        <w:spacing w:after="0" w:line="263" w:lineRule="auto"/>
        <w:rPr>
          <w:sz w:val="20"/>
          <w:szCs w:val="20"/>
          <w:color w:val="auto"/>
        </w:rPr>
      </w:pPr>
      <w:r>
        <w:rPr>
          <w:rFonts w:ascii="Times New Roman" w:cs="Times New Roman" w:eastAsia="Times New Roman" w:hAnsi="Times New Roman"/>
          <w:sz w:val="19"/>
          <w:szCs w:val="19"/>
          <w:color w:val="454546"/>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ensure that the process works and the product candidate is made strictly and consistently in compliance with the process. Problems with the manufacturing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55</w:t>
      </w:r>
    </w:p>
    <w:p>
      <w:pPr>
        <w:sectPr>
          <w:pgSz w:w="12240" w:h="15840" w:orient="portrait"/>
          <w:cols w:equalWidth="0" w:num="1">
            <w:col w:w="9360"/>
          </w:cols>
          <w:pgMar w:left="1440" w:top="1420" w:right="1440" w:bottom="175" w:gutter="0" w:footer="0" w:header="0"/>
          <w:type w:val="continuous"/>
        </w:sectPr>
      </w:pPr>
    </w:p>
    <w:bookmarkStart w:id="57" w:name="page58"/>
    <w:bookmarkEnd w:id="57"/>
    <w:p>
      <w:pPr>
        <w:ind w:right="180"/>
        <w:spacing w:after="0" w:line="252" w:lineRule="auto"/>
        <w:rPr>
          <w:sz w:val="20"/>
          <w:szCs w:val="20"/>
          <w:color w:val="auto"/>
        </w:rPr>
      </w:pPr>
      <w:r>
        <w:rPr>
          <w:rFonts w:ascii="Times New Roman" w:cs="Times New Roman" w:eastAsia="Times New Roman" w:hAnsi="Times New Roman"/>
          <w:sz w:val="20"/>
          <w:szCs w:val="20"/>
          <w:color w:val="454546"/>
        </w:rPr>
        <w:t>process, even minor deviations from the normal process, including during the manufacture of drug substance, drug product, filling, labeling, packaging, storage, shipping, QC and testing and/or in connection with release assays, including potency assays, could result in product defects, lot failures, product recalls, product liability claims or insufficient inventory, and may ultimately disrupt or delay the supply of our product candidates.</w:t>
      </w:r>
    </w:p>
    <w:p>
      <w:pPr>
        <w:spacing w:after="0" w:line="74" w:lineRule="exact"/>
        <w:rPr>
          <w:sz w:val="20"/>
          <w:szCs w:val="20"/>
          <w:color w:val="auto"/>
        </w:rPr>
      </w:pPr>
    </w:p>
    <w:p>
      <w:pPr>
        <w:ind w:right="80" w:firstLine="432"/>
        <w:spacing w:after="0" w:line="245" w:lineRule="auto"/>
        <w:rPr>
          <w:sz w:val="20"/>
          <w:szCs w:val="20"/>
          <w:color w:val="auto"/>
        </w:rPr>
      </w:pPr>
      <w:r>
        <w:rPr>
          <w:rFonts w:ascii="Times New Roman" w:cs="Times New Roman" w:eastAsia="Times New Roman" w:hAnsi="Times New Roman"/>
          <w:sz w:val="20"/>
          <w:szCs w:val="20"/>
          <w:color w:val="454546"/>
        </w:rPr>
        <w:t>Although some of our employees have experience in the manufacturing of biopharmaceutical products from prior employment at other companies, we as a company have limited experience in manufacturing and oversight of CDMOs conducting manufacturing activities on our behalf. We may also encounter problems hiring and retaining the experienced personnel needed to manage our complex manufacturing operations, including those outsourced to CDMOs. If we experience unanticipated employee shortage or turnover in any of these areas, we may not be able to maintain oversight of our QC, conduct further process improvements or meet our product development timelines; we may also experience difficulties in maintaining compliance with applicable regulatory requirements, which would impair our product development and commercialization efforts.</w:t>
      </w:r>
    </w:p>
    <w:p>
      <w:pPr>
        <w:spacing w:after="0" w:line="82" w:lineRule="exact"/>
        <w:rPr>
          <w:sz w:val="20"/>
          <w:szCs w:val="20"/>
          <w:color w:val="auto"/>
        </w:rPr>
      </w:pPr>
    </w:p>
    <w:p>
      <w:pPr>
        <w:ind w:right="60" w:firstLine="432"/>
        <w:spacing w:after="0" w:line="245" w:lineRule="auto"/>
        <w:rPr>
          <w:sz w:val="20"/>
          <w:szCs w:val="20"/>
          <w:color w:val="auto"/>
        </w:rPr>
      </w:pPr>
      <w:r>
        <w:rPr>
          <w:rFonts w:ascii="Times New Roman" w:cs="Times New Roman" w:eastAsia="Times New Roman" w:hAnsi="Times New Roman"/>
          <w:sz w:val="20"/>
          <w:szCs w:val="20"/>
          <w:color w:val="454546"/>
        </w:rPr>
        <w:t>To date, our product candidates have been manufactured in quantities adequate for preclinical studies and our Phase 1b/2 clinical trials for our lead product candidates. We will need to manufacture product candidates in larger quantities for commercialization of the resulting product, if that product candidate is approved for sale, and we may need to manufacture more product to conduct later-stage clinical trials.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82"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20"/>
          <w:szCs w:val="20"/>
          <w:color w:val="454546"/>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Moreover, if we choose to transfer manufacturing activities for our clinical-stage gene therapy programs to a CDMO, we may also be required to conduct additional studies to ensure comparability, notify and submit additional filings to regulatory authorities, and obtain regulatory authority approval for the new facilities, which may be delayed or never received. While the manufacturing process alone is complex, quality issues may also arise during drug product filling, labeling, packaging, storage, shipping and ongoing QC and testing activities.</w:t>
      </w:r>
    </w:p>
    <w:p>
      <w:pPr>
        <w:spacing w:after="0" w:line="93" w:lineRule="exact"/>
        <w:rPr>
          <w:sz w:val="20"/>
          <w:szCs w:val="20"/>
          <w:color w:val="auto"/>
        </w:rPr>
      </w:pPr>
    </w:p>
    <w:p>
      <w:pPr>
        <w:jc w:val="both"/>
        <w:ind w:right="120" w:firstLine="432"/>
        <w:spacing w:after="0" w:line="258" w:lineRule="auto"/>
        <w:rPr>
          <w:sz w:val="20"/>
          <w:szCs w:val="20"/>
          <w:color w:val="auto"/>
        </w:rPr>
      </w:pPr>
      <w:r>
        <w:rPr>
          <w:rFonts w:ascii="Times New Roman" w:cs="Times New Roman" w:eastAsia="Times New Roman" w:hAnsi="Times New Roman"/>
          <w:sz w:val="20"/>
          <w:szCs w:val="20"/>
          <w:color w:val="454546"/>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The manufacture of our product candidates will be subject to significant government regulations and approvals, which are often costly and could result in adverse consequences to our business if we or our CDMO’s fail to comply with the regulations or maintain the approvals.</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will need to comply with the FDA’s and applicable foreign regulatory authorities’ cGMP requirements for the production of product candidates for clinical trials and, if approved, commercial supply. We and our CDMOs will be subject to inspections by the FDA and comparable agencies in other jurisdictions to confirm compliance with applicable regulatory requirements. These requirements include the qualification and validation of manufacturing equipment and processes. Any failure to follow cGMP or other regulatory requirements or delay, interruption or other issues that arise in the manufacture of our product candidates as a result of a failure of our facilities or the facilities or operations of our CDMOs or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56</w:t>
      </w:r>
    </w:p>
    <w:p>
      <w:pPr>
        <w:sectPr>
          <w:pgSz w:w="12240" w:h="15840" w:orient="portrait"/>
          <w:cols w:equalWidth="0" w:num="1">
            <w:col w:w="9360"/>
          </w:cols>
          <w:pgMar w:left="1440" w:top="1420" w:right="1440" w:bottom="175" w:gutter="0" w:footer="0" w:header="0"/>
          <w:type w:val="continuous"/>
        </w:sectPr>
      </w:pPr>
    </w:p>
    <w:bookmarkStart w:id="58" w:name="page59"/>
    <w:bookmarkEnd w:id="58"/>
    <w:p>
      <w:pPr>
        <w:ind w:right="100"/>
        <w:spacing w:after="0" w:line="246" w:lineRule="auto"/>
        <w:rPr>
          <w:sz w:val="20"/>
          <w:szCs w:val="20"/>
          <w:color w:val="auto"/>
        </w:rPr>
      </w:pPr>
      <w:r>
        <w:rPr>
          <w:rFonts w:ascii="Times New Roman" w:cs="Times New Roman" w:eastAsia="Times New Roman" w:hAnsi="Times New Roman"/>
          <w:sz w:val="20"/>
          <w:szCs w:val="20"/>
          <w:color w:val="454546"/>
        </w:rPr>
        <w:t>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spacing w:after="0" w:line="20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product candidates may not achieve adequate market acceptance among physicians, patients, healthcare payors and others in the medical community necessary for commercial success.</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91" w:lineRule="exact"/>
        <w:rPr>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efficacy and safety profile as demonstrated in clinical trials compared to alternative treatments;</w:t>
      </w:r>
    </w:p>
    <w:p>
      <w:pPr>
        <w:spacing w:after="0" w:line="133" w:lineRule="exact"/>
        <w:rPr>
          <w:rFonts w:ascii="Arial" w:cs="Arial" w:eastAsia="Arial" w:hAnsi="Arial"/>
          <w:sz w:val="20"/>
          <w:szCs w:val="20"/>
          <w:color w:val="454546"/>
        </w:rPr>
      </w:pPr>
    </w:p>
    <w:p>
      <w:pPr>
        <w:ind w:left="980" w:right="28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perceived safety and efficacy profile and ease of use for pediatric patient population if approved for a pediatric indication;</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of market introduction of the product candidate as well as competitive products;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clinical indications for which a product candidate is approved;</w:t>
      </w:r>
    </w:p>
    <w:p>
      <w:pPr>
        <w:spacing w:after="0" w:line="133" w:lineRule="exact"/>
        <w:rPr>
          <w:rFonts w:ascii="Arial" w:cs="Arial" w:eastAsia="Arial" w:hAnsi="Arial"/>
          <w:sz w:val="20"/>
          <w:szCs w:val="20"/>
          <w:color w:val="454546"/>
        </w:rPr>
      </w:pPr>
    </w:p>
    <w:p>
      <w:pPr>
        <w:ind w:left="980" w:right="160" w:hanging="490"/>
        <w:spacing w:after="0" w:line="258"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1" w:lineRule="exact"/>
        <w:rPr>
          <w:rFonts w:ascii="Arial" w:cs="Arial" w:eastAsia="Arial" w:hAnsi="Arial"/>
          <w:sz w:val="20"/>
          <w:szCs w:val="20"/>
          <w:color w:val="454546"/>
        </w:rPr>
      </w:pPr>
    </w:p>
    <w:p>
      <w:pPr>
        <w:ind w:left="980" w:right="8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physicians, hospitals, treatment centers and patients considering our product candidates a safe, pure and effective treatment;</w:t>
      </w:r>
    </w:p>
    <w:p>
      <w:pPr>
        <w:spacing w:after="0" w:line="64" w:lineRule="exact"/>
        <w:rPr>
          <w:rFonts w:ascii="Arial" w:cs="Arial" w:eastAsia="Arial" w:hAnsi="Arial"/>
          <w:sz w:val="20"/>
          <w:szCs w:val="20"/>
          <w:color w:val="454546"/>
        </w:rPr>
      </w:pPr>
    </w:p>
    <w:p>
      <w:pPr>
        <w:ind w:left="980" w:right="36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perceived prevalence and severity of any side effects for our product candidates compared to the prevalence and severity of any side effects for conventional products and other gene therapies;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potential and perceived advantages of our product candidates over alternative treatments;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cost of treatment in relation to alternative treatments;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relative convenience and ease of administration;</w:t>
      </w:r>
    </w:p>
    <w:p>
      <w:pPr>
        <w:spacing w:after="0" w:line="133" w:lineRule="exact"/>
        <w:rPr>
          <w:rFonts w:ascii="Arial" w:cs="Arial" w:eastAsia="Arial" w:hAnsi="Arial"/>
          <w:sz w:val="20"/>
          <w:szCs w:val="20"/>
          <w:color w:val="454546"/>
        </w:rPr>
      </w:pPr>
    </w:p>
    <w:p>
      <w:pPr>
        <w:ind w:left="980" w:right="6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willingness of the target patient population or their caregivers to try new therapies and of physicians to prescribe these therapies;</w:t>
      </w:r>
    </w:p>
    <w:p>
      <w:pPr>
        <w:spacing w:after="0" w:line="64" w:lineRule="exact"/>
        <w:rPr>
          <w:rFonts w:ascii="Arial" w:cs="Arial" w:eastAsia="Arial" w:hAnsi="Arial"/>
          <w:sz w:val="20"/>
          <w:szCs w:val="20"/>
          <w:color w:val="454546"/>
        </w:rPr>
      </w:pPr>
    </w:p>
    <w:p>
      <w:pPr>
        <w:ind w:left="980" w:right="380" w:hanging="490"/>
        <w:spacing w:after="0" w:line="258"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size of the relevant pediatric patient population if approved for a pediatric indication, including challenges associated with diagnosing or identifying pediatric populations with the applicable target disease or condition;</w:t>
      </w:r>
    </w:p>
    <w:p>
      <w:pPr>
        <w:spacing w:after="0" w:line="81" w:lineRule="exact"/>
        <w:rPr>
          <w:rFonts w:ascii="Arial" w:cs="Arial" w:eastAsia="Arial" w:hAnsi="Arial"/>
          <w:sz w:val="20"/>
          <w:szCs w:val="20"/>
          <w:color w:val="454546"/>
        </w:rPr>
      </w:pPr>
    </w:p>
    <w:p>
      <w:pPr>
        <w:ind w:left="980" w:right="24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availability of coverage and adequate reimbursement by third-party payors, including government authorities;</w:t>
      </w:r>
    </w:p>
    <w:p>
      <w:pPr>
        <w:spacing w:after="0" w:line="64" w:lineRule="exact"/>
        <w:rPr>
          <w:rFonts w:ascii="Arial" w:cs="Arial" w:eastAsia="Arial" w:hAnsi="Arial"/>
          <w:sz w:val="20"/>
          <w:szCs w:val="20"/>
          <w:color w:val="454546"/>
        </w:rPr>
      </w:pPr>
    </w:p>
    <w:p>
      <w:pPr>
        <w:ind w:left="980" w:right="98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patients’ willingness to pay for these therapies in the absence of such coverage and adequate reimbursement;</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the effectiveness of sales and marketing efforts;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support from KOLs and patient advocacy groups;</w:t>
      </w:r>
    </w:p>
    <w:p>
      <w:pPr>
        <w:spacing w:after="0" w:line="133" w:lineRule="exact"/>
        <w:rPr>
          <w:rFonts w:ascii="Arial" w:cs="Arial" w:eastAsia="Arial" w:hAnsi="Arial"/>
          <w:sz w:val="20"/>
          <w:szCs w:val="20"/>
          <w:color w:val="454546"/>
        </w:rPr>
      </w:pPr>
    </w:p>
    <w:p>
      <w:pPr>
        <w:ind w:left="980" w:right="120" w:hanging="490"/>
        <w:spacing w:after="0" w:line="276" w:lineRule="auto"/>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negative public perception about the use of genetic medicines, whether related to our technology or our competitor’s technology;</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29"/>
        </w:numPr>
        <w:rPr>
          <w:rFonts w:ascii="Arial" w:cs="Arial" w:eastAsia="Arial" w:hAnsi="Arial"/>
          <w:sz w:val="20"/>
          <w:szCs w:val="20"/>
          <w:color w:val="454546"/>
        </w:rPr>
      </w:pPr>
      <w:r>
        <w:rPr>
          <w:rFonts w:ascii="Times New Roman" w:cs="Times New Roman" w:eastAsia="Times New Roman" w:hAnsi="Times New Roman"/>
          <w:sz w:val="20"/>
          <w:szCs w:val="20"/>
          <w:color w:val="454546"/>
        </w:rPr>
        <w:t>unfavorable publicity relating to our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57</w:t>
      </w:r>
    </w:p>
    <w:p>
      <w:pPr>
        <w:sectPr>
          <w:pgSz w:w="12240" w:h="15840" w:orient="portrait"/>
          <w:cols w:equalWidth="0" w:num="1">
            <w:col w:w="9360"/>
          </w:cols>
          <w:pgMar w:left="1440" w:top="1420" w:right="1440" w:bottom="175" w:gutter="0" w:footer="0" w:header="0"/>
          <w:type w:val="continuous"/>
        </w:sectPr>
      </w:pPr>
    </w:p>
    <w:bookmarkStart w:id="59" w:name="page60"/>
    <w:bookmarkEnd w:id="59"/>
    <w:p>
      <w:pPr>
        <w:ind w:left="980" w:hanging="490"/>
        <w:spacing w:after="0"/>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the approval of other new therapies for the same indications; and</w:t>
      </w:r>
    </w:p>
    <w:p>
      <w:pPr>
        <w:spacing w:after="0" w:line="133" w:lineRule="exact"/>
        <w:rPr>
          <w:rFonts w:ascii="Arial" w:cs="Arial" w:eastAsia="Arial" w:hAnsi="Arial"/>
          <w:sz w:val="20"/>
          <w:szCs w:val="20"/>
          <w:color w:val="454546"/>
        </w:rPr>
      </w:pPr>
    </w:p>
    <w:p>
      <w:pPr>
        <w:ind w:left="980" w:right="440" w:hanging="490"/>
        <w:spacing w:after="0" w:line="276" w:lineRule="auto"/>
        <w:tabs>
          <w:tab w:leader="none" w:pos="980" w:val="left"/>
        </w:tabs>
        <w:numPr>
          <w:ilvl w:val="0"/>
          <w:numId w:val="30"/>
        </w:numPr>
        <w:rPr>
          <w:rFonts w:ascii="Arial" w:cs="Arial" w:eastAsia="Arial" w:hAnsi="Arial"/>
          <w:sz w:val="20"/>
          <w:szCs w:val="20"/>
          <w:color w:val="454546"/>
        </w:rPr>
      </w:pPr>
      <w:r>
        <w:rPr>
          <w:rFonts w:ascii="Times New Roman" w:cs="Times New Roman" w:eastAsia="Times New Roman" w:hAnsi="Times New Roman"/>
          <w:sz w:val="20"/>
          <w:szCs w:val="20"/>
          <w:color w:val="454546"/>
        </w:rPr>
        <w:t>the acceptance and use of genetic testing required to diagnose the disease and identify patients who qualify for treatment with our product candidates.</w:t>
      </w:r>
    </w:p>
    <w:p>
      <w:pPr>
        <w:spacing w:after="0" w:line="50"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454546"/>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454546"/>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8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9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9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Any product candidates we develop may become subject to unfavorable third-party coverage and reimbursement practices, as well as pricing regulations.</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8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58</w:t>
      </w:r>
    </w:p>
    <w:p>
      <w:pPr>
        <w:sectPr>
          <w:pgSz w:w="12240" w:h="15840" w:orient="portrait"/>
          <w:cols w:equalWidth="0" w:num="1">
            <w:col w:w="9360"/>
          </w:cols>
          <w:pgMar w:left="1440" w:top="1434" w:right="1440" w:bottom="175" w:gutter="0" w:footer="0" w:header="0"/>
          <w:type w:val="continuous"/>
        </w:sectPr>
      </w:pPr>
    </w:p>
    <w:bookmarkStart w:id="60" w:name="page61"/>
    <w:bookmarkEnd w:id="60"/>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There is significant uncertainty related to third-party payor coverage and reimbursement of newly approved products. In the U.S., for example, principal decisions about reimbursement for new products are typically made by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2"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454546"/>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59</w:t>
      </w:r>
    </w:p>
    <w:p>
      <w:pPr>
        <w:sectPr>
          <w:pgSz w:w="12240" w:h="15840" w:orient="portrait"/>
          <w:cols w:equalWidth="0" w:num="1">
            <w:col w:w="9360"/>
          </w:cols>
          <w:pgMar w:left="1440" w:top="1420" w:right="1440" w:bottom="175" w:gutter="0" w:footer="0" w:header="0"/>
          <w:type w:val="continuous"/>
        </w:sectPr>
      </w:pPr>
    </w:p>
    <w:bookmarkStart w:id="61" w:name="page62"/>
    <w:bookmarkEnd w:id="61"/>
    <w:p>
      <w:pPr>
        <w:ind w:right="400"/>
        <w:spacing w:after="0" w:line="277" w:lineRule="auto"/>
        <w:rPr>
          <w:sz w:val="20"/>
          <w:szCs w:val="20"/>
          <w:color w:val="auto"/>
        </w:rPr>
      </w:pPr>
      <w:r>
        <w:rPr>
          <w:rFonts w:ascii="Times New Roman" w:cs="Times New Roman" w:eastAsia="Times New Roman" w:hAnsi="Times New Roman"/>
          <w:sz w:val="20"/>
          <w:szCs w:val="20"/>
          <w:color w:val="454546"/>
        </w:rPr>
        <w:t>collaborators entitle us to indemnification against losses, such indemnification may not be available or adequate should any claim arise.</w:t>
      </w:r>
    </w:p>
    <w:p>
      <w:pPr>
        <w:spacing w:after="0" w:line="4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We may be sued if any of our product candidates or any medications, procedures or activities associated with our clinical trial protocols or our expanded access program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Regardless of the merits or eventual outcome, liability claims may result in:</w:t>
      </w:r>
    </w:p>
    <w:p>
      <w:pPr>
        <w:spacing w:after="0" w:line="134" w:lineRule="exact"/>
        <w:rPr>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the development of our product candidates;</w:t>
      </w:r>
    </w:p>
    <w:p>
      <w:pPr>
        <w:spacing w:after="0" w:line="133" w:lineRule="exact"/>
        <w:rPr>
          <w:rFonts w:ascii="Arial" w:cs="Arial" w:eastAsia="Arial" w:hAnsi="Arial"/>
          <w:sz w:val="20"/>
          <w:szCs w:val="20"/>
          <w:color w:val="454546"/>
        </w:rPr>
      </w:pPr>
    </w:p>
    <w:p>
      <w:pPr>
        <w:ind w:left="980" w:right="240" w:hanging="490"/>
        <w:spacing w:after="0" w:line="258" w:lineRule="auto"/>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FDA, EMA or other regulatory authority investigation of the safety and effectiveness of our products, our manufacturing processes and the facilities used to manufacture our products or our marketing programs;</w:t>
      </w:r>
    </w:p>
    <w:p>
      <w:pPr>
        <w:spacing w:after="0" w:line="81"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decreased or interrupted demand for our products;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injury to our reputation;</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withdrawal of clinical trial participants and inability to continue clinical trials;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costs to defend the related litigation;</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a diversion of management’s time and our resources;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substantial monetary awards to trial participants or patients;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 recalls, withdrawals or labeling, marketing, or promotional restrictions;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loss of revenue;</w:t>
      </w:r>
    </w:p>
    <w:p>
      <w:pPr>
        <w:spacing w:after="0" w:line="133" w:lineRule="exact"/>
        <w:rPr>
          <w:rFonts w:ascii="Arial" w:cs="Arial" w:eastAsia="Arial" w:hAnsi="Arial"/>
          <w:sz w:val="20"/>
          <w:szCs w:val="20"/>
          <w:color w:val="454546"/>
        </w:rPr>
      </w:pPr>
    </w:p>
    <w:p>
      <w:pPr>
        <w:ind w:left="980" w:right="920" w:hanging="490"/>
        <w:spacing w:after="0" w:line="276" w:lineRule="auto"/>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inability to raise capital or enter into strategic agreements for the development of our product candidates;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exhaustion of any available insurance and our capital resources; and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1"/>
        </w:numPr>
        <w:rPr>
          <w:rFonts w:ascii="Arial" w:cs="Arial" w:eastAsia="Arial" w:hAnsi="Arial"/>
          <w:sz w:val="20"/>
          <w:szCs w:val="20"/>
          <w:color w:val="454546"/>
        </w:rPr>
      </w:pPr>
      <w:r>
        <w:rPr>
          <w:rFonts w:ascii="Times New Roman" w:cs="Times New Roman" w:eastAsia="Times New Roman" w:hAnsi="Times New Roman"/>
          <w:sz w:val="20"/>
          <w:szCs w:val="20"/>
          <w:color w:val="454546"/>
        </w:rPr>
        <w:t>the inability to commercialize any products.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Regulatory Approval and Other Legal Compliance Matters</w:t>
      </w:r>
    </w:p>
    <w:p>
      <w:pPr>
        <w:spacing w:after="0" w:line="12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60</w:t>
      </w:r>
    </w:p>
    <w:p>
      <w:pPr>
        <w:sectPr>
          <w:pgSz w:w="12240" w:h="15840" w:orient="portrait"/>
          <w:cols w:equalWidth="0" w:num="1">
            <w:col w:w="9360"/>
          </w:cols>
          <w:pgMar w:left="1440" w:top="1420" w:right="1440" w:bottom="175" w:gutter="0" w:footer="0" w:header="0"/>
          <w:type w:val="continuous"/>
        </w:sectPr>
      </w:pPr>
    </w:p>
    <w:bookmarkStart w:id="62" w:name="page63"/>
    <w:bookmarkEnd w:id="62"/>
    <w:p>
      <w:pPr>
        <w:ind w:right="520"/>
        <w:spacing w:after="0" w:line="277" w:lineRule="auto"/>
        <w:rPr>
          <w:sz w:val="20"/>
          <w:szCs w:val="20"/>
          <w:color w:val="auto"/>
        </w:rPr>
      </w:pPr>
      <w:r>
        <w:rPr>
          <w:rFonts w:ascii="Times New Roman" w:cs="Times New Roman" w:eastAsia="Times New Roman" w:hAnsi="Times New Roman"/>
          <w:sz w:val="20"/>
          <w:szCs w:val="20"/>
          <w:color w:val="454546"/>
        </w:rPr>
        <w:t>authorities have substantial discretion in the approval process and may refuse to accept any application or may decide that our data are insufficient for approval and require additional preclinical, clinical or other data.</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83" w:lineRule="exact"/>
        <w:rPr>
          <w:sz w:val="20"/>
          <w:szCs w:val="20"/>
          <w:color w:val="auto"/>
        </w:rPr>
      </w:pPr>
    </w:p>
    <w:p>
      <w:pPr>
        <w:ind w:left="980" w:right="66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disagree with the design, implementation or results of our clinical trials;</w:t>
      </w:r>
    </w:p>
    <w:p>
      <w:pPr>
        <w:spacing w:after="0" w:line="64" w:lineRule="exact"/>
        <w:rPr>
          <w:rFonts w:ascii="Arial" w:cs="Arial" w:eastAsia="Arial" w:hAnsi="Arial"/>
          <w:sz w:val="20"/>
          <w:szCs w:val="20"/>
          <w:color w:val="454546"/>
        </w:rPr>
      </w:pPr>
    </w:p>
    <w:p>
      <w:pPr>
        <w:jc w:val="both"/>
        <w:ind w:left="980" w:right="20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refuse to accept an application or decide not to accept data from our clinical trials conducted in locations outside of their jurisdiction;</w:t>
      </w:r>
    </w:p>
    <w:p>
      <w:pPr>
        <w:spacing w:after="0" w:line="64" w:lineRule="exact"/>
        <w:rPr>
          <w:rFonts w:ascii="Arial" w:cs="Arial" w:eastAsia="Arial" w:hAnsi="Arial"/>
          <w:sz w:val="20"/>
          <w:szCs w:val="20"/>
          <w:color w:val="454546"/>
        </w:rPr>
      </w:pPr>
    </w:p>
    <w:p>
      <w:pPr>
        <w:ind w:left="980" w:right="80" w:hanging="490"/>
        <w:spacing w:after="0" w:line="252"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7" w:lineRule="exact"/>
        <w:rPr>
          <w:rFonts w:ascii="Arial" w:cs="Arial" w:eastAsia="Arial" w:hAnsi="Arial"/>
          <w:sz w:val="20"/>
          <w:szCs w:val="20"/>
          <w:color w:val="454546"/>
        </w:rPr>
      </w:pPr>
    </w:p>
    <w:p>
      <w:pPr>
        <w:ind w:left="980" w:right="54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454546"/>
        </w:rPr>
      </w:pPr>
    </w:p>
    <w:p>
      <w:pPr>
        <w:ind w:left="980" w:right="12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454546"/>
        </w:rPr>
      </w:pPr>
    </w:p>
    <w:p>
      <w:pPr>
        <w:ind w:left="980" w:right="76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require that we conduct additional preclinical studies or clinical trials;</w:t>
      </w:r>
    </w:p>
    <w:p>
      <w:pPr>
        <w:spacing w:after="0" w:line="64" w:lineRule="exact"/>
        <w:rPr>
          <w:rFonts w:ascii="Arial" w:cs="Arial" w:eastAsia="Arial" w:hAnsi="Arial"/>
          <w:sz w:val="20"/>
          <w:szCs w:val="20"/>
          <w:color w:val="454546"/>
        </w:rPr>
      </w:pPr>
    </w:p>
    <w:p>
      <w:pPr>
        <w:ind w:left="980" w:right="14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we may be unable to demonstrate to the FDA, EMA or other comparable foreign regulatory authorities that our product candidate’s risk-benefit ratio for its proposed indication is acceptable;</w:t>
      </w:r>
    </w:p>
    <w:p>
      <w:pPr>
        <w:spacing w:after="0" w:line="64" w:lineRule="exact"/>
        <w:rPr>
          <w:rFonts w:ascii="Arial" w:cs="Arial" w:eastAsia="Arial" w:hAnsi="Arial"/>
          <w:sz w:val="20"/>
          <w:szCs w:val="20"/>
          <w:color w:val="454546"/>
        </w:rPr>
      </w:pPr>
    </w:p>
    <w:p>
      <w:pPr>
        <w:ind w:left="980" w:right="240" w:hanging="490"/>
        <w:spacing w:after="0" w:line="258"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fail to approve the manufacturing processes, test procedures and specifications or facilities of CDMOs and or third-party manufacturers with which we contract for clinical and commercial supplies;</w:t>
      </w:r>
    </w:p>
    <w:p>
      <w:pPr>
        <w:spacing w:after="0" w:line="81" w:lineRule="exact"/>
        <w:rPr>
          <w:rFonts w:ascii="Arial" w:cs="Arial" w:eastAsia="Arial" w:hAnsi="Arial"/>
          <w:sz w:val="20"/>
          <w:szCs w:val="20"/>
          <w:color w:val="454546"/>
        </w:rPr>
      </w:pPr>
    </w:p>
    <w:p>
      <w:pPr>
        <w:ind w:left="980" w:right="54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FDA, EMA or other comparable foreign regulatory authorities may fail to approve companion diagnostic tests required for commercialization of our product candidates; and</w:t>
      </w:r>
    </w:p>
    <w:p>
      <w:pPr>
        <w:spacing w:after="0" w:line="64" w:lineRule="exact"/>
        <w:rPr>
          <w:rFonts w:ascii="Arial" w:cs="Arial" w:eastAsia="Arial" w:hAnsi="Arial"/>
          <w:sz w:val="20"/>
          <w:szCs w:val="20"/>
          <w:color w:val="454546"/>
        </w:rPr>
      </w:pPr>
    </w:p>
    <w:p>
      <w:pPr>
        <w:ind w:left="980" w:hanging="490"/>
        <w:spacing w:after="0" w:line="276" w:lineRule="auto"/>
        <w:tabs>
          <w:tab w:leader="none" w:pos="980" w:val="left"/>
        </w:tabs>
        <w:numPr>
          <w:ilvl w:val="0"/>
          <w:numId w:val="32"/>
        </w:numPr>
        <w:rPr>
          <w:rFonts w:ascii="Arial" w:cs="Arial" w:eastAsia="Arial" w:hAnsi="Arial"/>
          <w:sz w:val="20"/>
          <w:szCs w:val="20"/>
          <w:color w:val="454546"/>
        </w:rPr>
      </w:pPr>
      <w:r>
        <w:rPr>
          <w:rFonts w:ascii="Times New Roman" w:cs="Times New Roman" w:eastAsia="Times New Roman" w:hAnsi="Times New Roman"/>
          <w:sz w:val="20"/>
          <w:szCs w:val="20"/>
          <w:color w:val="454546"/>
        </w:rPr>
        <w:t>the approval policies or regulations of the FDA, EMA or other comparable foreign regulatory authorities may significantly change in a manner rendering our clinical data insufficient for approval.</w:t>
      </w:r>
    </w:p>
    <w:p>
      <w:pPr>
        <w:spacing w:after="0" w:line="5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Further, under the current leadership at the HHS, layoffs due to the reduction in force initiative and other measures implemented by the Department of Government Efficiency, agency staff departures, and lapse of government appropriations can impact the normal operations of the FDA as well as other federal agencies. The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spacing w:after="0" w:line="20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454546"/>
        </w:rPr>
        <w:t>If the FDA or EMA grants marketing approval of a product candidate, other comparable regulatory authorities in foreign jurisdictions must still approve the manufacturing, marketing and promotion and reimbursement of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61</w:t>
      </w:r>
    </w:p>
    <w:p>
      <w:pPr>
        <w:sectPr>
          <w:pgSz w:w="12240" w:h="15840" w:orient="portrait"/>
          <w:cols w:equalWidth="0" w:num="1">
            <w:col w:w="9360"/>
          </w:cols>
          <w:pgMar w:left="1440" w:top="1420" w:right="1440" w:bottom="175" w:gutter="0" w:footer="0" w:header="0"/>
          <w:type w:val="continuous"/>
        </w:sectPr>
      </w:pPr>
    </w:p>
    <w:bookmarkStart w:id="63" w:name="page64"/>
    <w:bookmarkEnd w:id="63"/>
    <w:p>
      <w:pPr>
        <w:ind w:right="140"/>
        <w:spacing w:after="0" w:line="247" w:lineRule="auto"/>
        <w:rPr>
          <w:sz w:val="20"/>
          <w:szCs w:val="20"/>
          <w:color w:val="auto"/>
        </w:rPr>
      </w:pPr>
      <w:r>
        <w:rPr>
          <w:rFonts w:ascii="Times New Roman" w:cs="Times New Roman" w:eastAsia="Times New Roman" w:hAnsi="Times New Roman"/>
          <w:sz w:val="20"/>
          <w:szCs w:val="20"/>
          <w:color w:val="454546"/>
        </w:rPr>
        <w:t>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8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454546"/>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Even if our product candidates receive regulatory approval, such approval may be for a narrower indication than we seek, and our product candidates will be subject to significant post-marketing regulatory requirements and oversight.</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9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In addition, if the FDA, EMA or other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 facilities where the products are manufactured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97" w:lineRule="exact"/>
        <w:rPr>
          <w:sz w:val="20"/>
          <w:szCs w:val="20"/>
          <w:color w:val="auto"/>
        </w:rPr>
      </w:pPr>
    </w:p>
    <w:p>
      <w:pPr>
        <w:ind w:left="980" w:hanging="490"/>
        <w:spacing w:after="0"/>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or the rejection of product approvals;</w:t>
      </w:r>
    </w:p>
    <w:p>
      <w:pPr>
        <w:spacing w:after="0" w:line="133" w:lineRule="exact"/>
        <w:rPr>
          <w:rFonts w:ascii="Arial" w:cs="Arial" w:eastAsia="Arial" w:hAnsi="Arial"/>
          <w:sz w:val="20"/>
          <w:szCs w:val="20"/>
          <w:color w:val="454546"/>
        </w:rPr>
      </w:pPr>
    </w:p>
    <w:p>
      <w:pPr>
        <w:ind w:left="980" w:right="120" w:hanging="490"/>
        <w:spacing w:after="0" w:line="276" w:lineRule="auto"/>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our ability to conduct clinical trials, including full or partial clinical holds on ongoing or planned trials;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on the products, manufacturers or manufacturing process;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warning or untitled letters;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civil and criminal penalties;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3"/>
        </w:numPr>
        <w:rPr>
          <w:rFonts w:ascii="Arial" w:cs="Arial" w:eastAsia="Arial" w:hAnsi="Arial"/>
          <w:sz w:val="20"/>
          <w:szCs w:val="20"/>
          <w:color w:val="454546"/>
        </w:rPr>
      </w:pPr>
      <w:r>
        <w:rPr>
          <w:rFonts w:ascii="Times New Roman" w:cs="Times New Roman" w:eastAsia="Times New Roman" w:hAnsi="Times New Roman"/>
          <w:sz w:val="20"/>
          <w:szCs w:val="20"/>
          <w:color w:val="454546"/>
        </w:rPr>
        <w:t>injunctions;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62</w:t>
      </w:r>
    </w:p>
    <w:p>
      <w:pPr>
        <w:sectPr>
          <w:pgSz w:w="12240" w:h="15840" w:orient="portrait"/>
          <w:cols w:equalWidth="0" w:num="1">
            <w:col w:w="9360"/>
          </w:cols>
          <w:pgMar w:left="1440" w:top="1420" w:right="1440" w:bottom="175" w:gutter="0" w:footer="0" w:header="0"/>
          <w:type w:val="continuous"/>
        </w:sectPr>
      </w:pPr>
    </w:p>
    <w:bookmarkStart w:id="64" w:name="page65"/>
    <w:bookmarkEnd w:id="64"/>
    <w:p>
      <w:pPr>
        <w:ind w:left="980" w:hanging="490"/>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suspension or withdrawal of regulatory approvals;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 seizures, detentions or import bans;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voluntary or mandatory product recalls and publicity requirements;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total or partial suspension of production; and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4"/>
        </w:numPr>
        <w:rPr>
          <w:rFonts w:ascii="Arial" w:cs="Arial" w:eastAsia="Arial" w:hAnsi="Arial"/>
          <w:sz w:val="20"/>
          <w:szCs w:val="20"/>
          <w:color w:val="454546"/>
        </w:rPr>
      </w:pPr>
      <w:r>
        <w:rPr>
          <w:rFonts w:ascii="Times New Roman" w:cs="Times New Roman" w:eastAsia="Times New Roman" w:hAnsi="Times New Roman"/>
          <w:sz w:val="20"/>
          <w:szCs w:val="20"/>
          <w:color w:val="454546"/>
        </w:rPr>
        <w:t>imposition of restrictions on operations, including costly new manufacturing requirements.</w:t>
      </w:r>
    </w:p>
    <w:p>
      <w:pPr>
        <w:spacing w:after="0" w:line="119"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454546"/>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w:t>
      </w:r>
    </w:p>
    <w:p>
      <w:pPr>
        <w:spacing w:after="0" w:line="93" w:lineRule="exact"/>
        <w:rPr>
          <w:sz w:val="20"/>
          <w:szCs w:val="20"/>
          <w:color w:val="auto"/>
        </w:rPr>
      </w:pPr>
    </w:p>
    <w:p>
      <w:pPr>
        <w:ind w:right="120" w:firstLine="490"/>
        <w:spacing w:after="0" w:line="256" w:lineRule="auto"/>
        <w:rPr>
          <w:sz w:val="20"/>
          <w:szCs w:val="20"/>
          <w:color w:val="auto"/>
        </w:rPr>
      </w:pPr>
      <w:r>
        <w:rPr>
          <w:rFonts w:ascii="Times New Roman" w:cs="Times New Roman" w:eastAsia="Times New Roman" w:hAnsi="Times New Roman"/>
          <w:sz w:val="19"/>
          <w:szCs w:val="19"/>
          <w:color w:val="454546"/>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9"/>
          <w:szCs w:val="19"/>
          <w:i w:val="1"/>
          <w:iCs w:val="1"/>
          <w:color w:val="454546"/>
        </w:rPr>
        <w:t>Catalyst Pharms., Inc. v. Becerra</w:t>
      </w:r>
      <w:r>
        <w:rPr>
          <w:rFonts w:ascii="Times New Roman" w:cs="Times New Roman" w:eastAsia="Times New Roman" w:hAnsi="Times New Roman"/>
          <w:sz w:val="19"/>
          <w:szCs w:val="19"/>
          <w:color w:val="454546"/>
        </w:rPr>
        <w:t>, 14</w:t>
      </w:r>
    </w:p>
    <w:p>
      <w:pPr>
        <w:spacing w:after="0" w:line="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454546"/>
        </w:rPr>
        <w:t>F.4</w:t>
      </w:r>
      <w:r>
        <w:rPr>
          <w:rFonts w:ascii="Times New Roman" w:cs="Times New Roman" w:eastAsia="Times New Roman" w:hAnsi="Times New Roman"/>
          <w:sz w:val="26"/>
          <w:szCs w:val="26"/>
          <w:color w:val="454546"/>
          <w:vertAlign w:val="superscript"/>
        </w:rPr>
        <w:t>th</w:t>
      </w:r>
      <w:r>
        <w:rPr>
          <w:rFonts w:ascii="Times New Roman" w:cs="Times New Roman" w:eastAsia="Times New Roman" w:hAnsi="Times New Roman"/>
          <w:sz w:val="20"/>
          <w:szCs w:val="20"/>
          <w:color w:val="454546"/>
        </w:rPr>
        <w:t xml:space="preserve"> 1299 (11</w:t>
      </w:r>
      <w:r>
        <w:rPr>
          <w:rFonts w:ascii="Times New Roman" w:cs="Times New Roman" w:eastAsia="Times New Roman" w:hAnsi="Times New Roman"/>
          <w:sz w:val="26"/>
          <w:szCs w:val="26"/>
          <w:color w:val="454546"/>
          <w:vertAlign w:val="superscript"/>
        </w:rPr>
        <w:t>th</w:t>
      </w:r>
      <w:r>
        <w:rPr>
          <w:rFonts w:ascii="Times New Roman" w:cs="Times New Roman" w:eastAsia="Times New Roman" w:hAnsi="Times New Roman"/>
          <w:sz w:val="20"/>
          <w:szCs w:val="20"/>
          <w:color w:val="454546"/>
        </w:rPr>
        <w:t xml:space="preserve">Cir. 2021) case, in a January 2023 notice, the FDA clarified that while the agency complies with the court’s order in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the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order. The Consolidated Appropriations Act of 2026, signed into law in February 2026, codified this longstanding FDA interpretation of the Orphan Drug Act, allowing the FDA to approve multiple versions of the same orphan drug for different subindications and subpopulations.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p>
    <w:p>
      <w:pPr>
        <w:spacing w:after="0" w:line="8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has been extended by Congress through September 2029 under the Consolidated Appropriations Act, 2026, which means the FDA may not award any priority review vouchers under this program after September 30, 2029. There is no guarantee that any of our product candidates will be approved by that date, or at all. We may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63</w:t>
      </w:r>
    </w:p>
    <w:p>
      <w:pPr>
        <w:sectPr>
          <w:pgSz w:w="12240" w:h="15840" w:orient="portrait"/>
          <w:cols w:equalWidth="0" w:num="1">
            <w:col w:w="9360"/>
          </w:cols>
          <w:pgMar w:left="1440" w:top="1434" w:right="1440" w:bottom="175" w:gutter="0" w:footer="0" w:header="0"/>
          <w:type w:val="continuous"/>
        </w:sectPr>
      </w:pPr>
    </w:p>
    <w:bookmarkStart w:id="65" w:name="page66"/>
    <w:bookmarkEnd w:id="65"/>
    <w:p>
      <w:pPr>
        <w:ind w:right="420"/>
        <w:spacing w:after="0" w:line="277" w:lineRule="auto"/>
        <w:rPr>
          <w:sz w:val="20"/>
          <w:szCs w:val="20"/>
          <w:color w:val="auto"/>
        </w:rPr>
      </w:pPr>
      <w:r>
        <w:rPr>
          <w:rFonts w:ascii="Times New Roman" w:cs="Times New Roman" w:eastAsia="Times New Roman" w:hAnsi="Times New Roman"/>
          <w:sz w:val="20"/>
          <w:szCs w:val="20"/>
          <w:color w:val="454546"/>
        </w:rPr>
        <w:t>not obtain a priority review voucher prior to expiration of the program, unless Congress further reauthorizes the program.</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 from the FDA for MYBPC3 -associated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there can be no assurances that we will be able to obtain orphan drug designation for our other product candidates.</w:t>
      </w:r>
    </w:p>
    <w:p>
      <w:pPr>
        <w:spacing w:after="0" w:line="8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454546"/>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face difficulties from changes to current FDA and healthcare regulations and future legislation.</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the FDA’s ability to engage in oversight and implementation activities in the normal course or constraints on our business operations, including operations of our contractors, our business may be negatively impacted.</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64</w:t>
      </w:r>
    </w:p>
    <w:p>
      <w:pPr>
        <w:sectPr>
          <w:pgSz w:w="12240" w:h="15840" w:orient="portrait"/>
          <w:cols w:equalWidth="0" w:num="1">
            <w:col w:w="9360"/>
          </w:cols>
          <w:pgMar w:left="1440" w:top="1420" w:right="1440" w:bottom="175" w:gutter="0" w:footer="0" w:header="0"/>
          <w:type w:val="continuous"/>
        </w:sectPr>
      </w:pPr>
    </w:p>
    <w:bookmarkStart w:id="66" w:name="page67"/>
    <w:bookmarkEnd w:id="66"/>
    <w:p>
      <w:pPr>
        <w:ind w:right="120"/>
        <w:spacing w:after="0" w:line="247" w:lineRule="auto"/>
        <w:rPr>
          <w:sz w:val="20"/>
          <w:szCs w:val="20"/>
          <w:color w:val="auto"/>
        </w:rPr>
      </w:pPr>
      <w:r>
        <w:rPr>
          <w:rFonts w:ascii="Times New Roman" w:cs="Times New Roman" w:eastAsia="Times New Roman" w:hAnsi="Times New Roman"/>
          <w:sz w:val="20"/>
          <w:szCs w:val="20"/>
          <w:color w:val="454546"/>
        </w:rPr>
        <w:t>under the current U.S. presidential administration, agency reorganization, mass layoffs due to the reduction in force initiative and other measures implemented by the Department of Government Efficiency may impact the normal operations of the FDA as well as other federal agencies. The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w:t>
      </w:r>
    </w:p>
    <w:p>
      <w:pPr>
        <w:spacing w:after="0" w:line="8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454546"/>
        </w:rPr>
        <w:t>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the first agreements with two major pharmaceutical companies to bring American drug prices in line with the lowest paid by other developed nations, requiring the companies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454546"/>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71"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454546"/>
        </w:rPr>
        <w:t>We expect that the ACA, as well as other healthcare reform measures that may be adopted in the future, may result in more rigorous coverage criteria and in additional downward pressure on the price that we receive for 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65</w:t>
      </w:r>
    </w:p>
    <w:p>
      <w:pPr>
        <w:sectPr>
          <w:pgSz w:w="12240" w:h="15840" w:orient="portrait"/>
          <w:cols w:equalWidth="0" w:num="1">
            <w:col w:w="9360"/>
          </w:cols>
          <w:pgMar w:left="1440" w:top="1420" w:right="1440" w:bottom="175" w:gutter="0" w:footer="0" w:header="0"/>
          <w:type w:val="continuous"/>
        </w:sectPr>
      </w:pPr>
    </w:p>
    <w:bookmarkStart w:id="67" w:name="page68"/>
    <w:bookmarkEnd w:id="67"/>
    <w:p>
      <w:pPr>
        <w:ind w:right="280"/>
        <w:spacing w:after="0" w:line="252" w:lineRule="auto"/>
        <w:rPr>
          <w:sz w:val="20"/>
          <w:szCs w:val="20"/>
          <w:color w:val="auto"/>
        </w:rPr>
      </w:pPr>
      <w:r>
        <w:rPr>
          <w:rFonts w:ascii="Times New Roman" w:cs="Times New Roman" w:eastAsia="Times New Roman" w:hAnsi="Times New Roman"/>
          <w:sz w:val="20"/>
          <w:szCs w:val="20"/>
          <w:color w:val="454546"/>
        </w:rPr>
        <w:t>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transfer, security and other processing of personal information.</w:t>
      </w:r>
    </w:p>
    <w:p>
      <w:pPr>
        <w:spacing w:after="0" w:line="77"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454546"/>
        </w:rPr>
        <w:t>Outside of the U.S., we are subject to extensive legal requirements relating to privacy, data protection, security and the collection, distribution, use, disclosure, storage, transfer and other processing of personal data. For example, the collection and use of health data and other personal data, including personal data collected in clinical trials, is governed in the EU by the GDPR, which imposes substantial obligations upon companies and provides rights for individuals, and by certain EU member state-level legislation. 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Failure to comply with the GDPR or UK GDPR may result in fines up to €20,000,000 (£17.5 million in the UK) or 4% of the total worldwide annual turnover of the preceding financial year, whichever is higher, and other administrative penalties. The GDPR or UK GDPR impose significant responsibility and expose us to potential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p>
    <w:p>
      <w:pPr>
        <w:spacing w:after="0" w:line="9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454546"/>
        </w:rPr>
        <w:t>In the U.S., a variety of laws, rules, regulations and standards relating to privacy, data protection, security, and the distribution, use, disclosure, storage, transfer and other processing of data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66</w:t>
      </w:r>
    </w:p>
    <w:p>
      <w:pPr>
        <w:sectPr>
          <w:pgSz w:w="12240" w:h="15840" w:orient="portrait"/>
          <w:cols w:equalWidth="0" w:num="1">
            <w:col w:w="9360"/>
          </w:cols>
          <w:pgMar w:left="1440" w:top="1420" w:right="1440" w:bottom="175" w:gutter="0" w:footer="0" w:header="0"/>
          <w:type w:val="continuous"/>
        </w:sectPr>
      </w:pPr>
    </w:p>
    <w:bookmarkStart w:id="68" w:name="page69"/>
    <w:bookmarkEnd w:id="68"/>
    <w:p>
      <w:pPr>
        <w:spacing w:after="0" w:line="247" w:lineRule="auto"/>
        <w:rPr>
          <w:sz w:val="20"/>
          <w:szCs w:val="20"/>
          <w:color w:val="auto"/>
        </w:rPr>
      </w:pPr>
      <w:r>
        <w:rPr>
          <w:rFonts w:ascii="Times New Roman" w:cs="Times New Roman" w:eastAsia="Times New Roman" w:hAnsi="Times New Roman"/>
          <w:sz w:val="20"/>
          <w:szCs w:val="20"/>
          <w:color w:val="454546"/>
        </w:rPr>
        <w:t>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states have enacted laws relating to privacy and data security that either are in operation or slated to go into operation over the next several years. In many cases, these laws are comprehensive privacy laws similar to the CCPA, with potentially greater penalties and more rigorous compliance requirements.</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States also are enacting laws addressing specific subject matter, such as Washington’s My Health, My Data Act, which includes a private right of action. Laws in all 50 states may require businesses to provide notice to individuals whose personal data has been disclosed as a result of a data breach. The U.S. government also has instituted rules, effective April 8, 2025, that prohibit or restrict transactions involving certain types and amounts of sensitive data between U.S. persons and foreign persons associated with specific countries of concern. Among other things, these new rules require U.S. businesses to seek assurances from certain foreign parties with which they share sensitive data (under certain types of agreements) that those parties will not further share that data with parties in countries of concern.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8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With the GDPR, PIPEDA, CCPA, and other laws, regulations and other obligations relating to privacy, data protection and security imposing new and relatively burdensome obligations, and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an effort to do so.</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0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b w:val="1"/>
          <w:bCs w:val="1"/>
          <w:i w:val="1"/>
          <w:iCs w:val="1"/>
          <w:color w:val="454546"/>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94" w:lineRule="exact"/>
        <w:rPr>
          <w:sz w:val="20"/>
          <w:szCs w:val="20"/>
          <w:color w:val="auto"/>
        </w:rPr>
      </w:pPr>
    </w:p>
    <w:p>
      <w:pPr>
        <w:ind w:left="980" w:right="100" w:hanging="490"/>
        <w:spacing w:after="0" w:line="249"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0" w:lineRule="exact"/>
        <w:rPr>
          <w:rFonts w:ascii="Arial" w:cs="Arial" w:eastAsia="Arial" w:hAnsi="Arial"/>
          <w:sz w:val="20"/>
          <w:szCs w:val="20"/>
          <w:color w:val="454546"/>
        </w:rPr>
      </w:pPr>
    </w:p>
    <w:p>
      <w:pPr>
        <w:ind w:left="980" w:right="260" w:hanging="490"/>
        <w:spacing w:after="0" w:line="249" w:lineRule="auto"/>
        <w:tabs>
          <w:tab w:leader="none" w:pos="980" w:val="left"/>
        </w:tabs>
        <w:numPr>
          <w:ilvl w:val="0"/>
          <w:numId w:val="35"/>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67</w:t>
      </w:r>
    </w:p>
    <w:p>
      <w:pPr>
        <w:sectPr>
          <w:pgSz w:w="12240" w:h="15840" w:orient="portrait"/>
          <w:cols w:equalWidth="0" w:num="1">
            <w:col w:w="9360"/>
          </w:cols>
          <w:pgMar w:left="1440" w:top="1420" w:right="1440" w:bottom="175" w:gutter="0" w:footer="0" w:header="0"/>
          <w:type w:val="continuous"/>
        </w:sectPr>
      </w:pPr>
    </w:p>
    <w:bookmarkStart w:id="69" w:name="page70"/>
    <w:bookmarkEnd w:id="69"/>
    <w:p>
      <w:pPr>
        <w:jc w:val="both"/>
        <w:ind w:left="980" w:right="440" w:hanging="490"/>
        <w:spacing w:after="0" w:line="258"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81" w:lineRule="exact"/>
        <w:rPr>
          <w:rFonts w:ascii="Arial" w:cs="Arial" w:eastAsia="Arial" w:hAnsi="Arial"/>
          <w:sz w:val="20"/>
          <w:szCs w:val="20"/>
          <w:color w:val="454546"/>
        </w:rPr>
      </w:pPr>
    </w:p>
    <w:p>
      <w:pPr>
        <w:ind w:left="980" w:right="80" w:hanging="490"/>
        <w:spacing w:after="0" w:line="246"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3" w:lineRule="exact"/>
        <w:rPr>
          <w:rFonts w:ascii="Arial" w:cs="Arial" w:eastAsia="Arial" w:hAnsi="Arial"/>
          <w:sz w:val="20"/>
          <w:szCs w:val="20"/>
          <w:color w:val="454546"/>
        </w:rPr>
      </w:pPr>
    </w:p>
    <w:p>
      <w:pPr>
        <w:ind w:left="980" w:right="20" w:hanging="490"/>
        <w:spacing w:after="0" w:line="247"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93"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federal consumer protection and unfair competition laws, which broadly regulate marketplace activities and activities that potentially harm consumers;</w:t>
      </w:r>
    </w:p>
    <w:p>
      <w:pPr>
        <w:spacing w:after="0" w:line="64" w:lineRule="exact"/>
        <w:rPr>
          <w:rFonts w:ascii="Arial" w:cs="Arial" w:eastAsia="Arial" w:hAnsi="Arial"/>
          <w:sz w:val="20"/>
          <w:szCs w:val="20"/>
          <w:color w:val="454546"/>
        </w:rPr>
      </w:pPr>
    </w:p>
    <w:p>
      <w:pPr>
        <w:ind w:left="980" w:right="20" w:hanging="490"/>
        <w:spacing w:after="0" w:line="245"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95" w:lineRule="exact"/>
        <w:rPr>
          <w:rFonts w:ascii="Arial" w:cs="Arial" w:eastAsia="Arial" w:hAnsi="Arial"/>
          <w:sz w:val="20"/>
          <w:szCs w:val="20"/>
          <w:color w:val="454546"/>
        </w:rPr>
      </w:pPr>
    </w:p>
    <w:p>
      <w:pPr>
        <w:ind w:left="980" w:right="60" w:hanging="490"/>
        <w:spacing w:after="0" w:line="244" w:lineRule="auto"/>
        <w:tabs>
          <w:tab w:leader="none" w:pos="980" w:val="left"/>
        </w:tabs>
        <w:numPr>
          <w:ilvl w:val="0"/>
          <w:numId w:val="36"/>
        </w:numPr>
        <w:rPr>
          <w:rFonts w:ascii="Arial" w:cs="Arial" w:eastAsia="Arial" w:hAnsi="Arial"/>
          <w:sz w:val="20"/>
          <w:szCs w:val="20"/>
          <w:color w:val="454546"/>
        </w:rPr>
      </w:pPr>
      <w:r>
        <w:rPr>
          <w:rFonts w:ascii="Times New Roman" w:cs="Times New Roman" w:eastAsia="Times New Roman" w:hAnsi="Times New Roman"/>
          <w:sz w:val="20"/>
          <w:szCs w:val="20"/>
          <w:color w:val="454546"/>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68</w:t>
      </w:r>
    </w:p>
    <w:p>
      <w:pPr>
        <w:sectPr>
          <w:pgSz w:w="12240" w:h="15840" w:orient="portrait"/>
          <w:cols w:equalWidth="0" w:num="1">
            <w:col w:w="9360"/>
          </w:cols>
          <w:pgMar w:left="1440" w:top="1434" w:right="1440" w:bottom="175" w:gutter="0" w:footer="0" w:header="0"/>
          <w:type w:val="continuous"/>
        </w:sectPr>
      </w:pPr>
    </w:p>
    <w:bookmarkStart w:id="70" w:name="page71"/>
    <w:bookmarkEnd w:id="70"/>
    <w:p>
      <w:pPr>
        <w:ind w:right="780"/>
        <w:spacing w:after="0" w:line="277" w:lineRule="auto"/>
        <w:rPr>
          <w:sz w:val="20"/>
          <w:szCs w:val="20"/>
          <w:color w:val="auto"/>
        </w:rPr>
      </w:pPr>
      <w:r>
        <w:rPr>
          <w:rFonts w:ascii="Times New Roman" w:cs="Times New Roman" w:eastAsia="Times New Roman" w:hAnsi="Times New Roman"/>
          <w:sz w:val="20"/>
          <w:szCs w:val="20"/>
          <w:color w:val="454546"/>
        </w:rPr>
        <w:t>found to be not in compliance with applicable laws, they may be subject to criminal, civil or administrative sanctions, including exclusions from government funded healthcare programs.</w:t>
      </w:r>
    </w:p>
    <w:p>
      <w:pPr>
        <w:spacing w:after="0" w:line="16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68"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454546"/>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fail to comply with environmental, health and safety laws and regulations, we could become subject to fines or penalties or incur costs that could have a material adverse effect on our business.</w:t>
      </w:r>
    </w:p>
    <w:p>
      <w:pPr>
        <w:spacing w:after="0" w:line="4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7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Our business activities are subject to the U.S. Foreign Corrupt Practices Act of 1977, as amended (FCPA), the U.S. domestic bribery statute contained in 18 U.S.C. § 201, the U.S. Travel Act, and similar anti-bribery or anti-</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69</w:t>
      </w:r>
    </w:p>
    <w:p>
      <w:pPr>
        <w:sectPr>
          <w:pgSz w:w="12240" w:h="15840" w:orient="portrait"/>
          <w:cols w:equalWidth="0" w:num="1">
            <w:col w:w="9360"/>
          </w:cols>
          <w:pgMar w:left="1440" w:top="1420" w:right="1440" w:bottom="175" w:gutter="0" w:footer="0" w:header="0"/>
          <w:type w:val="continuous"/>
        </w:sectPr>
      </w:pPr>
    </w:p>
    <w:bookmarkStart w:id="71" w:name="page72"/>
    <w:bookmarkEnd w:id="71"/>
    <w:p>
      <w:pPr>
        <w:ind w:right="20"/>
        <w:spacing w:after="0" w:line="247" w:lineRule="auto"/>
        <w:rPr>
          <w:sz w:val="20"/>
          <w:szCs w:val="20"/>
          <w:color w:val="auto"/>
        </w:rPr>
      </w:pPr>
      <w:r>
        <w:rPr>
          <w:rFonts w:ascii="Times New Roman" w:cs="Times New Roman" w:eastAsia="Times New Roman" w:hAnsi="Times New Roman"/>
          <w:sz w:val="20"/>
          <w:szCs w:val="20"/>
          <w:color w:val="454546"/>
        </w:rPr>
        <w:t>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w:t>
      </w:r>
    </w:p>
    <w:p>
      <w:pPr>
        <w:spacing w:after="0" w:line="8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7"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454546"/>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77"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6"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Other new regulations could affect the transfer of certain types of data abroad, including to China, and may add expenses or unforeseen burdens to the process of contracting with service providers. These regulations,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70</w:t>
      </w:r>
    </w:p>
    <w:p>
      <w:pPr>
        <w:sectPr>
          <w:pgSz w:w="12240" w:h="15840" w:orient="portrait"/>
          <w:cols w:equalWidth="0" w:num="1">
            <w:col w:w="9360"/>
          </w:cols>
          <w:pgMar w:left="1440" w:top="1420" w:right="1440" w:bottom="175" w:gutter="0" w:footer="0" w:header="0"/>
          <w:type w:val="continuous"/>
        </w:sectPr>
      </w:pPr>
    </w:p>
    <w:bookmarkStart w:id="72" w:name="page73"/>
    <w:bookmarkEnd w:id="72"/>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Increased tariffs on imports, trade sanctions, other trade restrictions, or a global trade war could increase our costs and materially and adversely affect our business operations and financial condition.</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Our business could be negatively affected by tariffs, trade restrictions, and other governmental actions, any of which can be imposed suddenly and unpredictably. For example, there is currently significant uncertainty about the future relationship between the U.S. and various other countries with respect to trade policies, treaties, trade regulations, and tariffs. Beginning in 2025, the U.S. government imposed or announced various new tariffs on certain imports, including commodity-specific, reciprocal, and country-specific tariffs, and additional tariffs may be forthcoming. For example, in April 2025, the U.S. Department of Commerce initiated an investigation into potential tariffs on pharmaceuticals, pharmaceutical ingredients, and derivative products; when these investigations are complete, the U.S. government may decide to levy additional tariffs on these products. These or additional tariffs (and the uncertainty around their implementation) could affect inputs to our products, as well 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U.S. or other countries, our business, financial condition, and results of operations may be materially harmed.</w:t>
      </w:r>
    </w:p>
    <w:p>
      <w:pPr>
        <w:spacing w:after="0" w:line="9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The ultimate impact of any tariffs or trade restrictions will depend on various factors, including the timing of implementation and the duration, amount, scope, and nature of the tariffs and trade restrictions and reactions from other countries.</w:t>
      </w:r>
    </w:p>
    <w:p>
      <w:pPr>
        <w:spacing w:after="0" w:line="80"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454546"/>
        </w:rPr>
        <w:t>Tariffs, trade restrictions or any resulting trade war could negatively affect the global market, including for pharmaceuticals, and could have a significant adverse effect on our business, financial condition, and results of operations.</w:t>
      </w:r>
    </w:p>
    <w:p>
      <w:pPr>
        <w:spacing w:after="0" w:line="188"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in tax law could increase the tax burden on our orphan drug programs and adversely affect our business and financial condition.</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While we have reflected the effects of the enactment of OBBB Act for the fiscal year ended December 31, 2025, we will continue to evaluate the full impact of the legislation on us. These changes could affect our total U.S. federal tax liability when and if we become profitable.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Employee Matters, Managing Our Growth and Other Risks Related to Our Business</w:t>
      </w:r>
    </w:p>
    <w:p>
      <w:pPr>
        <w:spacing w:after="0" w:line="124" w:lineRule="exact"/>
        <w:rPr>
          <w:sz w:val="20"/>
          <w:szCs w:val="20"/>
          <w:color w:val="auto"/>
        </w:rPr>
      </w:pPr>
    </w:p>
    <w:p>
      <w:pPr>
        <w:ind w:right="8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success is highly dependent on our ability to attract and retain highly skilled executive officers and employees.</w:t>
      </w:r>
    </w:p>
    <w:p>
      <w:pPr>
        <w:spacing w:after="0" w:line="4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We are highly dependent on the principal members of our management, our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80" w:lineRule="exact"/>
        <w:rPr>
          <w:sz w:val="20"/>
          <w:szCs w:val="20"/>
          <w:color w:val="auto"/>
        </w:rPr>
      </w:pPr>
    </w:p>
    <w:p>
      <w:pPr>
        <w:ind w:right="200" w:firstLine="490"/>
        <w:spacing w:after="0" w:line="278" w:lineRule="auto"/>
        <w:rPr>
          <w:sz w:val="20"/>
          <w:szCs w:val="20"/>
          <w:color w:val="auto"/>
        </w:rPr>
      </w:pPr>
      <w:r>
        <w:rPr>
          <w:rFonts w:ascii="Times New Roman" w:cs="Times New Roman" w:eastAsia="Times New Roman" w:hAnsi="Times New Roman"/>
          <w:sz w:val="19"/>
          <w:szCs w:val="19"/>
          <w:color w:val="454546"/>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71</w:t>
      </w:r>
    </w:p>
    <w:p>
      <w:pPr>
        <w:sectPr>
          <w:pgSz w:w="12240" w:h="15840" w:orient="portrait"/>
          <w:cols w:equalWidth="0" w:num="1">
            <w:col w:w="9360"/>
          </w:cols>
          <w:pgMar w:left="1440" w:top="1420" w:right="1440" w:bottom="175" w:gutter="0" w:footer="0" w:header="0"/>
          <w:type w:val="continuous"/>
        </w:sectPr>
      </w:pPr>
    </w:p>
    <w:bookmarkStart w:id="73" w:name="page74"/>
    <w:bookmarkEnd w:id="73"/>
    <w:p>
      <w:pPr>
        <w:ind w:right="40"/>
        <w:spacing w:after="0" w:line="252" w:lineRule="auto"/>
        <w:rPr>
          <w:sz w:val="20"/>
          <w:szCs w:val="20"/>
          <w:color w:val="auto"/>
        </w:rPr>
      </w:pPr>
      <w:r>
        <w:rPr>
          <w:rFonts w:ascii="Times New Roman" w:cs="Times New Roman" w:eastAsia="Times New Roman" w:hAnsi="Times New Roman"/>
          <w:sz w:val="20"/>
          <w:szCs w:val="20"/>
          <w:color w:val="454546"/>
        </w:rPr>
        <w:t>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advisors and consultants or if they provide services to our competitors, our development and commercialization efforts will be impaired and our business will be significantly harmed.</w:t>
      </w:r>
    </w:p>
    <w:p>
      <w:pPr>
        <w:spacing w:after="0" w:line="206"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In order to successfully implement our long-term plans and strategies, we will need to grow the size of our organization, and we may experience difficulties in managing this growth.</w:t>
      </w:r>
    </w:p>
    <w:p>
      <w:pPr>
        <w:spacing w:after="0" w:line="49"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 order to successfully implement our development and commercialization plans and strategies, we expect to need additional managerial, operational, sales, marketing, financial and other personnel in the future.</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9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454546"/>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and cyber-attacks and other hacking attempts by malicious third parties, which may disrupt or compromise our system infrastructure or lead to the loss, destruction, alteration,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72</w:t>
      </w:r>
    </w:p>
    <w:p>
      <w:pPr>
        <w:sectPr>
          <w:pgSz w:w="12240" w:h="15840" w:orient="portrait"/>
          <w:cols w:equalWidth="0" w:num="1">
            <w:col w:w="9360"/>
          </w:cols>
          <w:pgMar w:left="1440" w:top="1420" w:right="1440" w:bottom="175" w:gutter="0" w:footer="0" w:header="0"/>
          <w:type w:val="continuous"/>
        </w:sectPr>
      </w:pPr>
    </w:p>
    <w:bookmarkStart w:id="74" w:name="page75"/>
    <w:bookmarkEnd w:id="74"/>
    <w:p>
      <w:pPr>
        <w:spacing w:after="0" w:line="249" w:lineRule="auto"/>
        <w:rPr>
          <w:sz w:val="20"/>
          <w:szCs w:val="20"/>
          <w:color w:val="auto"/>
        </w:rPr>
      </w:pPr>
      <w:r>
        <w:rPr>
          <w:rFonts w:ascii="Times New Roman" w:cs="Times New Roman" w:eastAsia="Times New Roman" w:hAnsi="Times New Roman"/>
          <w:sz w:val="20"/>
          <w:szCs w:val="20"/>
          <w:color w:val="454546"/>
        </w:rPr>
        <w:t>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to date, we and our third-party service providers have frequently been the target of threats of this nature and we expect these threats and attacks to continue.</w:t>
      </w:r>
    </w:p>
    <w:p>
      <w:pPr>
        <w:spacing w:after="0" w:line="77"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454546"/>
        </w:rPr>
        <w:t>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delay of the development and commercialization of our product candidates.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w:t>
      </w:r>
    </w:p>
    <w:p>
      <w:pPr>
        <w:spacing w:after="0" w:line="9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While we maintain cybersecurity insurance that we believe to be reasonable for our business, our current cybersecurity insurance may not fully cover the damages arising from the assertion of one or more large claims against us in connection with a breach or other cybersecurity-related matter, which could adversely affect our business, financial condition, results of operations and prospects.</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spacing w:after="0" w:line="212"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operations are vulnerable to interruption by fire, earthquakes, power loss, telecommunications failure, terrorist activity, pandemics and other events beyond our control, which could harm our business.</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73</w:t>
      </w:r>
    </w:p>
    <w:p>
      <w:pPr>
        <w:sectPr>
          <w:pgSz w:w="12240" w:h="15840" w:orient="portrait"/>
          <w:cols w:equalWidth="0" w:num="1">
            <w:col w:w="9360"/>
          </w:cols>
          <w:pgMar w:left="1440" w:top="1420" w:right="1440" w:bottom="175" w:gutter="0" w:footer="0" w:header="0"/>
          <w:type w:val="continuous"/>
        </w:sectPr>
      </w:pPr>
    </w:p>
    <w:bookmarkStart w:id="75" w:name="page76"/>
    <w:bookmarkEnd w:id="75"/>
    <w:p>
      <w:pPr>
        <w:jc w:val="both"/>
        <w:ind w:right="380"/>
        <w:spacing w:after="0" w:line="258" w:lineRule="auto"/>
        <w:rPr>
          <w:sz w:val="20"/>
          <w:szCs w:val="20"/>
          <w:color w:val="auto"/>
        </w:rPr>
      </w:pPr>
      <w:r>
        <w:rPr>
          <w:rFonts w:ascii="Times New Roman" w:cs="Times New Roman" w:eastAsia="Times New Roman" w:hAnsi="Times New Roman"/>
          <w:sz w:val="20"/>
          <w:szCs w:val="20"/>
          <w:color w:val="454546"/>
        </w:rPr>
        <w:t>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8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 variety of risks associated with development and marketing our product candidates internationally, subject to regulatory approval in applicable jurisdictions, could materially adversely affect our business.</w:t>
      </w:r>
    </w:p>
    <w:p>
      <w:pPr>
        <w:spacing w:after="0" w:line="4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83" w:lineRule="exact"/>
        <w:rPr>
          <w:sz w:val="20"/>
          <w:szCs w:val="20"/>
          <w:color w:val="auto"/>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differing regulatory requirements and reimbursement regimes;</w:t>
      </w:r>
    </w:p>
    <w:p>
      <w:pPr>
        <w:spacing w:after="0" w:line="133" w:lineRule="exact"/>
        <w:rPr>
          <w:rFonts w:ascii="Arial" w:cs="Arial" w:eastAsia="Arial" w:hAnsi="Arial"/>
          <w:sz w:val="20"/>
          <w:szCs w:val="20"/>
          <w:color w:val="454546"/>
        </w:rPr>
      </w:pPr>
    </w:p>
    <w:p>
      <w:pPr>
        <w:ind w:left="980" w:right="880" w:hanging="490"/>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unexpected changes in tariffs, trade barriers, price and exchange controls and other regulatory requirements;</w:t>
      </w:r>
    </w:p>
    <w:p>
      <w:pPr>
        <w:spacing w:after="0" w:line="64" w:lineRule="exact"/>
        <w:rPr>
          <w:rFonts w:ascii="Arial" w:cs="Arial" w:eastAsia="Arial" w:hAnsi="Arial"/>
          <w:sz w:val="20"/>
          <w:szCs w:val="20"/>
          <w:color w:val="454546"/>
        </w:rPr>
      </w:pPr>
    </w:p>
    <w:p>
      <w:pPr>
        <w:ind w:left="980" w:right="480" w:hanging="490"/>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economic weakness, including inflation, or political instability in particular foreign economies and markets;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compliance with tax, employment, immigration and labor laws for employees living or traveling abroad;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foreign taxes, including withholding of payroll taxes;</w:t>
      </w:r>
    </w:p>
    <w:p>
      <w:pPr>
        <w:spacing w:after="0" w:line="133" w:lineRule="exact"/>
        <w:rPr>
          <w:rFonts w:ascii="Arial" w:cs="Arial" w:eastAsia="Arial" w:hAnsi="Arial"/>
          <w:sz w:val="20"/>
          <w:szCs w:val="20"/>
          <w:color w:val="454546"/>
        </w:rPr>
      </w:pPr>
    </w:p>
    <w:p>
      <w:pPr>
        <w:ind w:left="980" w:right="140" w:hanging="490"/>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difficulties staffing and managing foreign operations;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workforce uncertainty in countries where labor unrest is more common than in the U.S.;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potential liability under the FCPA or comparable foreign regulations;</w:t>
      </w:r>
    </w:p>
    <w:p>
      <w:pPr>
        <w:spacing w:after="0" w:line="133" w:lineRule="exact"/>
        <w:rPr>
          <w:rFonts w:ascii="Arial" w:cs="Arial" w:eastAsia="Arial" w:hAnsi="Arial"/>
          <w:sz w:val="20"/>
          <w:szCs w:val="20"/>
          <w:color w:val="454546"/>
        </w:rPr>
      </w:pPr>
    </w:p>
    <w:p>
      <w:pPr>
        <w:ind w:left="980" w:right="80" w:hanging="490"/>
        <w:spacing w:after="0" w:line="258"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81" w:lineRule="exact"/>
        <w:rPr>
          <w:rFonts w:ascii="Arial" w:cs="Arial" w:eastAsia="Arial" w:hAnsi="Arial"/>
          <w:sz w:val="20"/>
          <w:szCs w:val="20"/>
          <w:color w:val="454546"/>
        </w:rPr>
      </w:pPr>
    </w:p>
    <w:p>
      <w:pPr>
        <w:ind w:left="980" w:right="780" w:hanging="490"/>
        <w:spacing w:after="0" w:line="276" w:lineRule="auto"/>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production shortages resulting from any events affecting raw material supply or manufacturing capabilities abroad; and</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7"/>
        </w:numPr>
        <w:rPr>
          <w:rFonts w:ascii="Arial" w:cs="Arial" w:eastAsia="Arial" w:hAnsi="Arial"/>
          <w:sz w:val="20"/>
          <w:szCs w:val="20"/>
          <w:color w:val="454546"/>
        </w:rPr>
      </w:pPr>
      <w:r>
        <w:rPr>
          <w:rFonts w:ascii="Times New Roman" w:cs="Times New Roman" w:eastAsia="Times New Roman" w:hAnsi="Times New Roman"/>
          <w:sz w:val="20"/>
          <w:szCs w:val="20"/>
          <w:color w:val="454546"/>
        </w:rPr>
        <w:t>business interruptions resulting from geo-political actions, including war and terrorism.</w:t>
      </w:r>
    </w:p>
    <w:p>
      <w:pPr>
        <w:spacing w:after="0" w:line="119"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454546"/>
        </w:rPr>
        <w:t>These and other risks associated with our international operations may materially adversely affect our ability to attain or maintain profitable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Intellectual Property</w:t>
      </w:r>
    </w:p>
    <w:p>
      <w:pPr>
        <w:spacing w:after="0" w:line="12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Additionally, recent reforms and changes at government agencies of the U.S. and those of non-U.S. jurisdictions could increase the uncertainties, timing and costs surrounding the prosecution or maintenance of our patent applications, and the maintenance, enforcement, or defense of our issued patents.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74</w:t>
      </w:r>
    </w:p>
    <w:p>
      <w:pPr>
        <w:sectPr>
          <w:pgSz w:w="12240" w:h="15840" w:orient="portrait"/>
          <w:cols w:equalWidth="0" w:num="1">
            <w:col w:w="9360"/>
          </w:cols>
          <w:pgMar w:left="1440" w:top="1420" w:right="1440" w:bottom="175" w:gutter="0" w:footer="0" w:header="0"/>
          <w:type w:val="continuous"/>
        </w:sectPr>
      </w:pPr>
    </w:p>
    <w:bookmarkStart w:id="76" w:name="page77"/>
    <w:bookmarkEnd w:id="76"/>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7" w:lineRule="exact"/>
        <w:rPr>
          <w:sz w:val="20"/>
          <w:szCs w:val="20"/>
          <w:color w:val="auto"/>
        </w:rPr>
      </w:pPr>
    </w:p>
    <w:p>
      <w:pPr>
        <w:jc w:val="both"/>
        <w:ind w:right="40" w:firstLine="490"/>
        <w:spacing w:after="0" w:line="262" w:lineRule="auto"/>
        <w:rPr>
          <w:sz w:val="20"/>
          <w:szCs w:val="20"/>
          <w:color w:val="auto"/>
        </w:rPr>
      </w:pPr>
      <w:r>
        <w:rPr>
          <w:rFonts w:ascii="Times New Roman" w:cs="Times New Roman" w:eastAsia="Times New Roman" w:hAnsi="Times New Roman"/>
          <w:sz w:val="19"/>
          <w:szCs w:val="19"/>
          <w:color w:val="454546"/>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w:t>
      </w:r>
    </w:p>
    <w:p>
      <w:pPr>
        <w:spacing w:after="0" w:line="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454546"/>
        </w:rPr>
        <w:t>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6"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88" w:lineRule="exact"/>
        <w:rPr>
          <w:sz w:val="20"/>
          <w:szCs w:val="20"/>
          <w:color w:val="auto"/>
        </w:rPr>
      </w:pPr>
    </w:p>
    <w:p>
      <w:pPr>
        <w:ind w:left="980" w:right="140" w:hanging="490"/>
        <w:spacing w:after="0" w:line="252"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7" w:lineRule="exact"/>
        <w:rPr>
          <w:rFonts w:ascii="Arial" w:cs="Arial" w:eastAsia="Arial" w:hAnsi="Arial"/>
          <w:sz w:val="20"/>
          <w:szCs w:val="20"/>
          <w:color w:val="454546"/>
        </w:rPr>
      </w:pPr>
    </w:p>
    <w:p>
      <w:pPr>
        <w:ind w:left="980" w:hanging="490"/>
        <w:spacing w:after="0"/>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patent applications may not result in any patents being issued;</w:t>
      </w:r>
    </w:p>
    <w:p>
      <w:pPr>
        <w:spacing w:after="0" w:line="133" w:lineRule="exact"/>
        <w:rPr>
          <w:rFonts w:ascii="Arial" w:cs="Arial" w:eastAsia="Arial" w:hAnsi="Arial"/>
          <w:sz w:val="20"/>
          <w:szCs w:val="20"/>
          <w:color w:val="454546"/>
        </w:rPr>
      </w:pPr>
    </w:p>
    <w:p>
      <w:pPr>
        <w:ind w:left="980" w:right="280" w:hanging="490"/>
        <w:spacing w:after="0" w:line="276"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patents may be challenged, invalidated, modified, revoked, circumvented, found to be unenforceable, narrowed in scope or otherwise may not provide any competitive advantage;</w:t>
      </w:r>
    </w:p>
    <w:p>
      <w:pPr>
        <w:spacing w:after="0" w:line="64" w:lineRule="exact"/>
        <w:rPr>
          <w:rFonts w:ascii="Arial" w:cs="Arial" w:eastAsia="Arial" w:hAnsi="Arial"/>
          <w:sz w:val="20"/>
          <w:szCs w:val="20"/>
          <w:color w:val="454546"/>
        </w:rPr>
      </w:pPr>
    </w:p>
    <w:p>
      <w:pPr>
        <w:ind w:left="980" w:right="160" w:hanging="490"/>
        <w:spacing w:after="0" w:line="252"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7" w:lineRule="exact"/>
        <w:rPr>
          <w:rFonts w:ascii="Arial" w:cs="Arial" w:eastAsia="Arial" w:hAnsi="Arial"/>
          <w:sz w:val="20"/>
          <w:szCs w:val="20"/>
          <w:color w:val="454546"/>
        </w:rPr>
      </w:pPr>
    </w:p>
    <w:p>
      <w:pPr>
        <w:jc w:val="both"/>
        <w:ind w:left="980" w:right="20" w:hanging="490"/>
        <w:spacing w:after="0" w:line="258"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Arial" w:cs="Arial" w:eastAsia="Arial" w:hAnsi="Arial"/>
          <w:sz w:val="20"/>
          <w:szCs w:val="20"/>
          <w:color w:val="454546"/>
        </w:rPr>
      </w:pPr>
    </w:p>
    <w:p>
      <w:pPr>
        <w:ind w:left="980" w:right="180" w:hanging="490"/>
        <w:spacing w:after="0" w:line="252" w:lineRule="auto"/>
        <w:tabs>
          <w:tab w:leader="none" w:pos="980" w:val="left"/>
        </w:tabs>
        <w:numPr>
          <w:ilvl w:val="0"/>
          <w:numId w:val="38"/>
        </w:numPr>
        <w:rPr>
          <w:rFonts w:ascii="Arial" w:cs="Arial" w:eastAsia="Arial" w:hAnsi="Arial"/>
          <w:sz w:val="20"/>
          <w:szCs w:val="20"/>
          <w:color w:val="454546"/>
        </w:rPr>
      </w:pPr>
      <w:r>
        <w:rPr>
          <w:rFonts w:ascii="Times New Roman" w:cs="Times New Roman" w:eastAsia="Times New Roman" w:hAnsi="Times New Roman"/>
          <w:sz w:val="20"/>
          <w:szCs w:val="20"/>
          <w:color w:val="454546"/>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73"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6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75</w:t>
      </w:r>
    </w:p>
    <w:p>
      <w:pPr>
        <w:sectPr>
          <w:pgSz w:w="12240" w:h="15840" w:orient="portrait"/>
          <w:cols w:equalWidth="0" w:num="1">
            <w:col w:w="9360"/>
          </w:cols>
          <w:pgMar w:left="1440" w:top="1420" w:right="1440" w:bottom="175" w:gutter="0" w:footer="0" w:header="0"/>
          <w:type w:val="continuous"/>
        </w:sectPr>
      </w:pPr>
    </w:p>
    <w:bookmarkStart w:id="77" w:name="page78"/>
    <w:bookmarkEnd w:id="77"/>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454546"/>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The issuance of a patent is not conclusive as to its inventorship, scope, validity or enforceability, and the inventorship, scope, validity or enforceability of our patents, potential future patents or the patents of our licensors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212"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commercial success depends significantly on our ability to operate without infringing, misappropriating or otherwise violating the patents and other intellectual property and proprietary rights of third parties.</w:t>
      </w:r>
    </w:p>
    <w:p>
      <w:pPr>
        <w:spacing w:after="0" w:line="4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76</w:t>
      </w:r>
    </w:p>
    <w:p>
      <w:pPr>
        <w:sectPr>
          <w:pgSz w:w="12240" w:h="15840" w:orient="portrait"/>
          <w:cols w:equalWidth="0" w:num="1">
            <w:col w:w="9360"/>
          </w:cols>
          <w:pgMar w:left="1440" w:top="1420" w:right="1440" w:bottom="175" w:gutter="0" w:footer="0" w:header="0"/>
          <w:type w:val="continuous"/>
        </w:sectPr>
      </w:pPr>
    </w:p>
    <w:bookmarkStart w:id="78" w:name="page79"/>
    <w:bookmarkEnd w:id="78"/>
    <w:p>
      <w:pPr>
        <w:ind w:right="20"/>
        <w:spacing w:after="0" w:line="252" w:lineRule="auto"/>
        <w:rPr>
          <w:sz w:val="20"/>
          <w:szCs w:val="20"/>
          <w:color w:val="auto"/>
        </w:rPr>
      </w:pPr>
      <w:r>
        <w:rPr>
          <w:rFonts w:ascii="Times New Roman" w:cs="Times New Roman" w:eastAsia="Times New Roman" w:hAnsi="Times New Roman"/>
          <w:sz w:val="20"/>
          <w:szCs w:val="20"/>
          <w:color w:val="454546"/>
        </w:rPr>
        <w:t>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7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3"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454546"/>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68" w:lineRule="exact"/>
        <w:rPr>
          <w:sz w:val="20"/>
          <w:szCs w:val="20"/>
          <w:color w:val="auto"/>
        </w:rPr>
      </w:pPr>
    </w:p>
    <w:p>
      <w:pPr>
        <w:ind w:right="80" w:firstLine="490"/>
        <w:spacing w:after="0" w:line="256" w:lineRule="auto"/>
        <w:rPr>
          <w:sz w:val="20"/>
          <w:szCs w:val="20"/>
          <w:color w:val="auto"/>
        </w:rPr>
      </w:pPr>
      <w:r>
        <w:rPr>
          <w:rFonts w:ascii="Times New Roman" w:cs="Times New Roman" w:eastAsia="Times New Roman" w:hAnsi="Times New Roman"/>
          <w:sz w:val="19"/>
          <w:szCs w:val="19"/>
          <w:color w:val="454546"/>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3"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454546"/>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77</w:t>
      </w:r>
    </w:p>
    <w:p>
      <w:pPr>
        <w:sectPr>
          <w:pgSz w:w="12240" w:h="15840" w:orient="portrait"/>
          <w:cols w:equalWidth="0" w:num="1">
            <w:col w:w="9360"/>
          </w:cols>
          <w:pgMar w:left="1440" w:top="1420" w:right="1440" w:bottom="175" w:gutter="0" w:footer="0" w:header="0"/>
          <w:type w:val="continuous"/>
        </w:sectPr>
      </w:pPr>
    </w:p>
    <w:bookmarkStart w:id="79" w:name="page80"/>
    <w:bookmarkEnd w:id="79"/>
    <w:p>
      <w:pPr>
        <w:ind w:right="340"/>
        <w:spacing w:after="0" w:line="277" w:lineRule="auto"/>
        <w:rPr>
          <w:sz w:val="20"/>
          <w:szCs w:val="20"/>
          <w:color w:val="auto"/>
        </w:rPr>
      </w:pPr>
      <w:r>
        <w:rPr>
          <w:rFonts w:ascii="Times New Roman" w:cs="Times New Roman" w:eastAsia="Times New Roman" w:hAnsi="Times New Roman"/>
          <w:sz w:val="20"/>
          <w:szCs w:val="20"/>
          <w:color w:val="454546"/>
        </w:rPr>
        <w:t>raise additional funds or otherwise have a material adverse effect on our business, results of operations, financial condition and prospects.</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8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6" w:lineRule="exact"/>
        <w:rPr>
          <w:sz w:val="20"/>
          <w:szCs w:val="20"/>
          <w:color w:val="auto"/>
        </w:rPr>
      </w:pPr>
    </w:p>
    <w:p>
      <w:pPr>
        <w:jc w:val="both"/>
        <w:ind w:right="100" w:firstLine="490"/>
        <w:spacing w:after="0" w:line="247" w:lineRule="auto"/>
        <w:rPr>
          <w:sz w:val="20"/>
          <w:szCs w:val="20"/>
          <w:color w:val="auto"/>
        </w:rPr>
      </w:pPr>
      <w:r>
        <w:rPr>
          <w:rFonts w:ascii="Times New Roman" w:cs="Times New Roman" w:eastAsia="Times New Roman" w:hAnsi="Times New Roman"/>
          <w:sz w:val="20"/>
          <w:szCs w:val="20"/>
          <w:color w:val="454546"/>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not be successful in obtaining or maintaining necessary rights to our product candidates through acquisitions and in-licenses.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78</w:t>
      </w:r>
    </w:p>
    <w:p>
      <w:pPr>
        <w:sectPr>
          <w:pgSz w:w="12240" w:h="15840" w:orient="portrait"/>
          <w:cols w:equalWidth="0" w:num="1">
            <w:col w:w="9360"/>
          </w:cols>
          <w:pgMar w:left="1440" w:top="1420" w:right="1440" w:bottom="175" w:gutter="0" w:footer="0" w:header="0"/>
          <w:type w:val="continuous"/>
        </w:sectPr>
      </w:pPr>
    </w:p>
    <w:bookmarkStart w:id="80" w:name="page81"/>
    <w:bookmarkEnd w:id="80"/>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in U.S. patent law, or laws in other countries, could diminish the value of patents in general, thereby impairing our ability to protect our product candidates.</w:t>
      </w:r>
    </w:p>
    <w:p>
      <w:pPr>
        <w:spacing w:after="0" w:line="49"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454546"/>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w:t>
      </w:r>
    </w:p>
    <w:p>
      <w:pPr>
        <w:spacing w:after="0" w:line="6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spacing w:after="0" w:line="68"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454546"/>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For example, the U.S. Supreme Court 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The laws and regulations governing patents could change in unpredictable ways that would weaken our ability to obtain new patents or to enforce our existing patent and the patents we might obtain or license in the future.</w:t>
      </w:r>
    </w:p>
    <w:p>
      <w:pPr>
        <w:spacing w:after="0" w:line="20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be subject to claims challenging the inventorship or ownership of our owned patents, patent applications or in-licensed patent rights and other intellectual property.</w:t>
      </w:r>
    </w:p>
    <w:p>
      <w:pPr>
        <w:spacing w:after="0" w:line="4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although we are not aware of any inventorship disputes as of the date of this periodic report,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9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79</w:t>
      </w:r>
    </w:p>
    <w:p>
      <w:pPr>
        <w:sectPr>
          <w:pgSz w:w="12240" w:h="15840" w:orient="portrait"/>
          <w:cols w:equalWidth="0" w:num="1">
            <w:col w:w="9360"/>
          </w:cols>
          <w:pgMar w:left="1440" w:top="1420" w:right="1440" w:bottom="175" w:gutter="0" w:footer="0" w:header="0"/>
          <w:type w:val="continuous"/>
        </w:sectPr>
      </w:pPr>
    </w:p>
    <w:bookmarkStart w:id="81" w:name="page82"/>
    <w:bookmarkEnd w:id="81"/>
    <w:p>
      <w:pPr>
        <w:ind w:right="280"/>
        <w:spacing w:after="0" w:line="277" w:lineRule="auto"/>
        <w:rPr>
          <w:sz w:val="20"/>
          <w:szCs w:val="20"/>
          <w:color w:val="auto"/>
        </w:rPr>
      </w:pPr>
      <w:r>
        <w:rPr>
          <w:rFonts w:ascii="Times New Roman" w:cs="Times New Roman" w:eastAsia="Times New Roman" w:hAnsi="Times New Roman"/>
          <w:sz w:val="20"/>
          <w:szCs w:val="20"/>
          <w:color w:val="454546"/>
        </w:rPr>
        <w:t>ineffective in perfecting ownership of inventions developed by that individual. Such claims could have a material adverse effect on our business, financial condition, results of operations, and prospects.</w:t>
      </w:r>
    </w:p>
    <w:p>
      <w:pPr>
        <w:spacing w:after="0" w:line="16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Patent terms may be inadequate to protect our competitive position on our product candidates for an adequate amount of time.</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If we do not obtain patent term extension for our product candidates, our business may be materially harmed.</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7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not be able to protect our intellectual property rights throughout the world.</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454546"/>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80</w:t>
      </w:r>
    </w:p>
    <w:p>
      <w:pPr>
        <w:sectPr>
          <w:pgSz w:w="12240" w:h="15840" w:orient="portrait"/>
          <w:cols w:equalWidth="0" w:num="1">
            <w:col w:w="9360"/>
          </w:cols>
          <w:pgMar w:left="1440" w:top="1420" w:right="1440" w:bottom="175" w:gutter="0" w:footer="0" w:header="0"/>
          <w:type w:val="continuous"/>
        </w:sectPr>
      </w:pPr>
    </w:p>
    <w:bookmarkStart w:id="82" w:name="page83"/>
    <w:bookmarkEnd w:id="82"/>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06"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3"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81</w:t>
      </w:r>
    </w:p>
    <w:p>
      <w:pPr>
        <w:sectPr>
          <w:pgSz w:w="12240" w:h="15840" w:orient="portrait"/>
          <w:cols w:equalWidth="0" w:num="1">
            <w:col w:w="9360"/>
          </w:cols>
          <w:pgMar w:left="1440" w:top="1420" w:right="1440" w:bottom="175" w:gutter="0" w:footer="0" w:header="0"/>
          <w:type w:val="continuous"/>
        </w:sectPr>
      </w:pPr>
    </w:p>
    <w:bookmarkStart w:id="83" w:name="page84"/>
    <w:bookmarkEnd w:id="83"/>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are unable to protect the confidentiality of our trade secrets, our business and competitive position would be harmed.</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20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be subject to claims that we or our employees, consultants, advisors or contractors have wrongfully used or disclosed alleged confidential information or trade secrets.</w:t>
      </w:r>
    </w:p>
    <w:p>
      <w:pPr>
        <w:spacing w:after="0" w:line="4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82</w:t>
      </w:r>
    </w:p>
    <w:p>
      <w:pPr>
        <w:sectPr>
          <w:pgSz w:w="12240" w:h="15840" w:orient="portrait"/>
          <w:cols w:equalWidth="0" w:num="1">
            <w:col w:w="9360"/>
          </w:cols>
          <w:pgMar w:left="1440" w:top="1420" w:right="1440" w:bottom="175" w:gutter="0" w:footer="0" w:header="0"/>
          <w:type w:val="continuous"/>
        </w:sectPr>
      </w:pPr>
    </w:p>
    <w:bookmarkStart w:id="84" w:name="page85"/>
    <w:bookmarkEnd w:id="84"/>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7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7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8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454546"/>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6"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454546"/>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83</w:t>
      </w:r>
    </w:p>
    <w:p>
      <w:pPr>
        <w:sectPr>
          <w:pgSz w:w="12240" w:h="15840" w:orient="portrait"/>
          <w:cols w:equalWidth="0" w:num="1">
            <w:col w:w="9360"/>
          </w:cols>
          <w:pgMar w:left="1440" w:top="1420" w:right="1440" w:bottom="175" w:gutter="0" w:footer="0" w:header="0"/>
          <w:type w:val="continuous"/>
        </w:sectPr>
      </w:pPr>
    </w:p>
    <w:bookmarkStart w:id="85" w:name="page86"/>
    <w:bookmarkEnd w:id="85"/>
    <w:p>
      <w:pPr>
        <w:ind w:right="20"/>
        <w:spacing w:after="0" w:line="244" w:lineRule="auto"/>
        <w:rPr>
          <w:sz w:val="20"/>
          <w:szCs w:val="20"/>
          <w:color w:val="auto"/>
        </w:rPr>
      </w:pPr>
      <w:r>
        <w:rPr>
          <w:rFonts w:ascii="Times New Roman" w:cs="Times New Roman" w:eastAsia="Times New Roman" w:hAnsi="Times New Roman"/>
          <w:sz w:val="20"/>
          <w:szCs w:val="20"/>
          <w:color w:val="454546"/>
        </w:rPr>
        <w:t>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Dependence on Third Parties</w:t>
      </w:r>
    </w:p>
    <w:p>
      <w:pPr>
        <w:spacing w:after="0" w:line="124"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74"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454546"/>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spacing w:after="0" w:line="83"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93"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454546"/>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84</w:t>
      </w:r>
    </w:p>
    <w:p>
      <w:pPr>
        <w:sectPr>
          <w:pgSz w:w="12240" w:h="15840" w:orient="portrait"/>
          <w:cols w:equalWidth="0" w:num="1">
            <w:col w:w="9360"/>
          </w:cols>
          <w:pgMar w:left="1440" w:top="1420" w:right="1440" w:bottom="175" w:gutter="0" w:footer="0" w:header="0"/>
          <w:type w:val="continuous"/>
        </w:sectPr>
      </w:pPr>
    </w:p>
    <w:bookmarkStart w:id="86" w:name="page87"/>
    <w:bookmarkEnd w:id="86"/>
    <w:p>
      <w:pPr>
        <w:jc w:val="both"/>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spacing w:after="0" w:line="6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82"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454546"/>
        </w:rPr>
        <w:t>We may be unable to maintain or establish required agreements with third-party manufacturers on acceptable terms. Even if we are able to do so, reliance on third-party manufacturers entails additional risks, including:</w:t>
      </w:r>
    </w:p>
    <w:p>
      <w:pPr>
        <w:spacing w:after="0" w:line="64" w:lineRule="exact"/>
        <w:rPr>
          <w:sz w:val="20"/>
          <w:szCs w:val="20"/>
          <w:color w:val="auto"/>
        </w:rPr>
      </w:pPr>
    </w:p>
    <w:p>
      <w:pPr>
        <w:ind w:left="980" w:right="240" w:hanging="490"/>
        <w:spacing w:after="0" w:line="252"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7" w:lineRule="exact"/>
        <w:rPr>
          <w:rFonts w:ascii="Arial" w:cs="Arial" w:eastAsia="Arial" w:hAnsi="Arial"/>
          <w:sz w:val="20"/>
          <w:szCs w:val="20"/>
          <w:color w:val="454546"/>
        </w:rPr>
      </w:pPr>
    </w:p>
    <w:p>
      <w:pPr>
        <w:ind w:left="980" w:right="300" w:hanging="490"/>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termination or nonrenewal of arrangements or agreements by our third-party contractors at a time that is costly or inconvenient for us;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breach by the third-party contractors of our agreements with them;</w:t>
      </w:r>
    </w:p>
    <w:p>
      <w:pPr>
        <w:spacing w:after="0" w:line="133" w:lineRule="exact"/>
        <w:rPr>
          <w:rFonts w:ascii="Arial" w:cs="Arial" w:eastAsia="Arial" w:hAnsi="Arial"/>
          <w:sz w:val="20"/>
          <w:szCs w:val="20"/>
          <w:color w:val="454546"/>
        </w:rPr>
      </w:pPr>
    </w:p>
    <w:p>
      <w:pPr>
        <w:ind w:left="980" w:right="1020" w:hanging="490"/>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failure of third-party contractors to manufacture our product candidates according to our specifications or comply with applicable regulatory requirements, including cGMP;</w:t>
      </w:r>
    </w:p>
    <w:p>
      <w:pPr>
        <w:spacing w:after="0" w:line="64" w:lineRule="exact"/>
        <w:rPr>
          <w:rFonts w:ascii="Arial" w:cs="Arial" w:eastAsia="Arial" w:hAnsi="Arial"/>
          <w:sz w:val="20"/>
          <w:szCs w:val="20"/>
          <w:color w:val="454546"/>
        </w:rPr>
      </w:pPr>
    </w:p>
    <w:p>
      <w:pPr>
        <w:ind w:left="980" w:right="240" w:hanging="490"/>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mislabeling of clinical supplies, potentially resulting in the wrong dose amounts being supplied or active drug or placebo not being properly identified;</w:t>
      </w:r>
    </w:p>
    <w:p>
      <w:pPr>
        <w:spacing w:after="0" w:line="64" w:lineRule="exact"/>
        <w:rPr>
          <w:rFonts w:ascii="Arial" w:cs="Arial" w:eastAsia="Arial" w:hAnsi="Arial"/>
          <w:sz w:val="20"/>
          <w:szCs w:val="20"/>
          <w:color w:val="454546"/>
        </w:rPr>
      </w:pPr>
    </w:p>
    <w:p>
      <w:pPr>
        <w:ind w:left="980" w:right="120" w:hanging="490"/>
        <w:spacing w:after="0" w:line="258"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clinical supplies not being delivered to clinical sites on time, leading to clinical trial interruptions, or of drug supplies not being distributed to commercial vendors in a timely manner, resulting in lost sales; and</w:t>
      </w:r>
    </w:p>
    <w:p>
      <w:pPr>
        <w:spacing w:after="0" w:line="81" w:lineRule="exact"/>
        <w:rPr>
          <w:rFonts w:ascii="Arial" w:cs="Arial" w:eastAsia="Arial" w:hAnsi="Arial"/>
          <w:sz w:val="20"/>
          <w:szCs w:val="20"/>
          <w:color w:val="454546"/>
        </w:rPr>
      </w:pPr>
    </w:p>
    <w:p>
      <w:pPr>
        <w:ind w:left="980" w:right="800" w:hanging="490"/>
        <w:spacing w:after="0" w:line="276" w:lineRule="auto"/>
        <w:tabs>
          <w:tab w:leader="none" w:pos="980" w:val="left"/>
        </w:tabs>
        <w:numPr>
          <w:ilvl w:val="0"/>
          <w:numId w:val="39"/>
        </w:numPr>
        <w:rPr>
          <w:rFonts w:ascii="Arial" w:cs="Arial" w:eastAsia="Arial" w:hAnsi="Arial"/>
          <w:sz w:val="20"/>
          <w:szCs w:val="20"/>
          <w:color w:val="454546"/>
        </w:rPr>
      </w:pPr>
      <w:r>
        <w:rPr>
          <w:rFonts w:ascii="Times New Roman" w:cs="Times New Roman" w:eastAsia="Times New Roman" w:hAnsi="Times New Roman"/>
          <w:sz w:val="20"/>
          <w:szCs w:val="20"/>
          <w:color w:val="454546"/>
        </w:rPr>
        <w:t>the infringement, misappropriation or other violation of our intellectual property or proprietary information.</w:t>
      </w:r>
    </w:p>
    <w:p>
      <w:pPr>
        <w:spacing w:after="0" w:line="5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454546"/>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85</w:t>
      </w:r>
    </w:p>
    <w:p>
      <w:pPr>
        <w:sectPr>
          <w:pgSz w:w="12240" w:h="15840" w:orient="portrait"/>
          <w:cols w:equalWidth="0" w:num="1">
            <w:col w:w="9360"/>
          </w:cols>
          <w:pgMar w:left="1440" w:top="1420" w:right="1440" w:bottom="175" w:gutter="0" w:footer="0" w:header="0"/>
          <w:type w:val="continuous"/>
        </w:sectPr>
      </w:pPr>
    </w:p>
    <w:bookmarkStart w:id="87" w:name="page88"/>
    <w:bookmarkEnd w:id="87"/>
    <w:p>
      <w:pPr>
        <w:ind w:right="240"/>
        <w:spacing w:after="0" w:line="277" w:lineRule="auto"/>
        <w:rPr>
          <w:sz w:val="20"/>
          <w:szCs w:val="20"/>
          <w:color w:val="auto"/>
        </w:rPr>
      </w:pPr>
      <w:r>
        <w:rPr>
          <w:rFonts w:ascii="Times New Roman" w:cs="Times New Roman" w:eastAsia="Times New Roman" w:hAnsi="Times New Roman"/>
          <w:sz w:val="20"/>
          <w:szCs w:val="20"/>
          <w:color w:val="454546"/>
        </w:rPr>
        <w:t>potential commercialization of our product candidates, including limiting supplies necessary for clinical trials and regulatory approvals, which would seriously harm our business.</w:t>
      </w:r>
    </w:p>
    <w:p>
      <w:pPr>
        <w:spacing w:after="0" w:line="49"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454546"/>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spacing w:after="0" w:line="18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jc w:val="both"/>
        <w:ind w:right="700" w:firstLine="490"/>
        <w:spacing w:after="0" w:line="258" w:lineRule="auto"/>
        <w:rPr>
          <w:sz w:val="20"/>
          <w:szCs w:val="20"/>
          <w:color w:val="auto"/>
        </w:rPr>
      </w:pPr>
      <w:r>
        <w:rPr>
          <w:rFonts w:ascii="Times New Roman" w:cs="Times New Roman" w:eastAsia="Times New Roman" w:hAnsi="Times New Roman"/>
          <w:sz w:val="20"/>
          <w:szCs w:val="20"/>
          <w:color w:val="454546"/>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83" w:lineRule="exact"/>
        <w:rPr>
          <w:sz w:val="20"/>
          <w:szCs w:val="20"/>
          <w:color w:val="auto"/>
        </w:rPr>
      </w:pPr>
    </w:p>
    <w:p>
      <w:pPr>
        <w:ind w:left="980" w:hanging="490"/>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increased operating expenses and cash requirements;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assumption of additional indebtedness or contingent liabilities;</w:t>
      </w:r>
    </w:p>
    <w:p>
      <w:pPr>
        <w:spacing w:after="0" w:line="133" w:lineRule="exact"/>
        <w:rPr>
          <w:rFonts w:ascii="Arial" w:cs="Arial" w:eastAsia="Arial" w:hAnsi="Arial"/>
          <w:sz w:val="20"/>
          <w:szCs w:val="20"/>
          <w:color w:val="454546"/>
        </w:rPr>
      </w:pPr>
    </w:p>
    <w:p>
      <w:pPr>
        <w:ind w:left="980" w:right="680" w:hanging="490"/>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assimilation of operations, intellectual property and products of an acquired company, including difficulties associated with integrating new personnel;</w:t>
      </w:r>
    </w:p>
    <w:p>
      <w:pPr>
        <w:spacing w:after="0" w:line="64" w:lineRule="exact"/>
        <w:rPr>
          <w:rFonts w:ascii="Arial" w:cs="Arial" w:eastAsia="Arial" w:hAnsi="Arial"/>
          <w:sz w:val="20"/>
          <w:szCs w:val="20"/>
          <w:color w:val="454546"/>
        </w:rPr>
      </w:pPr>
    </w:p>
    <w:p>
      <w:pPr>
        <w:ind w:left="980" w:right="40" w:hanging="490"/>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diversion of our management’s attention from our existing programs and initiatives in pursuing such a strategic partnership or acquisition;</w:t>
      </w:r>
    </w:p>
    <w:p>
      <w:pPr>
        <w:spacing w:after="0" w:line="64" w:lineRule="exact"/>
        <w:rPr>
          <w:rFonts w:ascii="Arial" w:cs="Arial" w:eastAsia="Arial" w:hAnsi="Arial"/>
          <w:sz w:val="20"/>
          <w:szCs w:val="20"/>
          <w:color w:val="454546"/>
        </w:rPr>
      </w:pPr>
    </w:p>
    <w:p>
      <w:pPr>
        <w:ind w:left="980" w:right="160" w:hanging="490"/>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unauthorized use or disclosure of our confidential information accessed in connection with partnership activities;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the loss of key personnel and uncertainties in our ability to maintain key business relationships;</w:t>
      </w:r>
    </w:p>
    <w:p>
      <w:pPr>
        <w:spacing w:after="0" w:line="133" w:lineRule="exact"/>
        <w:rPr>
          <w:rFonts w:ascii="Arial" w:cs="Arial" w:eastAsia="Arial" w:hAnsi="Arial"/>
          <w:sz w:val="20"/>
          <w:szCs w:val="20"/>
          <w:color w:val="454546"/>
        </w:rPr>
      </w:pPr>
    </w:p>
    <w:p>
      <w:pPr>
        <w:ind w:left="980" w:right="240" w:hanging="490"/>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risks and uncertainties associated with the other party to such a transaction, including the prospects of that party and their existing products or product candidates and marketing approvals;</w:t>
      </w:r>
    </w:p>
    <w:p>
      <w:pPr>
        <w:spacing w:after="0" w:line="64" w:lineRule="exact"/>
        <w:rPr>
          <w:rFonts w:ascii="Arial" w:cs="Arial" w:eastAsia="Arial" w:hAnsi="Arial"/>
          <w:sz w:val="20"/>
          <w:szCs w:val="20"/>
          <w:color w:val="454546"/>
        </w:rPr>
      </w:pPr>
    </w:p>
    <w:p>
      <w:pPr>
        <w:ind w:left="980" w:right="280" w:hanging="490"/>
        <w:spacing w:after="0" w:line="258"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our inability to generate revenue from acquired technology and/or products sufficient to meet our objectives in undertaking the acquisition or even to offset the associated acquisition and maintenance costs; and</w:t>
      </w:r>
    </w:p>
    <w:p>
      <w:pPr>
        <w:spacing w:after="0" w:line="81" w:lineRule="exact"/>
        <w:rPr>
          <w:rFonts w:ascii="Arial" w:cs="Arial" w:eastAsia="Arial" w:hAnsi="Arial"/>
          <w:sz w:val="20"/>
          <w:szCs w:val="20"/>
          <w:color w:val="454546"/>
        </w:rPr>
      </w:pPr>
    </w:p>
    <w:p>
      <w:pPr>
        <w:ind w:left="980" w:right="160" w:hanging="490"/>
        <w:spacing w:after="0" w:line="276" w:lineRule="auto"/>
        <w:tabs>
          <w:tab w:leader="none" w:pos="980" w:val="left"/>
        </w:tabs>
        <w:numPr>
          <w:ilvl w:val="0"/>
          <w:numId w:val="40"/>
        </w:numPr>
        <w:rPr>
          <w:rFonts w:ascii="Arial" w:cs="Arial" w:eastAsia="Arial" w:hAnsi="Arial"/>
          <w:sz w:val="20"/>
          <w:szCs w:val="20"/>
          <w:color w:val="454546"/>
        </w:rPr>
      </w:pPr>
      <w:r>
        <w:rPr>
          <w:rFonts w:ascii="Times New Roman" w:cs="Times New Roman" w:eastAsia="Times New Roman" w:hAnsi="Times New Roman"/>
          <w:sz w:val="20"/>
          <w:szCs w:val="20"/>
          <w:color w:val="454546"/>
        </w:rPr>
        <w:t>our inability to realize anticipated efficiencies and strategic benefits from such acquisitions or strategic partnerships.</w:t>
      </w:r>
    </w:p>
    <w:p>
      <w:pPr>
        <w:spacing w:after="0" w:line="5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454546"/>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88" w:lineRule="exact"/>
        <w:rPr>
          <w:sz w:val="20"/>
          <w:szCs w:val="20"/>
          <w:color w:val="auto"/>
        </w:rPr>
      </w:pPr>
    </w:p>
    <w:p>
      <w:pPr>
        <w:jc w:val="both"/>
        <w:ind w:right="62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7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costly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6"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If we are unable to reach a definitive agreement, we may have to curtail the development of a product candidate, reduce or delay its development program or one or more of our other development programs or technical capabilities, delay its potential commercialization or reduce the scope of any sales or marketing activities, or increase our expenditures and undertake development or commercialization activities at our own expense. If we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86</w:t>
      </w:r>
    </w:p>
    <w:p>
      <w:pPr>
        <w:sectPr>
          <w:pgSz w:w="12240" w:h="15840" w:orient="portrait"/>
          <w:cols w:equalWidth="0" w:num="1">
            <w:col w:w="9360"/>
          </w:cols>
          <w:pgMar w:left="1440" w:top="1420" w:right="1440" w:bottom="175" w:gutter="0" w:footer="0" w:header="0"/>
          <w:type w:val="continuous"/>
        </w:sectPr>
      </w:pPr>
    </w:p>
    <w:bookmarkStart w:id="88" w:name="page89"/>
    <w:bookmarkEnd w:id="88"/>
    <w:p>
      <w:pPr>
        <w:ind w:right="100"/>
        <w:spacing w:after="0" w:line="252" w:lineRule="auto"/>
        <w:rPr>
          <w:sz w:val="20"/>
          <w:szCs w:val="20"/>
          <w:color w:val="auto"/>
        </w:rPr>
      </w:pPr>
      <w:r>
        <w:rPr>
          <w:rFonts w:ascii="Times New Roman" w:cs="Times New Roman" w:eastAsia="Times New Roman" w:hAnsi="Times New Roman"/>
          <w:sz w:val="20"/>
          <w:szCs w:val="20"/>
          <w:color w:val="454546"/>
        </w:rPr>
        <w:t>elect to increase our expenditures to fund development or commercialization activities on our own, we may need to reduce our planned capital expenditures across other areas of our business or obtain additional capital, which may not be available to us on acceptable terms or at all. If we do not have sufficient funds, we may not be able to further develop our product candidates or bring them to market and generate product revenue.</w:t>
      </w:r>
    </w:p>
    <w:p>
      <w:pPr>
        <w:spacing w:after="0" w:line="7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If we enter into any collaboration arrangements with any third parties, we will likely have limited control over the amount and timing of resources that our collaborators dedicate to the development or commercialization of our product candidates. For example, under our collaboration agreement with Alnylam, following the completion of the validation activities, Alnylam will have complete control of all development, manufacture, regulatory and commercialization activities for any products directed to a collaboration target. Our ability to generate revenues from these arrangements will depend on our collaborators’ abilities and efforts to successfully perform the functions assigned to them in these arrangements. Collaborations involving our product candidates or technical capabilities would pose numerous risks to us, including the following:</w:t>
      </w:r>
    </w:p>
    <w:p>
      <w:pPr>
        <w:spacing w:after="0" w:line="96" w:lineRule="exact"/>
        <w:rPr>
          <w:sz w:val="20"/>
          <w:szCs w:val="20"/>
          <w:color w:val="auto"/>
        </w:rPr>
      </w:pPr>
    </w:p>
    <w:p>
      <w:pPr>
        <w:jc w:val="both"/>
        <w:ind w:left="980" w:right="20" w:hanging="490"/>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81" w:lineRule="exact"/>
        <w:rPr>
          <w:rFonts w:ascii="Arial" w:cs="Arial" w:eastAsia="Arial" w:hAnsi="Arial"/>
          <w:sz w:val="20"/>
          <w:szCs w:val="20"/>
          <w:color w:val="454546"/>
        </w:rPr>
      </w:pPr>
    </w:p>
    <w:p>
      <w:pPr>
        <w:ind w:left="980" w:right="120" w:hanging="490"/>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relationship may require us to incur non-recurring and other charges, increase our near- and long-term expenditures, issue securities that dilute our existing stockholders, or disrupt our management and business;</w:t>
      </w:r>
    </w:p>
    <w:p>
      <w:pPr>
        <w:spacing w:after="0" w:line="81" w:lineRule="exact"/>
        <w:rPr>
          <w:rFonts w:ascii="Arial" w:cs="Arial" w:eastAsia="Arial" w:hAnsi="Arial"/>
          <w:sz w:val="20"/>
          <w:szCs w:val="20"/>
          <w:color w:val="454546"/>
        </w:rPr>
      </w:pPr>
    </w:p>
    <w:p>
      <w:pPr>
        <w:ind w:left="980" w:right="100" w:hanging="490"/>
        <w:spacing w:after="0" w:line="249"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0" w:lineRule="exact"/>
        <w:rPr>
          <w:rFonts w:ascii="Arial" w:cs="Arial" w:eastAsia="Arial" w:hAnsi="Arial"/>
          <w:sz w:val="20"/>
          <w:szCs w:val="20"/>
          <w:color w:val="454546"/>
        </w:rPr>
      </w:pPr>
    </w:p>
    <w:p>
      <w:pPr>
        <w:ind w:left="980" w:right="300" w:hanging="490"/>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454546"/>
        </w:rPr>
      </w:pPr>
    </w:p>
    <w:p>
      <w:pPr>
        <w:ind w:left="980" w:right="80" w:hanging="490"/>
        <w:spacing w:after="0" w:line="252"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7" w:lineRule="exact"/>
        <w:rPr>
          <w:rFonts w:ascii="Arial" w:cs="Arial" w:eastAsia="Arial" w:hAnsi="Arial"/>
          <w:sz w:val="20"/>
          <w:szCs w:val="20"/>
          <w:color w:val="454546"/>
        </w:rPr>
      </w:pPr>
    </w:p>
    <w:p>
      <w:pPr>
        <w:ind w:left="980" w:right="360" w:hanging="490"/>
        <w:spacing w:after="0" w:line="276"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a collaborator with marketing and distribution rights to multiple products may not commit sufficient resources to the marketing and distribution of our product relative to other products;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we may grant exclusive rights to our collaborators that would prevent us from collaborating with others;</w:t>
      </w:r>
    </w:p>
    <w:p>
      <w:pPr>
        <w:spacing w:after="0" w:line="133" w:lineRule="exact"/>
        <w:rPr>
          <w:rFonts w:ascii="Arial" w:cs="Arial" w:eastAsia="Arial" w:hAnsi="Arial"/>
          <w:sz w:val="20"/>
          <w:szCs w:val="20"/>
          <w:color w:val="454546"/>
        </w:rPr>
      </w:pPr>
    </w:p>
    <w:p>
      <w:pPr>
        <w:ind w:left="980" w:right="100" w:hanging="490"/>
        <w:spacing w:after="0" w:line="249"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0" w:lineRule="exact"/>
        <w:rPr>
          <w:rFonts w:ascii="Arial" w:cs="Arial" w:eastAsia="Arial" w:hAnsi="Arial"/>
          <w:sz w:val="20"/>
          <w:szCs w:val="20"/>
          <w:color w:val="454546"/>
        </w:rPr>
      </w:pPr>
    </w:p>
    <w:p>
      <w:pPr>
        <w:ind w:left="980" w:right="160" w:hanging="490"/>
        <w:spacing w:after="0" w:line="258"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0"/>
          <w:szCs w:val="20"/>
          <w:color w:val="454546"/>
        </w:rPr>
      </w:pPr>
    </w:p>
    <w:p>
      <w:pPr>
        <w:ind w:left="980" w:right="20" w:hanging="490"/>
        <w:spacing w:after="0" w:line="276"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collaborations may be terminated and, if terminated, may result in a need for additional capital to pursue further development or commercialization of the applicable product candidates;</w:t>
      </w:r>
    </w:p>
    <w:p>
      <w:pPr>
        <w:spacing w:after="0" w:line="64" w:lineRule="exact"/>
        <w:rPr>
          <w:rFonts w:ascii="Arial" w:cs="Arial" w:eastAsia="Arial" w:hAnsi="Arial"/>
          <w:sz w:val="20"/>
          <w:szCs w:val="20"/>
          <w:color w:val="454546"/>
        </w:rPr>
      </w:pPr>
    </w:p>
    <w:p>
      <w:pPr>
        <w:ind w:left="980" w:right="260" w:hanging="490"/>
        <w:spacing w:after="0" w:line="276"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collaboration agreements may not lead to development or commercialization of product candidates in the most efficient manner or at all;</w:t>
      </w:r>
    </w:p>
    <w:p>
      <w:pPr>
        <w:spacing w:after="0" w:line="64" w:lineRule="exact"/>
        <w:rPr>
          <w:rFonts w:ascii="Arial" w:cs="Arial" w:eastAsia="Arial" w:hAnsi="Arial"/>
          <w:sz w:val="20"/>
          <w:szCs w:val="20"/>
          <w:color w:val="454546"/>
        </w:rPr>
      </w:pPr>
    </w:p>
    <w:p>
      <w:pPr>
        <w:ind w:left="980" w:right="100" w:hanging="490"/>
        <w:spacing w:after="0" w:line="276" w:lineRule="auto"/>
        <w:tabs>
          <w:tab w:leader="none" w:pos="980" w:val="left"/>
        </w:tabs>
        <w:numPr>
          <w:ilvl w:val="0"/>
          <w:numId w:val="41"/>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not provide us with timely and accurate information regarding development progress and activities under the collaboration or may limit our ability to share such information, which could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87</w:t>
      </w:r>
    </w:p>
    <w:p>
      <w:pPr>
        <w:sectPr>
          <w:pgSz w:w="12240" w:h="15840" w:orient="portrait"/>
          <w:cols w:equalWidth="0" w:num="1">
            <w:col w:w="9360"/>
          </w:cols>
          <w:pgMar w:left="1440" w:top="1420" w:right="1440" w:bottom="175" w:gutter="0" w:footer="0" w:header="0"/>
          <w:type w:val="continuous"/>
        </w:sectPr>
      </w:pPr>
    </w:p>
    <w:bookmarkStart w:id="89" w:name="page90"/>
    <w:bookmarkEnd w:id="89"/>
    <w:p>
      <w:pPr>
        <w:ind w:left="980" w:right="40"/>
        <w:spacing w:after="0" w:line="277" w:lineRule="auto"/>
        <w:rPr>
          <w:sz w:val="20"/>
          <w:szCs w:val="20"/>
          <w:color w:val="auto"/>
        </w:rPr>
      </w:pPr>
      <w:r>
        <w:rPr>
          <w:rFonts w:ascii="Times New Roman" w:cs="Times New Roman" w:eastAsia="Times New Roman" w:hAnsi="Times New Roman"/>
          <w:sz w:val="20"/>
          <w:szCs w:val="20"/>
          <w:color w:val="454546"/>
        </w:rPr>
        <w:t>adversely impact our ability to report progress to our investors and otherwise plan our own development of our product candidates;</w:t>
      </w:r>
    </w:p>
    <w:p>
      <w:pPr>
        <w:spacing w:after="0" w:line="64" w:lineRule="exact"/>
        <w:rPr>
          <w:sz w:val="20"/>
          <w:szCs w:val="20"/>
          <w:color w:val="auto"/>
        </w:rPr>
      </w:pPr>
    </w:p>
    <w:p>
      <w:pPr>
        <w:ind w:left="980" w:right="540" w:hanging="490"/>
        <w:spacing w:after="0" w:line="258"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1" w:lineRule="exact"/>
        <w:rPr>
          <w:rFonts w:ascii="Arial" w:cs="Arial" w:eastAsia="Arial" w:hAnsi="Arial"/>
          <w:sz w:val="20"/>
          <w:szCs w:val="20"/>
          <w:color w:val="454546"/>
        </w:rPr>
      </w:pPr>
    </w:p>
    <w:p>
      <w:pPr>
        <w:ind w:left="980" w:right="640" w:hanging="490"/>
        <w:spacing w:after="0" w:line="276" w:lineRule="auto"/>
        <w:tabs>
          <w:tab w:leader="none" w:pos="98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a collaborator’s sales and marketing activities or other operations may not be in compliance with applicable laws resulting in civil or criminal proceedings.</w:t>
      </w:r>
    </w:p>
    <w:p>
      <w:pPr>
        <w:spacing w:after="0" w:line="5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02"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6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454546"/>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7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7"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454546"/>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98" w:lineRule="exact"/>
        <w:rPr>
          <w:sz w:val="20"/>
          <w:szCs w:val="20"/>
          <w:color w:val="auto"/>
        </w:rPr>
      </w:pPr>
    </w:p>
    <w:p>
      <w:pPr>
        <w:ind w:right="2560"/>
        <w:spacing w:after="0" w:line="367" w:lineRule="auto"/>
        <w:rPr>
          <w:sz w:val="20"/>
          <w:szCs w:val="20"/>
          <w:color w:val="auto"/>
        </w:rPr>
      </w:pPr>
      <w:r>
        <w:rPr>
          <w:rFonts w:ascii="Times New Roman" w:cs="Times New Roman" w:eastAsia="Times New Roman" w:hAnsi="Times New Roman"/>
          <w:sz w:val="20"/>
          <w:szCs w:val="20"/>
          <w:b w:val="1"/>
          <w:bCs w:val="1"/>
          <w:color w:val="454546"/>
        </w:rPr>
        <w:t xml:space="preserve">Risks Related to the Securities Market and Ownership of Our Common Stock </w:t>
      </w:r>
      <w:r>
        <w:rPr>
          <w:rFonts w:ascii="Times New Roman" w:cs="Times New Roman" w:eastAsia="Times New Roman" w:hAnsi="Times New Roman"/>
          <w:sz w:val="20"/>
          <w:szCs w:val="20"/>
          <w:b w:val="1"/>
          <w:bCs w:val="1"/>
          <w:i w:val="1"/>
          <w:iCs w:val="1"/>
          <w:color w:val="454546"/>
        </w:rPr>
        <w:t>The price of our stock is volatile, and you could lose all or part of your investment.</w:t>
      </w:r>
    </w:p>
    <w:p>
      <w:pPr>
        <w:spacing w:after="0" w:line="1"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94" w:lineRule="exact"/>
        <w:rPr>
          <w:sz w:val="20"/>
          <w:szCs w:val="20"/>
          <w:color w:val="auto"/>
        </w:rPr>
      </w:pPr>
    </w:p>
    <w:p>
      <w:pPr>
        <w:ind w:left="980" w:right="460" w:hanging="490"/>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of achievement of our research, clinical, regulatory and other milestones for our product candidates;</w:t>
      </w:r>
    </w:p>
    <w:p>
      <w:pPr>
        <w:spacing w:after="0" w:line="64" w:lineRule="exact"/>
        <w:rPr>
          <w:rFonts w:ascii="Arial" w:cs="Arial" w:eastAsia="Arial" w:hAnsi="Arial"/>
          <w:sz w:val="20"/>
          <w:szCs w:val="20"/>
          <w:color w:val="454546"/>
        </w:rPr>
      </w:pPr>
    </w:p>
    <w:p>
      <w:pPr>
        <w:ind w:left="980" w:right="260" w:hanging="490"/>
        <w:spacing w:after="0" w:line="276" w:lineRule="auto"/>
        <w:tabs>
          <w:tab w:leader="none" w:pos="980" w:val="left"/>
        </w:tabs>
        <w:numPr>
          <w:ilvl w:val="0"/>
          <w:numId w:val="43"/>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results of preclinical studies and clinical trials of our product candidates, those conducted by third parties or those of our competitors;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88</w:t>
      </w:r>
    </w:p>
    <w:p>
      <w:pPr>
        <w:sectPr>
          <w:pgSz w:w="12240" w:h="15840" w:orient="portrait"/>
          <w:cols w:equalWidth="0" w:num="1">
            <w:col w:w="9360"/>
          </w:cols>
          <w:pgMar w:left="1440" w:top="1420" w:right="1440" w:bottom="175" w:gutter="0" w:footer="0" w:header="0"/>
          <w:type w:val="continuous"/>
        </w:sectPr>
      </w:pPr>
    </w:p>
    <w:bookmarkStart w:id="90" w:name="page91"/>
    <w:bookmarkEnd w:id="90"/>
    <w:p>
      <w:pPr>
        <w:ind w:left="980" w:right="740" w:hanging="490"/>
        <w:spacing w:after="0" w:line="276" w:lineRule="auto"/>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the success of competitive products or announcements by potential competitors of their product development efforts;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regulatory actions with respect to our product candidates or those of our competitors;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actual or anticipated changes in our growth rate relative to our competitors;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regulatory or legal developments in the U.S. and other countries;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application of new standards and practices applied by the FDA for review of product candidates;</w:t>
      </w:r>
    </w:p>
    <w:p>
      <w:pPr>
        <w:spacing w:after="0" w:line="133" w:lineRule="exact"/>
        <w:rPr>
          <w:rFonts w:ascii="Arial" w:cs="Arial" w:eastAsia="Arial" w:hAnsi="Arial"/>
          <w:sz w:val="20"/>
          <w:szCs w:val="20"/>
          <w:color w:val="454546"/>
        </w:rPr>
      </w:pPr>
    </w:p>
    <w:p>
      <w:pPr>
        <w:ind w:left="980" w:right="320" w:hanging="490"/>
        <w:spacing w:after="0" w:line="276" w:lineRule="auto"/>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litigation, including developments or disputes concerning patent applications, issued patents or other intellectual property or proprietary rights;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recruitment or departure of key personnel;</w:t>
      </w:r>
    </w:p>
    <w:p>
      <w:pPr>
        <w:spacing w:after="0" w:line="133" w:lineRule="exact"/>
        <w:rPr>
          <w:rFonts w:ascii="Arial" w:cs="Arial" w:eastAsia="Arial" w:hAnsi="Arial"/>
          <w:sz w:val="20"/>
          <w:szCs w:val="20"/>
          <w:color w:val="454546"/>
        </w:rPr>
      </w:pPr>
    </w:p>
    <w:p>
      <w:pPr>
        <w:ind w:left="980" w:right="580" w:hanging="490"/>
        <w:spacing w:after="0" w:line="276" w:lineRule="auto"/>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announcements by us or our competitors of significant acquisitions, strategic collaborations, joint ventures, licensing arrangements or capital commitments;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the decision to terminate or dispose of any preclinical or clinical programs;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the level of research and development expenses incurred for our product candidates and programs;</w:t>
      </w:r>
    </w:p>
    <w:p>
      <w:pPr>
        <w:spacing w:after="0" w:line="133" w:lineRule="exact"/>
        <w:rPr>
          <w:rFonts w:ascii="Arial" w:cs="Arial" w:eastAsia="Arial" w:hAnsi="Arial"/>
          <w:sz w:val="20"/>
          <w:szCs w:val="20"/>
          <w:color w:val="454546"/>
        </w:rPr>
      </w:pPr>
    </w:p>
    <w:p>
      <w:pPr>
        <w:ind w:left="980" w:right="420" w:hanging="490"/>
        <w:spacing w:after="0" w:line="276" w:lineRule="auto"/>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actual or anticipated changes in estimates as to financial results, development timelines or coverage and/or recommendations by securities analysts;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the valuation of companies perceived by investors to be comparable to us;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market conditions in the pharmaceutical and biotechnology sector;</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the structure of healthcare payment systems;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share price and volume fluctuations attributable to inconsistent trading volume levels of our shares;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announcement or expectation of additional financing efforts;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sales of our common stock by us, our insiders or our other stockholders;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expiration of market stand-off or lock-up agreements;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the impact of any natural disasters or public health emergencies;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interest rates and inflation rates; and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4"/>
        </w:numPr>
        <w:rPr>
          <w:rFonts w:ascii="Arial" w:cs="Arial" w:eastAsia="Arial" w:hAnsi="Arial"/>
          <w:sz w:val="20"/>
          <w:szCs w:val="20"/>
          <w:color w:val="454546"/>
        </w:rPr>
      </w:pPr>
      <w:r>
        <w:rPr>
          <w:rFonts w:ascii="Times New Roman" w:cs="Times New Roman" w:eastAsia="Times New Roman" w:hAnsi="Times New Roman"/>
          <w:sz w:val="20"/>
          <w:szCs w:val="20"/>
          <w:color w:val="454546"/>
        </w:rPr>
        <w:t>general economic, political, industry and market conditions.</w:t>
      </w:r>
    </w:p>
    <w:p>
      <w:pPr>
        <w:spacing w:after="0" w:line="110" w:lineRule="exact"/>
        <w:rPr>
          <w:sz w:val="20"/>
          <w:szCs w:val="20"/>
          <w:color w:val="auto"/>
        </w:rPr>
      </w:pPr>
    </w:p>
    <w:p>
      <w:pPr>
        <w:ind w:right="280" w:firstLine="490"/>
        <w:spacing w:after="0" w:line="292" w:lineRule="auto"/>
        <w:rPr>
          <w:sz w:val="20"/>
          <w:szCs w:val="20"/>
          <w:color w:val="auto"/>
        </w:rPr>
      </w:pPr>
      <w:r>
        <w:rPr>
          <w:rFonts w:ascii="Times New Roman" w:cs="Times New Roman" w:eastAsia="Times New Roman" w:hAnsi="Times New Roman"/>
          <w:sz w:val="19"/>
          <w:szCs w:val="19"/>
          <w:color w:val="454546"/>
        </w:rPr>
        <w:t>The realization of any of the above risks or any of a broad range of other risks, including those described in this “Risk Factors” section, could have a dramatic and adverse impact on the market price of our common stock.</w:t>
      </w:r>
    </w:p>
    <w:p>
      <w:pPr>
        <w:spacing w:after="0" w:line="3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r>
        <w:rPr>
          <w:rFonts w:ascii="Times New Roman" w:cs="Times New Roman" w:eastAsia="Times New Roman" w:hAnsi="Times New Roman"/>
          <w:sz w:val="20"/>
          <w:szCs w:val="20"/>
          <w:color w:val="454546"/>
        </w:rPr>
        <w:t>.</w:t>
      </w:r>
    </w:p>
    <w:p>
      <w:pPr>
        <w:spacing w:after="0" w:line="68"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454546"/>
        </w:rPr>
        <w:t>The continued listing standards of the Nasdaq Global Select Market require, among other things, that the minimum price of a listed company’s stock be at or above $1.00. On April 15, 2025, we received a letter from the Staff of Nasdaq indicating that, based upon the closing bid price of shares of our common stock for the 30 consecutive business day period between March 3, 2025, through April 12, 2025, the Company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In the event we do not regain compliance by the end of the Compliance Period, we may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its publicly held shares and all other initial listing standards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89</w:t>
      </w:r>
    </w:p>
    <w:p>
      <w:pPr>
        <w:sectPr>
          <w:pgSz w:w="12240" w:h="15840" w:orient="portrait"/>
          <w:cols w:equalWidth="0" w:num="1">
            <w:col w:w="9360"/>
          </w:cols>
          <w:pgMar w:left="1440" w:top="1434" w:right="1440" w:bottom="175" w:gutter="0" w:footer="0" w:header="0"/>
          <w:type w:val="continuous"/>
        </w:sectPr>
      </w:pPr>
    </w:p>
    <w:bookmarkStart w:id="91" w:name="page92"/>
    <w:bookmarkEnd w:id="91"/>
    <w:p>
      <w:pPr>
        <w:ind w:right="80"/>
        <w:spacing w:after="0" w:line="247" w:lineRule="auto"/>
        <w:rPr>
          <w:sz w:val="20"/>
          <w:szCs w:val="20"/>
          <w:color w:val="auto"/>
        </w:rPr>
      </w:pPr>
      <w:r>
        <w:rPr>
          <w:rFonts w:ascii="Times New Roman" w:cs="Times New Roman" w:eastAsia="Times New Roman" w:hAnsi="Times New Roman"/>
          <w:sz w:val="20"/>
          <w:szCs w:val="20"/>
          <w:color w:val="454546"/>
        </w:rPr>
        <w:t>for Nasdaq, with the exception of the bid price requirement, and will need to provide written notice of its intention to cure the deficiency during the Second Compliance Period, by effecting a reverse stock split, if necessary. There can be no assurance that we will be eligible for the Second Compliance Period, if applicable, or that the Staff would grant our request for continued listing subsequent to any delisting notification and there can be no assurance that we will be able to regain or maintain compliance with the minimum bid price requirement or any other Nasdaq listing standards, if applicable.</w:t>
      </w:r>
    </w:p>
    <w:p>
      <w:pPr>
        <w:spacing w:after="0" w:line="8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454546"/>
        </w:rPr>
        <w:t>If we do not regain compliance with or continue to satisfy the Nasdaq continued listing requirements,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9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20"/>
          <w:szCs w:val="20"/>
          <w:b w:val="1"/>
          <w:bCs w:val="1"/>
          <w:i w:val="1"/>
          <w:iCs w:val="1"/>
          <w:color w:val="454546"/>
        </w:rPr>
        <w:t>Our operating results may fluctuate significantly, which makes our future operating results difficult to predict and could cause our operating results to fall below expectations or our guidance.</w:t>
      </w:r>
    </w:p>
    <w:p>
      <w:pPr>
        <w:spacing w:after="0" w:line="5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20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As of December 31, 2025, our executive officers, directors, holders of 5% or more of our capital stock and their respective affiliates beneficially owned approximately 36%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20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Sales of a substantial number of shares of our common stock in the public market could cause our stock price to fall.</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Sales of a substantial number of shares of our common stock in the public market could occur at any time. For example, we filed (i) on March 4, 2025, a prospectus supplement to our shelf registration statement on Form S-3 that became effective on August 10, 2022 that covered the offering, issuance and sale of 75,000,000 shares of our common stock, Series A Warrants to purchase 75,000,000 shares of our common stock, and Series B warrants to purchase 37,500,000 shares of our common stock, (ii) a new shelf registration statement on Form S-3 that became effective on March 31, 2025, which will allow us to undertake various equity and debt offerings up to $300.0 million (the 2025 Shelf Registration), and (iii) on December 12, 2025, a prospectus supplement to our 2025 Shelf Registration that covered the offering, issuance and sale of 50,000,000 shares of our common stock and warrants to purchase 50,000,000 shares of our common stock.</w:t>
      </w:r>
    </w:p>
    <w:p>
      <w:pPr>
        <w:spacing w:after="0" w:line="86"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454546"/>
        </w:rPr>
        <w:t>If the warrants are exercised and shares are sold, or if it is perceived that they will be sold, in the public market, the trading price of our common stock could decline.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90</w:t>
      </w:r>
    </w:p>
    <w:p>
      <w:pPr>
        <w:sectPr>
          <w:pgSz w:w="12240" w:h="15840" w:orient="portrait"/>
          <w:cols w:equalWidth="0" w:num="1">
            <w:col w:w="9360"/>
          </w:cols>
          <w:pgMar w:left="1440" w:top="1420" w:right="1440" w:bottom="175" w:gutter="0" w:footer="0" w:header="0"/>
          <w:type w:val="continuous"/>
        </w:sectPr>
      </w:pPr>
    </w:p>
    <w:bookmarkStart w:id="92" w:name="page93"/>
    <w:bookmarkEnd w:id="92"/>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80"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19"/>
          <w:szCs w:val="19"/>
          <w:color w:val="454546"/>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77"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454546"/>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be subject to securities litigation, which is expensive and could divert management attention.</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Provisions in our certificate of incorporation and bylaws and Delaware law might discourage, delay or prevent a change in control of our company or changes in our management and, therefore, depress the market price of our common stock.</w:t>
      </w:r>
    </w:p>
    <w:p>
      <w:pPr>
        <w:spacing w:after="0" w:line="68" w:lineRule="exact"/>
        <w:rPr>
          <w:sz w:val="20"/>
          <w:szCs w:val="20"/>
          <w:color w:val="auto"/>
        </w:rPr>
      </w:pPr>
    </w:p>
    <w:p>
      <w:pPr>
        <w:jc w:val="both"/>
        <w:ind w:right="480" w:firstLine="490"/>
        <w:spacing w:after="0" w:line="252" w:lineRule="auto"/>
        <w:rPr>
          <w:sz w:val="20"/>
          <w:szCs w:val="20"/>
          <w:color w:val="auto"/>
        </w:rPr>
      </w:pPr>
      <w:r>
        <w:rPr>
          <w:rFonts w:ascii="Times New Roman" w:cs="Times New Roman" w:eastAsia="Times New Roman" w:hAnsi="Times New Roman"/>
          <w:sz w:val="20"/>
          <w:szCs w:val="20"/>
          <w:color w:val="454546"/>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91</w:t>
      </w:r>
    </w:p>
    <w:p>
      <w:pPr>
        <w:sectPr>
          <w:pgSz w:w="12240" w:h="15840" w:orient="portrait"/>
          <w:cols w:equalWidth="0" w:num="1">
            <w:col w:w="9360"/>
          </w:cols>
          <w:pgMar w:left="1440" w:top="1420" w:right="1440" w:bottom="175" w:gutter="0" w:footer="0" w:header="0"/>
          <w:type w:val="continuous"/>
        </w:sectPr>
      </w:pPr>
    </w:p>
    <w:bookmarkStart w:id="93" w:name="page94"/>
    <w:bookmarkEnd w:id="93"/>
    <w:p>
      <w:pPr>
        <w:ind w:right="140"/>
        <w:spacing w:after="0" w:line="277" w:lineRule="auto"/>
        <w:rPr>
          <w:sz w:val="20"/>
          <w:szCs w:val="20"/>
          <w:color w:val="auto"/>
        </w:rPr>
      </w:pPr>
      <w:r>
        <w:rPr>
          <w:rFonts w:ascii="Times New Roman" w:cs="Times New Roman" w:eastAsia="Times New Roman" w:hAnsi="Times New Roman"/>
          <w:sz w:val="20"/>
          <w:szCs w:val="20"/>
          <w:color w:val="454546"/>
        </w:rPr>
        <w:t>prevent any attempts by our stockholders to replace or remove our current management by making it more difficult for stockholders to replace members of our board of directors. These provisions, among other things:</w:t>
      </w:r>
    </w:p>
    <w:p>
      <w:pPr>
        <w:spacing w:after="0" w:line="64" w:lineRule="exact"/>
        <w:rPr>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 a classified board of directors so that not all members of our board are elected at one time;</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permit only the board of directors to establish the number of directors and fill vacancies on the board;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provide that directors may only be removed “for cause”;</w:t>
      </w:r>
    </w:p>
    <w:p>
      <w:pPr>
        <w:spacing w:after="0" w:line="133" w:lineRule="exact"/>
        <w:rPr>
          <w:rFonts w:ascii="Arial" w:cs="Arial" w:eastAsia="Arial" w:hAnsi="Arial"/>
          <w:sz w:val="20"/>
          <w:szCs w:val="20"/>
          <w:color w:val="454546"/>
        </w:rPr>
      </w:pPr>
    </w:p>
    <w:p>
      <w:pPr>
        <w:ind w:left="980" w:right="720" w:hanging="490"/>
        <w:spacing w:after="0" w:line="276" w:lineRule="auto"/>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authorize the issuance of “blank check” preferred stock that our board could use to implement a stockholder rights plan (also known as a poison pill);</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eliminate the ability of our stockholders to call special meetings of stockholders;</w:t>
      </w:r>
    </w:p>
    <w:p>
      <w:pPr>
        <w:spacing w:after="0" w:line="133" w:lineRule="exact"/>
        <w:rPr>
          <w:rFonts w:ascii="Arial" w:cs="Arial" w:eastAsia="Arial" w:hAnsi="Arial"/>
          <w:sz w:val="20"/>
          <w:szCs w:val="20"/>
          <w:color w:val="454546"/>
        </w:rPr>
      </w:pPr>
    </w:p>
    <w:p>
      <w:pPr>
        <w:ind w:left="980" w:right="300" w:hanging="490"/>
        <w:spacing w:after="0" w:line="276" w:lineRule="auto"/>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prohibit stockholder action by written consent, which requires all stockholder actions to be taken at a meeting of our stockholders;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prohibit cumulative voting;</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authorize our board of directors to amend the bylaws;</w:t>
      </w:r>
    </w:p>
    <w:p>
      <w:pPr>
        <w:spacing w:after="0" w:line="133" w:lineRule="exact"/>
        <w:rPr>
          <w:rFonts w:ascii="Arial" w:cs="Arial" w:eastAsia="Arial" w:hAnsi="Arial"/>
          <w:sz w:val="20"/>
          <w:szCs w:val="20"/>
          <w:color w:val="454546"/>
        </w:rPr>
      </w:pPr>
    </w:p>
    <w:p>
      <w:pPr>
        <w:ind w:left="980" w:right="40" w:hanging="490"/>
        <w:spacing w:after="0" w:line="276" w:lineRule="auto"/>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 advance notice requirements for nominations for election to our board or for proposing matters that can be acted upon by stockholders at annual stockholder meetings; and</w:t>
      </w:r>
    </w:p>
    <w:p>
      <w:pPr>
        <w:spacing w:after="0" w:line="64" w:lineRule="exact"/>
        <w:rPr>
          <w:rFonts w:ascii="Arial" w:cs="Arial" w:eastAsia="Arial" w:hAnsi="Arial"/>
          <w:sz w:val="20"/>
          <w:szCs w:val="20"/>
          <w:color w:val="454546"/>
        </w:rPr>
      </w:pPr>
    </w:p>
    <w:p>
      <w:pPr>
        <w:ind w:left="980" w:right="200" w:hanging="490"/>
        <w:spacing w:after="0" w:line="276" w:lineRule="auto"/>
        <w:tabs>
          <w:tab w:leader="none" w:pos="980" w:val="left"/>
        </w:tabs>
        <w:numPr>
          <w:ilvl w:val="0"/>
          <w:numId w:val="45"/>
        </w:numPr>
        <w:rPr>
          <w:rFonts w:ascii="Arial" w:cs="Arial" w:eastAsia="Arial" w:hAnsi="Arial"/>
          <w:sz w:val="20"/>
          <w:szCs w:val="20"/>
          <w:color w:val="454546"/>
        </w:rPr>
      </w:pPr>
      <w:r>
        <w:rPr>
          <w:rFonts w:ascii="Times New Roman" w:cs="Times New Roman" w:eastAsia="Times New Roman" w:hAnsi="Times New Roman"/>
          <w:sz w:val="20"/>
          <w:szCs w:val="20"/>
          <w:color w:val="454546"/>
        </w:rPr>
        <w:t>require a super-majority vote of stockholders to amend or repeal specified provisions of our certificate of incorporation and bylaws.</w:t>
      </w:r>
    </w:p>
    <w:p>
      <w:pPr>
        <w:spacing w:after="0" w:line="5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7"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19"/>
          <w:szCs w:val="19"/>
          <w:color w:val="454546"/>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4" w:lineRule="exact"/>
        <w:rPr>
          <w:sz w:val="20"/>
          <w:szCs w:val="20"/>
          <w:color w:val="auto"/>
        </w:rPr>
      </w:pPr>
    </w:p>
    <w:p>
      <w:pPr>
        <w:ind w:left="980" w:hanging="490"/>
        <w:spacing w:after="0"/>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derivative action or proceeding brought on our behalf;</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action asserting a claim of breach of fiduciary duty;</w:t>
      </w:r>
    </w:p>
    <w:p>
      <w:pPr>
        <w:spacing w:after="0" w:line="133" w:lineRule="exact"/>
        <w:rPr>
          <w:rFonts w:ascii="Arial" w:cs="Arial" w:eastAsia="Arial" w:hAnsi="Arial"/>
          <w:sz w:val="20"/>
          <w:szCs w:val="20"/>
          <w:color w:val="454546"/>
        </w:rPr>
      </w:pPr>
    </w:p>
    <w:p>
      <w:pPr>
        <w:ind w:left="980" w:right="240" w:hanging="490"/>
        <w:spacing w:after="0" w:line="276" w:lineRule="auto"/>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action asserting a claim against us arising under the DGCL, our certificate of incorporation or our bylaws; and</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6"/>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action asserting a claim against us that is governed by the internal-affairs doctrine.</w:t>
      </w:r>
    </w:p>
    <w:p>
      <w:pPr>
        <w:spacing w:after="0" w:line="119"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This provision would not apply to suits brought to enforce a duty or liability created by the Exchange Act or any other claim for which the U.S. federal courts have exclusive jurisdiction.</w:t>
      </w:r>
    </w:p>
    <w:p>
      <w:pPr>
        <w:spacing w:after="0" w:line="49"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Our bylaws further provide that the federal district courts of the United States of America will be the exclusive forum for resolving any complaint asserting a cause of action arising under the Securities Act.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92</w:t>
      </w:r>
    </w:p>
    <w:p>
      <w:pPr>
        <w:sectPr>
          <w:pgSz w:w="12240" w:h="15840" w:orient="portrait"/>
          <w:cols w:equalWidth="0" w:num="1">
            <w:col w:w="9360"/>
          </w:cols>
          <w:pgMar w:left="1440" w:top="1420" w:right="1440" w:bottom="175" w:gutter="0" w:footer="0" w:header="0"/>
          <w:type w:val="continuous"/>
        </w:sectPr>
      </w:pPr>
    </w:p>
    <w:bookmarkStart w:id="94" w:name="page95"/>
    <w:bookmarkEnd w:id="94"/>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These exclusive-forum provisions may limit a stockholder’s ability to bring a claim in a judicial forum that it finds favorable for disputes with us or our directors, officers or other employees. In addition, these exclusive-forum provisions may impose additional litigation costs for stockholders who determine to pursue any such lawsuits against us.</w:t>
      </w:r>
    </w:p>
    <w:p>
      <w:pPr>
        <w:spacing w:after="0" w:line="7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 Management and Strategy</w:t>
      </w:r>
    </w:p>
    <w:p>
      <w:pPr>
        <w:spacing w:after="0" w:line="12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We have established policies and processes for assessing, identifying, and managing material risk from cybersecurity threats, and have integrated these processes into our overall risk management systems and processes. In collaboration with our external vendors specializing in cybersecurity management, we routinely assess material risks from cybersecurity threats, including any potential unauthorized access to our information systems that could result in adverse effects on the confidentiality, integrity, or availability of our information systems or any information residing therein.</w:t>
      </w:r>
    </w:p>
    <w:p>
      <w:pPr>
        <w:spacing w:after="0" w:line="8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We conduct periodic risk assessments to identify cybersecurity threats, as well as assessments of planned material changes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7"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454546"/>
        </w:rPr>
        <w:t>Following these risk assessments, we consider whether and how to re-design, implement, and maintain reasonable safeguards to minimize identified risks; reasonably address any identified gaps in existing safeguards; and regularly monitor the effectiveness of our safeguards. In consideration of the size and complexity of our business, we devote significant internal and external resources to manage material risks from cybersecurity threats. We also designate specific personnel, including our Senior Director, Information Technology, to manage the risk assessment and mitigation process and to closely coordinate with our General Counsel on applicable regulatory obligations.</w:t>
      </w:r>
    </w:p>
    <w:p>
      <w:pPr>
        <w:spacing w:after="0" w:line="80" w:lineRule="exact"/>
        <w:rPr>
          <w:sz w:val="20"/>
          <w:szCs w:val="20"/>
          <w:color w:val="auto"/>
        </w:rPr>
      </w:pPr>
    </w:p>
    <w:p>
      <w:pPr>
        <w:jc w:val="both"/>
        <w:ind w:right="240" w:firstLine="490"/>
        <w:spacing w:after="0" w:line="278" w:lineRule="auto"/>
        <w:rPr>
          <w:sz w:val="20"/>
          <w:szCs w:val="20"/>
          <w:color w:val="auto"/>
        </w:rPr>
      </w:pPr>
      <w:r>
        <w:rPr>
          <w:rFonts w:ascii="Times New Roman" w:cs="Times New Roman" w:eastAsia="Times New Roman" w:hAnsi="Times New Roman"/>
          <w:sz w:val="19"/>
          <w:szCs w:val="19"/>
          <w:color w:val="454546"/>
        </w:rPr>
        <w:t>As part of our overall risk management system, we monitor and test our safeguards and train our employees on these safeguards. Personnel at all levels and departments are made aware of our cybersecurity policies through required policy review and trainings at the time of hire and periodically during their employment with us.</w:t>
      </w:r>
    </w:p>
    <w:p>
      <w:pPr>
        <w:spacing w:after="0" w:line="51"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We engage consultants, auditors, or other third parties in connection with our risk assessment processes. These professionals assist us in the design and implementation of our cybersecurity policies and procedures, as well as to monitor and test our safeguards. In addition, in order to mitigate cybersecurity risks associated with our use of third-party service providers, we require certain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80" w:lineRule="exact"/>
        <w:rPr>
          <w:sz w:val="20"/>
          <w:szCs w:val="20"/>
          <w:color w:val="auto"/>
        </w:rPr>
      </w:pPr>
    </w:p>
    <w:p>
      <w:pPr>
        <w:ind w:right="60" w:firstLine="490"/>
        <w:spacing w:after="0" w:line="263" w:lineRule="auto"/>
        <w:rPr>
          <w:sz w:val="20"/>
          <w:szCs w:val="20"/>
          <w:color w:val="auto"/>
        </w:rPr>
      </w:pPr>
      <w:r>
        <w:rPr>
          <w:rFonts w:ascii="Times New Roman" w:cs="Times New Roman" w:eastAsia="Times New Roman" w:hAnsi="Times New Roman"/>
          <w:sz w:val="19"/>
          <w:szCs w:val="19"/>
          <w:color w:val="454546"/>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w:t>
      </w:r>
      <w:r>
        <w:rPr>
          <w:rFonts w:ascii="Times New Roman" w:cs="Times New Roman" w:eastAsia="Times New Roman" w:hAnsi="Times New Roman"/>
          <w:sz w:val="19"/>
          <w:szCs w:val="19"/>
          <w:i w:val="1"/>
          <w:iCs w:val="1"/>
          <w:color w:val="454546"/>
        </w:rPr>
        <w:t>Our computer systems, or those of any of our</w:t>
      </w:r>
      <w:r>
        <w:rPr>
          <w:rFonts w:ascii="Times New Roman" w:cs="Times New Roman" w:eastAsia="Times New Roman" w:hAnsi="Times New Roman"/>
          <w:sz w:val="19"/>
          <w:szCs w:val="19"/>
          <w:color w:val="454546"/>
        </w:rPr>
        <w:t xml:space="preserve"> </w:t>
      </w:r>
      <w:r>
        <w:rPr>
          <w:rFonts w:ascii="Times New Roman" w:cs="Times New Roman" w:eastAsia="Times New Roman" w:hAnsi="Times New Roman"/>
          <w:sz w:val="19"/>
          <w:szCs w:val="19"/>
          <w:i w:val="1"/>
          <w:iCs w:val="1"/>
          <w:color w:val="454546"/>
        </w:rPr>
        <w:t>CROs, manufacturers, contractors, consultants or other third parties or potential future collaborators, may fail or suffer security incidents or data privacy breaches or other unauthorized or improper access to, use of,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93</w:t>
      </w:r>
    </w:p>
    <w:p>
      <w:pPr>
        <w:sectPr>
          <w:pgSz w:w="12240" w:h="15840" w:orient="portrait"/>
          <w:cols w:equalWidth="0" w:num="1">
            <w:col w:w="9360"/>
          </w:cols>
          <w:pgMar w:left="1440" w:top="1420" w:right="1440" w:bottom="175" w:gutter="0" w:footer="0" w:header="0"/>
          <w:type w:val="continuous"/>
        </w:sectPr>
      </w:pPr>
    </w:p>
    <w:bookmarkStart w:id="95" w:name="page96"/>
    <w:bookmarkEnd w:id="95"/>
    <w:p>
      <w:pPr>
        <w:ind w:right="840"/>
        <w:spacing w:after="0" w:line="257" w:lineRule="auto"/>
        <w:rPr>
          <w:sz w:val="20"/>
          <w:szCs w:val="20"/>
          <w:color w:val="auto"/>
        </w:rPr>
      </w:pPr>
      <w:r>
        <w:rPr>
          <w:rFonts w:ascii="Times New Roman" w:cs="Times New Roman" w:eastAsia="Times New Roman" w:hAnsi="Times New Roman"/>
          <w:sz w:val="20"/>
          <w:szCs w:val="20"/>
          <w:i w:val="1"/>
          <w:iCs w:val="1"/>
          <w:color w:val="454546"/>
        </w:rPr>
        <w:t>destruction of our proprietary or confidential data, employee data, or personal data, which could result in additional costs, loss of revenue, significant liabilities, harm to our brand and material disruption of our operations</w:t>
      </w:r>
      <w:r>
        <w:rPr>
          <w:rFonts w:ascii="Times New Roman" w:cs="Times New Roman" w:eastAsia="Times New Roman" w:hAnsi="Times New Roman"/>
          <w:sz w:val="20"/>
          <w:szCs w:val="20"/>
          <w:color w:val="454546"/>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Governance</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One of the key functions of our board of directors (our “Board”) is informed oversight of our risk management process, including risks from cybersecurity threats. Our Board is responsible for monitoring and assessing strategic risk exposure, and our executive officers are responsible for the day-to-day management of the material risks we face. Our Board administers its cybersecurity risk oversight function directly as a whole, as well as through the Audit Committee.</w:t>
      </w:r>
    </w:p>
    <w:p>
      <w:pPr>
        <w:spacing w:after="0" w:line="77"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Senior Director, Information Technology, along with the members of our Incident Response Team, which includes our Senior Vice President, Finance and our General Counsel, are primarily responsible to assess and manage our material risks from cybersecurity threats. Our Incident Response Team is supported by an experienced managed service provider and an incident response provider with extensive global cybersecurity expertise, who each monitor, assess and report threats to us. Additionally, our Senior Director, Information Technology has over twenty years of experience operating in the information technology, security and cybersecurity space. In particular, he has experience with cybersecurity assessment and prevention, incident responses, breach notifications and remediation.</w:t>
      </w:r>
    </w:p>
    <w:p>
      <w:pPr>
        <w:spacing w:after="0" w:line="80" w:lineRule="exact"/>
        <w:rPr>
          <w:sz w:val="20"/>
          <w:szCs w:val="20"/>
          <w:color w:val="auto"/>
        </w:rPr>
      </w:pPr>
    </w:p>
    <w:p>
      <w:pPr>
        <w:ind w:right="280" w:firstLine="490"/>
        <w:spacing w:after="0" w:line="244" w:lineRule="auto"/>
        <w:rPr>
          <w:sz w:val="20"/>
          <w:szCs w:val="20"/>
          <w:color w:val="auto"/>
        </w:rPr>
      </w:pPr>
      <w:r>
        <w:rPr>
          <w:rFonts w:ascii="Times New Roman" w:cs="Times New Roman" w:eastAsia="Times New Roman" w:hAnsi="Times New Roman"/>
          <w:sz w:val="20"/>
          <w:szCs w:val="20"/>
          <w:color w:val="454546"/>
        </w:rPr>
        <w:t>Our Senior Director, Information Technology oversees our cybersecurity policies and processes, including those described in “Risk Management and Strategy” above and, along with and informed by the Information Technology organization and our Incident Response Team, monitors the prevention, detection, mitigation, and remediation of cybersecurity incidents. Depending on the severity of the security incident, the Incident Response Team will report the security incident to our Audit Committee, including the financial impact of the security incident and any regulatory violations. As our Information Technology organization monitors the security and effectiveness of our policies and procedures, they also work to keep the Senior Director, Information Technology and other members of leadership informed of critical incidents, process updates, or other material details, in accordance with our internal reporting structure.</w:t>
      </w:r>
    </w:p>
    <w:p>
      <w:pPr>
        <w:spacing w:after="0" w:line="86"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Our Audit Committee receives an annual briefing regarding our company’s cybersecurity risks and activities, including the status of cybersecurity system development, company-wide cybersecurity training programs, material changes to the cybersecurity system, policies or practices, any recent cybersecurity incidents and related responses, cybersecurity systems testing and engagement of third-party service providers in support of our cybersecurity system. Special meetings may also be called with the Audit Committee to brief the members on any material cybersecurity incidents and related responses thereto. After such briefings, our Audit Committee will provide an update to the Board on such reports. In addition, the Board will receive periodic updates in meeting materials or directly from our Senior Vice President, Finance on cybersecurity risks and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2. Properties.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Our corporate headquarters are in South San Francisco, where we lease a facility containing approximately 32,370 square feet of office and laboratory space located at 171 Oyster Point Blvd., Suite 500, South San Francisco, CA 94080. The lease expires on November 30, 2027, unless earlier terminated in accordance with the lease, and we may renew the lease term for two additional five-year periods.</w:t>
      </w:r>
    </w:p>
    <w:p>
      <w:pPr>
        <w:spacing w:after="0" w:line="7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454546"/>
        </w:rPr>
        <w:t>We also have a leased space at a facility in Union City containing manufacturing and office space located at 33498 Central Avenue, Union City, CA 94587. The lease expires in July 2031, unless earlier terminated in accordance with the lease. We may renew the lease term for one additional five-year period.</w:t>
      </w:r>
    </w:p>
    <w:p>
      <w:pPr>
        <w:spacing w:after="0" w:line="68"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454546"/>
        </w:rPr>
        <w:t>We believe that these existing facilities are adequate for our current needs and that suitable additional or alternative space will be available in the future on commercially reasonable terms, if required.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3. Legal Proceedings.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94</w:t>
      </w:r>
    </w:p>
    <w:p>
      <w:pPr>
        <w:sectPr>
          <w:pgSz w:w="12240" w:h="15840" w:orient="portrait"/>
          <w:cols w:equalWidth="0" w:num="1">
            <w:col w:w="9360"/>
          </w:cols>
          <w:pgMar w:left="1440" w:top="1422" w:right="1440" w:bottom="175"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9"/>
          <w:szCs w:val="19"/>
          <w:b w:val="1"/>
          <w:bCs w:val="1"/>
          <w:color w:val="454546"/>
        </w:rPr>
        <w:t>Item 4. Mine Safety Disclosures.</w:t>
      </w:r>
    </w:p>
    <w:p>
      <w:pPr>
        <w:sectPr>
          <w:pgSz w:w="12240" w:h="15840" w:orient="portrait"/>
          <w:cols w:equalWidth="0" w:num="1">
            <w:col w:w="9360"/>
          </w:cols>
          <w:pgMar w:left="1440" w:top="1416" w:right="1440" w:bottom="175" w:gutter="0" w:footer="0" w:header="0"/>
        </w:sectPr>
      </w:pP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454546"/>
        </w:rPr>
        <w:t>Not applicable.</w:t>
      </w:r>
    </w:p>
    <w:p>
      <w:pPr>
        <w:sectPr>
          <w:pgSz w:w="12240" w:h="15840" w:orient="portrait"/>
          <w:cols w:equalWidth="0" w:num="1">
            <w:col w:w="9360"/>
          </w:cols>
          <w:pgMar w:left="1440" w:top="1416"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95</w:t>
      </w:r>
    </w:p>
    <w:p>
      <w:pPr>
        <w:sectPr>
          <w:pgSz w:w="12240" w:h="15840" w:orient="portrait"/>
          <w:cols w:equalWidth="0" w:num="1">
            <w:col w:w="9360"/>
          </w:cols>
          <w:pgMar w:left="1440" w:top="1416" w:right="1440" w:bottom="175"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454546"/>
        </w:rPr>
        <w:t>PART II</w:t>
      </w:r>
    </w:p>
    <w:p>
      <w:pPr>
        <w:spacing w:after="0" w:line="36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454546"/>
        </w:rPr>
        <w:t>Item 5. Market for Registrant’s Common Equity, Related Stockholder Matters and Issuer Purchases of Equity Securities.</w:t>
      </w:r>
    </w:p>
    <w:p>
      <w:pPr>
        <w:spacing w:after="0" w:line="36" w:lineRule="exact"/>
        <w:rPr>
          <w:sz w:val="20"/>
          <w:szCs w:val="20"/>
          <w:color w:val="auto"/>
        </w:rPr>
      </w:pPr>
    </w:p>
    <w:p>
      <w:pPr>
        <w:ind w:right="200" w:firstLine="490"/>
        <w:spacing w:after="0" w:line="305" w:lineRule="auto"/>
        <w:rPr>
          <w:sz w:val="20"/>
          <w:szCs w:val="20"/>
          <w:color w:val="auto"/>
        </w:rPr>
      </w:pPr>
      <w:r>
        <w:rPr>
          <w:rFonts w:ascii="Times New Roman" w:cs="Times New Roman" w:eastAsia="Times New Roman" w:hAnsi="Times New Roman"/>
          <w:sz w:val="19"/>
          <w:szCs w:val="19"/>
          <w:color w:val="454546"/>
        </w:rPr>
        <w:t>Our common stock is traded on the Nasdaq Global Select Market under the symbol “TNYA”. Public trading of our common stock began on July 30, 2021. Prior to that, there was no public market for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Holders of Common Stock</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454546"/>
        </w:rPr>
        <w:t>As of March 5, 2026, there were 38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Dividend Policy</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We have never declared or paid any cash dividends on our common stock and do not anticipate paying cash dividends in the foreseeable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Sales of Unregistered Securities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Securities Authorized for Issuance under Equity Compensation Plans</w:t>
      </w:r>
    </w:p>
    <w:p>
      <w:pPr>
        <w:spacing w:after="0" w:line="124"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454546"/>
        </w:rPr>
        <w:t>Information about our equity compensation plans is incorporated herein by reference to Part III, Item 12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Use of Proceeds from Public Offering of Common Stock</w:t>
      </w:r>
    </w:p>
    <w:p>
      <w:pPr>
        <w:spacing w:after="0" w:line="12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On August 3, 2021, we completed our initial public offering (IPO) and issued an aggregate of 13,800,000 shares of our common stock (inclusive of 1,800,000 shares pursuant to the underwriters’ overallotment option) at a price of $15.00 per share. We have used all proceeds from our IPO.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Issuer Purchases of Equity Securities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6. Reserved.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96</w:t>
      </w:r>
    </w:p>
    <w:p>
      <w:pPr>
        <w:sectPr>
          <w:pgSz w:w="12240" w:h="15840" w:orient="portrait"/>
          <w:cols w:equalWidth="0" w:num="1">
            <w:col w:w="9360"/>
          </w:cols>
          <w:pgMar w:left="1440" w:top="1416" w:right="1440" w:bottom="175"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454546"/>
        </w:rPr>
        <w:t>Item 7. Management’s Discussion and Analysis of Financial Condition and Results of Operations.</w:t>
      </w:r>
    </w:p>
    <w:p>
      <w:pPr>
        <w:spacing w:after="0" w:line="12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We are a clinical-stage biotechnology company focused on discovering, developing and delivering potentially curative therapies that address the underlying drivers of heart disease. Heart disease remains a leading cause of death in the world. We believe the emerging insights into the genetic causes of cardiovascular conditions and increased recognition for precision medicine approaches has created an opportunity to change the treatment paradigm for heart disease, and in doing so improve and extend the lives of patients.</w:t>
      </w:r>
    </w:p>
    <w:p>
      <w:pPr>
        <w:spacing w:after="0" w:line="7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Early on in our company history, we invested in differentiated capabilities to enable modality-agnostic target identification and validation, anchored in human genetics and the use of human disease models. To support our initial focus on gene therapy candidates, we also internalized expertise in capsid engineering, novel promoter constructs and manufacturing anchored on the use of AAVs as the method of delivery to the heart. That proprietary expertise has directly informed the discovery, design, optimization and production of our pipeline.</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We are primarily focused on advancing of our clinical-stage gene therapy candidates, TN-201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-associated HCM, and TN-401 for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Each candidate is currently in Phase 1b/2 trials to establish the safety profile of two different doses in adults with disease due to pathogenic/likely pathogenic mutations. We anticipate that data generated to date and over the course of 2026 will support our pursuit of regulatory alignment on late-stage development for our gene therapy product candidates. A third internally discovered clinical-stage candidate, TN-301, is a highly specific small molecule inhibitor of HDAC6 with potentially broad utility in HFpEF and other cardiac, metabolic, muscular and pulmonary diseases, including but not limited to genetic DCM, DMD and PAH.</w:t>
      </w:r>
    </w:p>
    <w:p>
      <w:pPr>
        <w:spacing w:after="0" w:line="82"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454546"/>
        </w:rPr>
        <w:t>For programs arising out of our modality agnostic drug discovery platform that address relatively rare conditions our strategy is to develop, manufacture, and commercialize at least some of these programs on our own, although we may selectively consider partnerships to access technology, accelerate our progress, or improve our global reach to patients. For example, in March 2026, we entered into a multi-target research collaboration with Alnylam, to identify and validate novel gene targets for the potential treatment of cardiovascular disease. Importantly, this agreement takes advantage of our modality agnostic discovery know-how and provides reimbursement for research efforts. Where our discovery efforts lead to product candidates intended for relatively prevalent indications our strategy is to out-license or partner such programs.</w:t>
      </w:r>
    </w:p>
    <w:p>
      <w:pPr>
        <w:spacing w:after="0" w:line="82"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TN-201 is our investigational gene therapy for individuals with HCM due to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mutations. These mutations result in a deficiency of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w:t>
      </w:r>
    </w:p>
    <w:p>
      <w:pPr>
        <w:spacing w:after="0" w:line="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454546"/>
        </w:rPr>
        <w:t xml:space="preserve">201 utilizes a recombinant AAV9 capsid and is designed to deliver a working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 xml:space="preserve"> gene to specific cells of the heart in order to produce MyBP-C and thereby potentially slow or even reverse the course of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 following a single infusion.</w:t>
      </w:r>
    </w:p>
    <w:p>
      <w:pPr>
        <w:spacing w:after="0" w:line="81"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454546"/>
        </w:rPr>
        <w:t>MyPEAK</w:t>
      </w:r>
      <w:r>
        <w:rPr>
          <w:rFonts w:ascii="Times New Roman" w:cs="Times New Roman" w:eastAsia="Times New Roman" w:hAnsi="Times New Roman"/>
          <w:sz w:val="26"/>
          <w:szCs w:val="26"/>
          <w:color w:val="454546"/>
          <w:vertAlign w:val="superscript"/>
        </w:rPr>
        <w:t>TM</w:t>
      </w:r>
      <w:r>
        <w:rPr>
          <w:rFonts w:ascii="Times New Roman" w:cs="Times New Roman" w:eastAsia="Times New Roman" w:hAnsi="Times New Roman"/>
          <w:sz w:val="20"/>
          <w:szCs w:val="20"/>
          <w:color w:val="454546"/>
        </w:rPr>
        <w:t>-1 is our Phase 1b/2 multi-center, open-label clinical trial, designed to assess the safety, tolerability and efficacy of a one-time intravenous infusion of TN-201. Enrollment and dosing in both the 3E13 vg/kg dose (Cohort 1) and 6E13 vg/kg dose (Cohort 2) cohorts are complete. A per protocol review by the DSMB of all available data from the first six patients dosed determined that TN-201 had an acceptable safety profile to proceed with dosing expansion cohorts at either dose level. We are enrolling additional patients in MyPEAK-1 to further characterize dose response and inform dose selection for late-stage clinical trials.</w:t>
      </w:r>
    </w:p>
    <w:p>
      <w:pPr>
        <w:spacing w:after="0" w:line="87" w:lineRule="exact"/>
        <w:rPr>
          <w:sz w:val="20"/>
          <w:szCs w:val="20"/>
          <w:color w:val="auto"/>
        </w:rPr>
      </w:pPr>
    </w:p>
    <w:p>
      <w:pPr>
        <w:ind w:right="200" w:firstLine="490"/>
        <w:spacing w:after="0" w:line="305" w:lineRule="auto"/>
        <w:rPr>
          <w:sz w:val="20"/>
          <w:szCs w:val="20"/>
          <w:color w:val="auto"/>
        </w:rPr>
      </w:pPr>
      <w:r>
        <w:rPr>
          <w:rFonts w:ascii="Times New Roman" w:cs="Times New Roman" w:eastAsia="Times New Roman" w:hAnsi="Times New Roman"/>
          <w:sz w:val="19"/>
          <w:szCs w:val="19"/>
          <w:color w:val="454546"/>
        </w:rPr>
        <w:t xml:space="preserve">In November 2025, we presented interim data from MyPEAK-1 at the AHA's Scientific Sessions 2025, with simultaneous publication in </w:t>
      </w:r>
      <w:r>
        <w:rPr>
          <w:rFonts w:ascii="Times New Roman" w:cs="Times New Roman" w:eastAsia="Times New Roman" w:hAnsi="Times New Roman"/>
          <w:sz w:val="19"/>
          <w:szCs w:val="19"/>
          <w:i w:val="1"/>
          <w:iCs w:val="1"/>
          <w:color w:val="454546"/>
        </w:rPr>
        <w:t>Cardiovascular Research</w:t>
      </w:r>
      <w:r>
        <w:rPr>
          <w:rFonts w:ascii="Times New Roman" w:cs="Times New Roman" w:eastAsia="Times New Roman" w:hAnsi="Times New Roman"/>
          <w:sz w:val="19"/>
          <w:szCs w:val="19"/>
          <w:color w:val="454546"/>
        </w:rPr>
        <w:t>. Interim data presented included safety, biopsy and efficacy</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97</w:t>
      </w:r>
    </w:p>
    <w:p>
      <w:pPr>
        <w:sectPr>
          <w:pgSz w:w="12240" w:h="15840" w:orient="portrait"/>
          <w:cols w:equalWidth="0" w:num="1">
            <w:col w:w="9360"/>
          </w:cols>
          <w:pgMar w:left="1440" w:top="1416" w:right="1440" w:bottom="175" w:gutter="0" w:footer="0" w:header="0"/>
          <w:type w:val="continuous"/>
        </w:sectPr>
      </w:pPr>
    </w:p>
    <w:bookmarkStart w:id="99" w:name="page100"/>
    <w:bookmarkEnd w:id="99"/>
    <w:p>
      <w:pPr>
        <w:spacing w:after="0" w:line="244" w:lineRule="auto"/>
        <w:rPr>
          <w:sz w:val="20"/>
          <w:szCs w:val="20"/>
          <w:color w:val="auto"/>
        </w:rPr>
      </w:pPr>
      <w:r>
        <w:rPr>
          <w:rFonts w:ascii="Times New Roman" w:cs="Times New Roman" w:eastAsia="Times New Roman" w:hAnsi="Times New Roman"/>
          <w:sz w:val="20"/>
          <w:szCs w:val="20"/>
          <w:color w:val="454546"/>
        </w:rPr>
        <w:t>results for the three patients enrolled in Cohort 1 with follow-up ranging from Week 52-78, and safety and available assessments for the patients in Cohort 2 who have post-dose assessments 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86" w:lineRule="exact"/>
        <w:rPr>
          <w:sz w:val="20"/>
          <w:szCs w:val="20"/>
          <w:color w:val="auto"/>
        </w:rPr>
      </w:pPr>
    </w:p>
    <w:p>
      <w:pPr>
        <w:ind w:right="360" w:firstLine="490"/>
        <w:spacing w:after="0" w:line="247" w:lineRule="auto"/>
        <w:rPr>
          <w:sz w:val="20"/>
          <w:szCs w:val="20"/>
          <w:color w:val="auto"/>
        </w:rPr>
      </w:pPr>
      <w:r>
        <w:rPr>
          <w:rFonts w:ascii="Times New Roman" w:cs="Times New Roman" w:eastAsia="Times New Roman" w:hAnsi="Times New Roman"/>
          <w:sz w:val="20"/>
          <w:szCs w:val="20"/>
          <w:color w:val="454546"/>
        </w:rPr>
        <w:t>DNA and RNA analyses of cardiac biopsy samples from all three patients in Cohort 1 showed evidence of sustained presence of TN-201 DNA in the heart and increasing mRNA expression over time. The first patient in Cohort 2 with serial biopsy data (Patient 6) had a greater than 2-fold increase in cardiac transduction and RNA expression at Week 12 relative to the average for these measures observed across Cohort 1 patients. MyBP-</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454546"/>
        </w:rPr>
        <w:t>C protein levels across Cohort 1 increased over time by an average of 4% from the first biopsy taken to Week 52. The first evaluable patient in Cohort 2 (Patient 6) demonstrated a clear dose response, and early MyBP-C expression increased by 14% after only 12 weeks post-dose.</w:t>
      </w:r>
    </w:p>
    <w:p>
      <w:pPr>
        <w:spacing w:after="0" w:line="81"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 xml:space="preserve">All patients with greater than 26 weeks of follow-up demonstrated improvement in at least one parameter of disease, across biomarkers, hypertrophy and heart failure symptoms. Cardiac troponin I, a predictive risk factor of adverse cardiac outcomes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All three patients in Cohort 1 showed evidence of significant improvement in one or more measures of hypertrophy at Week 52, with notable reductions in LVPWT of between 21% and 39%. Greater LVPWT is an independent risk factor for reduced long-term survival after septal myectomy. Two out of three Cohort 1 patients saw reductions from baseline in LVMI of between 12% and 22% at Week 52. In the first Cohort 2 patient for whom Week 26 data were available (Patient 4), cardiac troponin I remained within the normal range and NT-proBNP remained stable,. LVPWT and LVMI also remained stable at Week 26. NYHA classification, a measure of the impact of heart failure symptoms on activities of daily living, improved in all patients by at least one class by Week 26, and all Cohort 1 patients were NYHA Class I (asymptomatic) as of the data cutoff date. Longer-term follow-up for all patients is required to further inform our understanding of TN-201’s potential as a treatment for </w:t>
      </w:r>
      <w:r>
        <w:rPr>
          <w:rFonts w:ascii="Times New Roman" w:cs="Times New Roman" w:eastAsia="Times New Roman" w:hAnsi="Times New Roman"/>
          <w:sz w:val="20"/>
          <w:szCs w:val="20"/>
          <w:i w:val="1"/>
          <w:iCs w:val="1"/>
          <w:color w:val="454546"/>
        </w:rPr>
        <w:t>MYBPC3</w:t>
      </w:r>
      <w:r>
        <w:rPr>
          <w:rFonts w:ascii="Times New Roman" w:cs="Times New Roman" w:eastAsia="Times New Roman" w:hAnsi="Times New Roman"/>
          <w:sz w:val="20"/>
          <w:szCs w:val="20"/>
          <w:color w:val="454546"/>
        </w:rPr>
        <w:t>-associated HCM.</w:t>
      </w:r>
    </w:p>
    <w:p>
      <w:pPr>
        <w:spacing w:after="0" w:line="93"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We expect to present longer-term Cohort 1 and interim Cohort 2 data in the first half of 2026. In the second half of 2026, one-year Cohort 2 data and two-year Cohort 1 data from MyPEAK-1 are anticipated. We also intend to pursue alignment with regulatory authorities on pivotal trial plans for TN-201.</w:t>
      </w:r>
    </w:p>
    <w:p>
      <w:pPr>
        <w:spacing w:after="0" w:line="6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Despite advances in the treatment of the obstructive HCM in recent years with the approval of cardiac myosin inhibitors, there are no approved treatments for those with the non -obstructive form of disease or those diagnosed before the age of 18. Recognizing the urgent medical need among pediatric patients, we initiated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MyClimb completed enrollment of more than 200 individuals, and is believed to be the largest study of pediatric individuals with MYBPC3-associated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spacing w:after="0" w:line="86"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The FDA has granted TN-201 Fast Track, Orphan Drug and Rare Pediatric Drug Designations. TN-201 has also received orphan medicinal product designation from the EC.</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TN-401 is our AAV9-based gene therapy for the treatment of ARVC due to disease-causing variants in</w:t>
      </w:r>
    </w:p>
    <w:p>
      <w:pPr>
        <w:spacing w:after="0" w:line="2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454546"/>
        </w:rPr>
        <w:t xml:space="preserve">the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ARVC, also known as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are the most common genetic cause of ARVC and result in insufficient expression of a protein needed for proper functioning of the desmosomal complex that maintains physical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98</w:t>
      </w:r>
    </w:p>
    <w:p>
      <w:pPr>
        <w:sectPr>
          <w:pgSz w:w="12240" w:h="15840" w:orient="portrait"/>
          <w:cols w:equalWidth="0" w:num="1">
            <w:col w:w="9360"/>
          </w:cols>
          <w:pgMar w:left="1440" w:top="1420" w:right="1440" w:bottom="175" w:gutter="0" w:footer="0" w:header="0"/>
          <w:type w:val="continuous"/>
        </w:sectPr>
      </w:pPr>
    </w:p>
    <w:bookmarkStart w:id="100" w:name="page101"/>
    <w:bookmarkEnd w:id="100"/>
    <w:p>
      <w:pPr>
        <w:ind w:right="80"/>
        <w:spacing w:after="0" w:line="258" w:lineRule="auto"/>
        <w:rPr>
          <w:sz w:val="20"/>
          <w:szCs w:val="20"/>
          <w:color w:val="auto"/>
        </w:rPr>
      </w:pPr>
      <w:r>
        <w:rPr>
          <w:rFonts w:ascii="Times New Roman" w:cs="Times New Roman" w:eastAsia="Times New Roman" w:hAnsi="Times New Roman"/>
          <w:sz w:val="20"/>
          <w:szCs w:val="20"/>
          <w:color w:val="454546"/>
        </w:rPr>
        <w:t xml:space="preserve">connections and electrical signaling between heart muscle cells. TN-401 utilizes a recombinant AAV9 capsid and is designed to deliver a working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gene to specific cells of the heart in order to produce plakophilin protein and thereby potentially slow or even reverse the course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following a single infusion.</w:t>
      </w:r>
    </w:p>
    <w:p>
      <w:pPr>
        <w:spacing w:after="0" w:line="68" w:lineRule="exact"/>
        <w:rPr>
          <w:sz w:val="20"/>
          <w:szCs w:val="20"/>
          <w:color w:val="auto"/>
        </w:rPr>
      </w:pPr>
    </w:p>
    <w:p>
      <w:pPr>
        <w:ind w:right="140" w:firstLine="490"/>
        <w:spacing w:after="0" w:line="237" w:lineRule="auto"/>
        <w:rPr>
          <w:sz w:val="20"/>
          <w:szCs w:val="20"/>
          <w:color w:val="auto"/>
        </w:rPr>
      </w:pPr>
      <w:r>
        <w:rPr>
          <w:rFonts w:ascii="Times New Roman" w:cs="Times New Roman" w:eastAsia="Times New Roman" w:hAnsi="Times New Roman"/>
          <w:sz w:val="19"/>
          <w:szCs w:val="19"/>
          <w:color w:val="454546"/>
        </w:rPr>
        <w:t>RIDGE</w:t>
      </w:r>
      <w:r>
        <w:rPr>
          <w:rFonts w:ascii="Times New Roman" w:cs="Times New Roman" w:eastAsia="Times New Roman" w:hAnsi="Times New Roman"/>
          <w:sz w:val="25"/>
          <w:szCs w:val="25"/>
          <w:color w:val="454546"/>
          <w:vertAlign w:val="superscript"/>
        </w:rPr>
        <w:t>TM</w:t>
      </w:r>
      <w:r>
        <w:rPr>
          <w:rFonts w:ascii="Times New Roman" w:cs="Times New Roman" w:eastAsia="Times New Roman" w:hAnsi="Times New Roman"/>
          <w:sz w:val="19"/>
          <w:szCs w:val="19"/>
          <w:color w:val="454546"/>
        </w:rPr>
        <w:t>-1 is our Phase 1b/2 multi-center, open-label clinical trial, designed to assess the safety, tolerability and efficacy of a one-time intravenous infusion of TN-401. Enrollment and dosing in both the 3E13 vg/kg dose (Cohort 1) and 6E13 vg/kg dose (Cohort 2) cohorts are complete. In January 2026, the DSMB for RIDGE-</w:t>
      </w:r>
    </w:p>
    <w:p>
      <w:pPr>
        <w:spacing w:after="0" w:line="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454546"/>
        </w:rPr>
        <w:t>1 reviewed all available data from Cohort 1 and Cohort 2, determined that TN-401 had an acceptable safety profile and endorsed proceeding into expansion cohorts at either dose level, per protocol. We are enrolling additional patients in RIDGE-1 to inform dose selection for late-stage clinical trials.</w:t>
      </w:r>
    </w:p>
    <w:p>
      <w:pPr>
        <w:spacing w:after="0" w:line="81"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In December 2025, we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Additionally, no Cohort 1 patients had experienced an ICD shock post-treatment and all had tapered off prophylactic immunosuppressive medicines.</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Serial biopsies taken at baseline and Week 8 post dose for Patients 1 and 2 provided consistent evidence of TN-401 transduction and expression. At Week 8, TN-401 robust mRNA expression was observed across all three patients. Post-treatment protein levels of PKP2 increased significantly in Patients 1 and 2 by a mean of 10% from baseline to Week 8 as measured by liquid chromatography–mass spectrometry normalized to myosin heavy chain, a motor protein in the sarcomere found exclusively in cardiomyocytes. Change in PKP2 protein levels for Patient 3 appeared slightly lower than baseline despite having the highest levels of TN-401 mRNA expression across Cohort</w:t>
      </w:r>
    </w:p>
    <w:p>
      <w:pPr>
        <w:spacing w:after="0" w:line="5" w:lineRule="exact"/>
        <w:rPr>
          <w:sz w:val="20"/>
          <w:szCs w:val="20"/>
          <w:color w:val="auto"/>
        </w:rPr>
      </w:pPr>
    </w:p>
    <w:p>
      <w:pPr>
        <w:ind w:right="140"/>
        <w:spacing w:after="0" w:line="244" w:lineRule="auto"/>
        <w:tabs>
          <w:tab w:leader="none" w:pos="200" w:val="left"/>
        </w:tabs>
        <w:numPr>
          <w:ilvl w:val="0"/>
          <w:numId w:val="4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This confounding result for PKP2 protein level falls within the standard deviation of these methods and may be due to the inherent variability in sampling biopsies. A second post-dose biopsy will be collected and analyzed from Week 52 per protocol for all patients.</w:t>
      </w:r>
    </w:p>
    <w:p>
      <w:pPr>
        <w:spacing w:after="0" w:line="81"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454546"/>
        </w:rPr>
        <w:t>All three patients in Cohort 1 had severe electrical instability with a history of VAs and had undergone a catheter ablation procedure, an elective procedure to reduce ventricular tachycardia recurrence. At baseline, each Cohort 1 patient met the enrollment criteria of greater than 500 premature ventricular contractions per 24 hours as measured over a seven-day monitoring period prior to dosing. Two of three patients experienced significant and clinically meaningful improvements in electrical instability, as measured by seven-day ambulatory monitoring of PVCs following dosing. Patient 1 experienced a decrease in PVCs by 46% as of their most recent (Week 40) visit, while Patient 2 experienced a decrease in PVCs of 89% as of their most recent (Week 32) visit. Non-</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454546"/>
        </w:rPr>
        <w:t>sustained ventricular tachycardia (NSVT) burden was eliminated or stable six months after treatment with TN-401. Patient 1 had a low NSVT count at baseline, which remained low at their most recent visit (Week 40). Patient 2 also had a substantial NSVT burden of 78 counts per 24-hour period at baseline that dropped to zero and remained stable by Week 32. Meaningful changes in PVCs or NSVTs were not expected nor observed for Patient 3 as of the data cut off, which was less than six months following treatment with TN-401. Other potential measures of clinical response including QRS duration, T wave inversions, heart function and NYHA class were in the normal range or remained stable for all three Cohort 1 patients during the post-dose follow-up period. We expect to present one-year Cohort</w:t>
      </w:r>
    </w:p>
    <w:p>
      <w:pPr>
        <w:spacing w:after="0" w:line="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454546"/>
        </w:rPr>
        <w:t>1 data and initial Cohort 2 data in the first half of 2026, with interim Cohort 2 results anticipated in the second half of the year. We also intend to pursue alignment with regulatory authorities on pivotal trial plans for TN-401.</w:t>
      </w:r>
    </w:p>
    <w:p>
      <w:pPr>
        <w:spacing w:after="0" w:line="7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In February 2025, we were awarded a Clinical Grant (Clin2) of $8.0 million from CIRM, a state of California Agency that funds regenerative medicine, stem cell, and gene therapy research. Proceeds from the grant will help fund clinical trial costs for our ongoing Phase 1b/2 RIDGE-1 clinical trial of TN-401 gene therapy. RIDGE-1 is being conducted at multiple clinical trial sites with ARVC expertise at leading cardiology centers in the U.S. and United Kingdom.</w:t>
      </w:r>
    </w:p>
    <w:p>
      <w:pPr>
        <w:spacing w:after="0" w:line="77"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454546"/>
        </w:rPr>
        <w:t xml:space="preserve">To support our development efforts for TN-401, we have initiated RIDGE a global noninterventional study to collect treatment history and seroprevalence to AAV9 antibodies data among ARVC patients who carry pathogenic or likely pathogenic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 gene mutations. Interim data from RIDGE, believed to be the largest natural history study of adults with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 xml:space="preserve">-associated ARVC, was presented at HRS’s annual meeting in April 2025. Adults with </w:t>
      </w:r>
      <w:r>
        <w:rPr>
          <w:rFonts w:ascii="Times New Roman" w:cs="Times New Roman" w:eastAsia="Times New Roman" w:hAnsi="Times New Roman"/>
          <w:sz w:val="19"/>
          <w:szCs w:val="19"/>
          <w:i w:val="1"/>
          <w:iCs w:val="1"/>
          <w:color w:val="454546"/>
        </w:rPr>
        <w:t>PKP2</w:t>
      </w:r>
      <w:r>
        <w:rPr>
          <w:rFonts w:ascii="Times New Roman" w:cs="Times New Roman" w:eastAsia="Times New Roman" w:hAnsi="Times New Roman"/>
          <w:sz w:val="19"/>
          <w:szCs w:val="19"/>
          <w:color w:val="454546"/>
        </w:rPr>
        <w:t>-associated ARVC experience a high burden of arrhythmias despite treatments with anti-arrhythmic medications, beta blockers and the anti-arrhythmic flecainide, as well as surgical interventions such as ablation and ICD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99</w:t>
      </w:r>
    </w:p>
    <w:p>
      <w:pPr>
        <w:sectPr>
          <w:pgSz w:w="12240" w:h="15840" w:orient="portrait"/>
          <w:cols w:equalWidth="0" w:num="1">
            <w:col w:w="9360"/>
          </w:cols>
          <w:pgMar w:left="1440" w:top="1420" w:right="1440" w:bottom="175" w:gutter="0" w:footer="0" w:header="0"/>
          <w:type w:val="continuous"/>
        </w:sectPr>
      </w:pPr>
    </w:p>
    <w:bookmarkStart w:id="101" w:name="page102"/>
    <w:bookmarkEnd w:id="101"/>
    <w:p>
      <w:pPr>
        <w:jc w:val="both"/>
        <w:ind w:right="260"/>
        <w:spacing w:after="0" w:line="258" w:lineRule="auto"/>
        <w:rPr>
          <w:sz w:val="20"/>
          <w:szCs w:val="20"/>
          <w:color w:val="auto"/>
        </w:rPr>
      </w:pPr>
      <w:r>
        <w:rPr>
          <w:rFonts w:ascii="Times New Roman" w:cs="Times New Roman" w:eastAsia="Times New Roman" w:hAnsi="Times New Roman"/>
          <w:sz w:val="20"/>
          <w:szCs w:val="20"/>
          <w:color w:val="454546"/>
        </w:rPr>
        <w:t xml:space="preserve">placement. Further, current treatments appeared to do little to halt or prevent progressive structural changes to the heart that occur as a result of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 xml:space="preserve"> mutations. A large majority of adults with </w:t>
      </w:r>
      <w:r>
        <w:rPr>
          <w:rFonts w:ascii="Times New Roman" w:cs="Times New Roman" w:eastAsia="Times New Roman" w:hAnsi="Times New Roman"/>
          <w:sz w:val="20"/>
          <w:szCs w:val="20"/>
          <w:i w:val="1"/>
          <w:iCs w:val="1"/>
          <w:color w:val="454546"/>
        </w:rPr>
        <w:t>PKP2</w:t>
      </w:r>
      <w:r>
        <w:rPr>
          <w:rFonts w:ascii="Times New Roman" w:cs="Times New Roman" w:eastAsia="Times New Roman" w:hAnsi="Times New Roman"/>
          <w:sz w:val="20"/>
          <w:szCs w:val="20"/>
          <w:color w:val="454546"/>
        </w:rPr>
        <w:t>-associated ARVC would be eligible to participate in RIDGE-1 based on low levels of pre-existing antibodies to AAV9.</w:t>
      </w:r>
    </w:p>
    <w:p>
      <w:pPr>
        <w:spacing w:after="0" w:line="68" w:lineRule="exact"/>
        <w:rPr>
          <w:sz w:val="20"/>
          <w:szCs w:val="20"/>
          <w:color w:val="auto"/>
        </w:rPr>
      </w:pPr>
    </w:p>
    <w:p>
      <w:pPr>
        <w:jc w:val="both"/>
        <w:ind w:right="240" w:firstLine="490"/>
        <w:spacing w:after="0" w:line="277" w:lineRule="auto"/>
        <w:rPr>
          <w:sz w:val="20"/>
          <w:szCs w:val="20"/>
          <w:color w:val="auto"/>
        </w:rPr>
      </w:pPr>
      <w:r>
        <w:rPr>
          <w:rFonts w:ascii="Times New Roman" w:cs="Times New Roman" w:eastAsia="Times New Roman" w:hAnsi="Times New Roman"/>
          <w:sz w:val="20"/>
          <w:szCs w:val="20"/>
          <w:color w:val="454546"/>
        </w:rPr>
        <w:t>TN-401 has received Orphan Drug and Fast Track designation from the FDA and orphan medicinal product designation from the EC.</w:t>
      </w:r>
    </w:p>
    <w:p>
      <w:pPr>
        <w:spacing w:after="0" w:line="49"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454546"/>
        </w:rPr>
        <w:t xml:space="preserve">We are also advancing TN-301, a highly specific HDAC6 inhibitor that has potential utility in HFpEF and other cardiac, metabolic and muscular diseases. TN-301 was initially discovered and validated as having cardioprotective qualities in preclinical studies of a rapidly worsening mouse model of </w:t>
      </w:r>
      <w:r>
        <w:rPr>
          <w:rFonts w:ascii="Times New Roman" w:cs="Times New Roman" w:eastAsia="Times New Roman" w:hAnsi="Times New Roman"/>
          <w:sz w:val="19"/>
          <w:szCs w:val="19"/>
          <w:i w:val="1"/>
          <w:iCs w:val="1"/>
          <w:color w:val="454546"/>
        </w:rPr>
        <w:t>BAG3</w:t>
      </w:r>
      <w:r>
        <w:rPr>
          <w:rFonts w:ascii="Times New Roman" w:cs="Times New Roman" w:eastAsia="Times New Roman" w:hAnsi="Times New Roman"/>
          <w:sz w:val="19"/>
          <w:szCs w:val="19"/>
          <w:color w:val="454546"/>
        </w:rPr>
        <w:t xml:space="preserve"> mutant DCM. HDAC6 is a cytoplasmic enzyme known to regulate diverse cellular processes. Based on TN-301’s multi-modal mechanism of action, that includes reductions in inflammation, oxidative stress, fibrosis, and metabolic dysregulation, as well as improvements in autophagy, protein quality control, mitochondrial metabolism, and lipid metabolism, TN-301 may be well suited to the treatment of HFpEF, as well as other cardiac, metabolic, muscular and pulmonary disorders where there is strong alignment between TN-301’s mechanism and the pathophysiology of disease.</w:t>
      </w:r>
    </w:p>
    <w:p>
      <w:pPr>
        <w:spacing w:after="0" w:line="67"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19"/>
          <w:szCs w:val="19"/>
          <w:color w:val="454546"/>
        </w:rPr>
        <w:t xml:space="preserve">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Extensive </w:t>
      </w:r>
      <w:r>
        <w:rPr>
          <w:rFonts w:ascii="Times New Roman" w:cs="Times New Roman" w:eastAsia="Times New Roman" w:hAnsi="Times New Roman"/>
          <w:sz w:val="19"/>
          <w:szCs w:val="19"/>
          <w:i w:val="1"/>
          <w:iCs w:val="1"/>
          <w:color w:val="454546"/>
        </w:rPr>
        <w:t>in vitro</w:t>
      </w:r>
      <w:r>
        <w:rPr>
          <w:rFonts w:ascii="Times New Roman" w:cs="Times New Roman" w:eastAsia="Times New Roman" w:hAnsi="Times New Roman"/>
          <w:sz w:val="19"/>
          <w:szCs w:val="19"/>
          <w:color w:val="454546"/>
        </w:rPr>
        <w:t xml:space="preserve"> and </w:t>
      </w:r>
      <w:r>
        <w:rPr>
          <w:rFonts w:ascii="Times New Roman" w:cs="Times New Roman" w:eastAsia="Times New Roman" w:hAnsi="Times New Roman"/>
          <w:sz w:val="19"/>
          <w:szCs w:val="19"/>
          <w:i w:val="1"/>
          <w:iCs w:val="1"/>
          <w:color w:val="454546"/>
        </w:rPr>
        <w:t>in vivo</w:t>
      </w:r>
      <w:r>
        <w:rPr>
          <w:rFonts w:ascii="Times New Roman" w:cs="Times New Roman" w:eastAsia="Times New Roman" w:hAnsi="Times New Roman"/>
          <w:sz w:val="19"/>
          <w:szCs w:val="19"/>
          <w:color w:val="454546"/>
        </w:rPr>
        <w:t xml:space="preserve"> studies have also shown that TN-</w:t>
      </w:r>
    </w:p>
    <w:p>
      <w:pPr>
        <w:spacing w:after="0" w:line="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454546"/>
        </w:rPr>
        <w:t>301 addresses diverse pathological processes with direct and systemic benefits in models of HFpEF. In comparative studies, selective HDAC6 inhibition as a single agent has been shown to have similar efficacy to empagliflozin, an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in which inflammation, fibrosis and metabolic dysregulation may be implicated.</w:t>
      </w:r>
    </w:p>
    <w:p>
      <w:pPr>
        <w:spacing w:after="0" w:line="85"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454546"/>
        </w:rPr>
        <w:t xml:space="preserve">Based on our observations of TN-301’s mechanism and evidence of efficacy for an approved pan-HDAC agent, we are also exploring the development of TN-301 for DMD, a condition caused by genetic mutations in the </w:t>
      </w:r>
      <w:r>
        <w:rPr>
          <w:rFonts w:ascii="Times New Roman" w:cs="Times New Roman" w:eastAsia="Times New Roman" w:hAnsi="Times New Roman"/>
          <w:sz w:val="20"/>
          <w:szCs w:val="20"/>
          <w:i w:val="1"/>
          <w:iCs w:val="1"/>
          <w:color w:val="454546"/>
        </w:rPr>
        <w:t xml:space="preserve">dystrophin </w:t>
      </w:r>
      <w:r>
        <w:rPr>
          <w:rFonts w:ascii="Times New Roman" w:cs="Times New Roman" w:eastAsia="Times New Roman" w:hAnsi="Times New Roman"/>
          <w:sz w:val="20"/>
          <w:szCs w:val="20"/>
          <w:color w:val="454546"/>
        </w:rPr>
        <w:t>gene, leading to absence of functional dystrophin protein in the heart and skeletal muscle. The muscle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pathologies that underlie muscle wasting in the absence of dystrophin include inflammation, fibrosis, altered regeneration, mitochondrial dysfunction and disrupted autophagic flux – all processes that can be improved by HDAC6 inhibition.</w:t>
      </w:r>
    </w:p>
    <w:p>
      <w:pPr>
        <w:spacing w:after="0" w:line="80"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At the MDA Clinical &amp; Scientific Congress 2026, we presented results from preclinical studies comparing TN-301 with the FDA-approved pan HDAC inhibitor, givinostat, in a well-established mouse model of DMD, and in human iPSC-derived cardiomyocytes from DMD patients. After five weeks of once- daily oral dosing, TN-301 showed a statistically significant increase in forelimb grip strength in </w:t>
      </w:r>
      <w:r>
        <w:rPr>
          <w:rFonts w:ascii="Times New Roman" w:cs="Times New Roman" w:eastAsia="Times New Roman" w:hAnsi="Times New Roman"/>
          <w:sz w:val="20"/>
          <w:szCs w:val="20"/>
          <w:i w:val="1"/>
          <w:iCs w:val="1"/>
          <w:color w:val="454546"/>
        </w:rPr>
        <w:t>mdx</w:t>
      </w:r>
      <w:r>
        <w:rPr>
          <w:rFonts w:ascii="Times New Roman" w:cs="Times New Roman" w:eastAsia="Times New Roman" w:hAnsi="Times New Roman"/>
          <w:sz w:val="20"/>
          <w:szCs w:val="20"/>
          <w:color w:val="454546"/>
        </w:rPr>
        <w:t xml:space="preserve"> mice at both 3 mg/kg and 30 mg/kg compared to vehicle with both doses of TN-301 achieving WT levels of grip strength after five</w:t>
      </w:r>
    </w:p>
    <w:p>
      <w:pPr>
        <w:spacing w:after="0" w:line="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454546"/>
        </w:rPr>
        <w:t>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spacing w:after="0" w:line="81"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454546"/>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 Taken together, these data support advancement of TN-301 as a potential DMD therapy with benefits for both skeletal and cardiac muscle and reduced liabilities compared to pan-HDAC inhibitors.</w:t>
      </w:r>
    </w:p>
    <w:p>
      <w:pPr>
        <w:spacing w:after="0" w:line="8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Consistent with our strategy, we believe that TN-301’s late-stage development and commercialization in large indications such as HFpEF would best be led by a strategic pharmaceutical partner with global resources to explore the full potential of the molecule. In parallel, we plan to explore indications in which it may be possible to demonstrate proof-of-activity in smaller, well-defined patient populations. Based on our preclinical observations, initial indications of interest include DMD, other muscular dystrophies, genetic DCM and PAH.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100</w:t>
      </w:r>
    </w:p>
    <w:p>
      <w:pPr>
        <w:sectPr>
          <w:pgSz w:w="12240" w:h="15840" w:orient="portrait"/>
          <w:cols w:equalWidth="0" w:num="1">
            <w:col w:w="9360"/>
          </w:cols>
          <w:pgMar w:left="1440" w:top="1420" w:right="1440" w:bottom="175" w:gutter="0" w:footer="0" w:header="0"/>
          <w:type w:val="continuous"/>
        </w:sectPr>
      </w:pPr>
    </w:p>
    <w:bookmarkStart w:id="102" w:name="page103"/>
    <w:bookmarkEnd w:id="102"/>
    <w:p>
      <w:pPr>
        <w:ind w:firstLine="490"/>
        <w:spacing w:after="0" w:line="252" w:lineRule="auto"/>
        <w:rPr>
          <w:sz w:val="20"/>
          <w:szCs w:val="20"/>
          <w:color w:val="auto"/>
        </w:rPr>
      </w:pPr>
      <w:r>
        <w:rPr>
          <w:rFonts w:ascii="Times New Roman" w:cs="Times New Roman" w:eastAsia="Times New Roman" w:hAnsi="Times New Roman"/>
          <w:sz w:val="20"/>
          <w:szCs w:val="20"/>
          <w:color w:val="454546"/>
        </w:rPr>
        <w:t>In addition to our clinical-stage candidates, we have multiple early-stage programs using various therapeutic approaches, including gene addition, gene editing, gene silencing, and cellular regeneration to address other forms of rare and/or prevalent forms of heart disease. We do not have any products approve for sale and have not generated any revenue to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Results of Operations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Comparison of the Years Ended December 31, 2025 and 2024</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The following table summarizes our results of operations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454546"/>
                <w:w w:val="99"/>
              </w:rPr>
              <w:t>Year Ended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18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454546"/>
              </w:rPr>
              <w:t>$</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w:t>
            </w:r>
          </w:p>
        </w:tc>
      </w:tr>
      <w:tr>
        <w:trPr>
          <w:trHeight w:val="202"/>
        </w:trPr>
        <w:tc>
          <w:tcPr>
            <w:tcW w:w="40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454546"/>
              </w:rPr>
              <w:t>(in thousands, except percentages)</w:t>
            </w:r>
          </w:p>
        </w:tc>
        <w:tc>
          <w:tcPr>
            <w:tcW w:w="240" w:type="dxa"/>
            <w:vAlign w:val="bottom"/>
            <w:tcBorders>
              <w:top w:val="single" w:sz="8" w:color="454546"/>
            </w:tcBorders>
          </w:tcPr>
          <w:p>
            <w:pPr>
              <w:spacing w:after="0"/>
              <w:rPr>
                <w:sz w:val="17"/>
                <w:szCs w:val="17"/>
                <w:color w:val="auto"/>
              </w:rPr>
            </w:pPr>
          </w:p>
        </w:tc>
        <w:tc>
          <w:tcPr>
            <w:tcW w:w="920" w:type="dxa"/>
            <w:vAlign w:val="bottom"/>
            <w:tcBorders>
              <w:top w:val="single" w:sz="8" w:color="454546"/>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454546"/>
              </w:rPr>
              <w:t>2025</w:t>
            </w:r>
          </w:p>
        </w:tc>
        <w:tc>
          <w:tcPr>
            <w:tcW w:w="140" w:type="dxa"/>
            <w:vAlign w:val="bottom"/>
            <w:tcBorders>
              <w:top w:val="single" w:sz="8" w:color="454546"/>
            </w:tcBorders>
          </w:tcPr>
          <w:p>
            <w:pPr>
              <w:spacing w:after="0"/>
              <w:rPr>
                <w:sz w:val="17"/>
                <w:szCs w:val="17"/>
                <w:color w:val="auto"/>
              </w:rPr>
            </w:pPr>
          </w:p>
        </w:tc>
        <w:tc>
          <w:tcPr>
            <w:tcW w:w="80" w:type="dxa"/>
            <w:vAlign w:val="bottom"/>
            <w:tcBorders>
              <w:top w:val="single" w:sz="8" w:color="454546"/>
            </w:tcBorders>
          </w:tcPr>
          <w:p>
            <w:pPr>
              <w:spacing w:after="0"/>
              <w:rPr>
                <w:sz w:val="17"/>
                <w:szCs w:val="17"/>
                <w:color w:val="auto"/>
              </w:rPr>
            </w:pPr>
          </w:p>
        </w:tc>
        <w:tc>
          <w:tcPr>
            <w:tcW w:w="380" w:type="dxa"/>
            <w:vAlign w:val="bottom"/>
            <w:tcBorders>
              <w:top w:val="single" w:sz="8" w:color="454546"/>
            </w:tcBorders>
          </w:tcPr>
          <w:p>
            <w:pPr>
              <w:spacing w:after="0"/>
              <w:rPr>
                <w:sz w:val="17"/>
                <w:szCs w:val="17"/>
                <w:color w:val="auto"/>
              </w:rPr>
            </w:pPr>
          </w:p>
        </w:tc>
        <w:tc>
          <w:tcPr>
            <w:tcW w:w="800" w:type="dxa"/>
            <w:vAlign w:val="bottom"/>
            <w:tcBorders>
              <w:top w:val="single" w:sz="8" w:color="454546"/>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b w:val="1"/>
                <w:bCs w:val="1"/>
                <w:color w:val="454546"/>
                <w:w w:val="99"/>
              </w:rPr>
              <w:t>2024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454546"/>
              </w:rPr>
              <w:t>Change</w:t>
            </w:r>
          </w:p>
        </w:tc>
        <w:tc>
          <w:tcPr>
            <w:tcW w:w="120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b w:val="1"/>
                <w:bCs w:val="1"/>
                <w:color w:val="454546"/>
              </w:rPr>
              <w:t>Change</w:t>
            </w:r>
          </w:p>
        </w:tc>
      </w:tr>
      <w:tr>
        <w:trPr>
          <w:trHeight w:val="202"/>
        </w:trPr>
        <w:tc>
          <w:tcPr>
            <w:tcW w:w="4000" w:type="dxa"/>
            <w:vAlign w:val="bottom"/>
            <w:tcBorders>
              <w:top w:val="single" w:sz="8" w:color="E5E6E7"/>
            </w:tcBorders>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Operating expenses:</w:t>
            </w:r>
          </w:p>
        </w:tc>
        <w:tc>
          <w:tcPr>
            <w:tcW w:w="240" w:type="dxa"/>
            <w:vAlign w:val="bottom"/>
            <w:tcBorders>
              <w:top w:val="single" w:sz="8" w:color="454546"/>
            </w:tcBorders>
            <w:shd w:val="clear" w:color="auto" w:fill="E5E6E7"/>
          </w:tcPr>
          <w:p>
            <w:pPr>
              <w:spacing w:after="0"/>
              <w:rPr>
                <w:sz w:val="17"/>
                <w:szCs w:val="17"/>
                <w:color w:val="auto"/>
              </w:rPr>
            </w:pPr>
          </w:p>
        </w:tc>
        <w:tc>
          <w:tcPr>
            <w:tcW w:w="920" w:type="dxa"/>
            <w:vAlign w:val="bottom"/>
            <w:tcBorders>
              <w:top w:val="single" w:sz="8" w:color="454546"/>
            </w:tcBorders>
            <w:shd w:val="clear" w:color="auto" w:fill="E5E6E7"/>
          </w:tcPr>
          <w:p>
            <w:pPr>
              <w:spacing w:after="0"/>
              <w:rPr>
                <w:sz w:val="17"/>
                <w:szCs w:val="17"/>
                <w:color w:val="auto"/>
              </w:rPr>
            </w:pPr>
          </w:p>
        </w:tc>
        <w:tc>
          <w:tcPr>
            <w:tcW w:w="140" w:type="dxa"/>
            <w:vAlign w:val="bottom"/>
            <w:tcBorders>
              <w:top w:val="single" w:sz="8" w:color="E5E6E7"/>
            </w:tcBorders>
            <w:shd w:val="clear" w:color="auto" w:fill="E5E6E7"/>
          </w:tcPr>
          <w:p>
            <w:pPr>
              <w:spacing w:after="0"/>
              <w:rPr>
                <w:sz w:val="17"/>
                <w:szCs w:val="17"/>
                <w:color w:val="auto"/>
              </w:rPr>
            </w:pPr>
          </w:p>
        </w:tc>
        <w:tc>
          <w:tcPr>
            <w:tcW w:w="80" w:type="dxa"/>
            <w:vAlign w:val="bottom"/>
            <w:tcBorders>
              <w:top w:val="single" w:sz="8" w:color="E5E6E7"/>
            </w:tcBorders>
            <w:shd w:val="clear" w:color="auto" w:fill="E5E6E7"/>
          </w:tcPr>
          <w:p>
            <w:pPr>
              <w:spacing w:after="0"/>
              <w:rPr>
                <w:sz w:val="17"/>
                <w:szCs w:val="17"/>
                <w:color w:val="auto"/>
              </w:rPr>
            </w:pPr>
          </w:p>
        </w:tc>
        <w:tc>
          <w:tcPr>
            <w:tcW w:w="380" w:type="dxa"/>
            <w:vAlign w:val="bottom"/>
            <w:tcBorders>
              <w:top w:val="single" w:sz="8" w:color="454546"/>
            </w:tcBorders>
            <w:shd w:val="clear" w:color="auto" w:fill="E5E6E7"/>
          </w:tcPr>
          <w:p>
            <w:pPr>
              <w:spacing w:after="0"/>
              <w:rPr>
                <w:sz w:val="17"/>
                <w:szCs w:val="17"/>
                <w:color w:val="auto"/>
              </w:rPr>
            </w:pPr>
          </w:p>
        </w:tc>
        <w:tc>
          <w:tcPr>
            <w:tcW w:w="800" w:type="dxa"/>
            <w:vAlign w:val="bottom"/>
            <w:tcBorders>
              <w:top w:val="single" w:sz="8" w:color="454546"/>
            </w:tcBorders>
            <w:shd w:val="clear" w:color="auto" w:fill="E5E6E7"/>
          </w:tcPr>
          <w:p>
            <w:pPr>
              <w:spacing w:after="0"/>
              <w:rPr>
                <w:sz w:val="17"/>
                <w:szCs w:val="17"/>
                <w:color w:val="auto"/>
              </w:rPr>
            </w:pPr>
          </w:p>
        </w:tc>
        <w:tc>
          <w:tcPr>
            <w:tcW w:w="220" w:type="dxa"/>
            <w:vAlign w:val="bottom"/>
            <w:tcBorders>
              <w:top w:val="single" w:sz="8" w:color="E5E6E7"/>
            </w:tcBorders>
            <w:shd w:val="clear" w:color="auto" w:fill="E5E6E7"/>
          </w:tcPr>
          <w:p>
            <w:pPr>
              <w:spacing w:after="0"/>
              <w:rPr>
                <w:sz w:val="17"/>
                <w:szCs w:val="17"/>
                <w:color w:val="auto"/>
              </w:rPr>
            </w:pPr>
          </w:p>
        </w:tc>
        <w:tc>
          <w:tcPr>
            <w:tcW w:w="180" w:type="dxa"/>
            <w:vAlign w:val="bottom"/>
            <w:tcBorders>
              <w:top w:val="single" w:sz="8" w:color="454546"/>
            </w:tcBorders>
            <w:shd w:val="clear" w:color="auto" w:fill="E5E6E7"/>
          </w:tcPr>
          <w:p>
            <w:pPr>
              <w:spacing w:after="0"/>
              <w:rPr>
                <w:sz w:val="17"/>
                <w:szCs w:val="17"/>
                <w:color w:val="auto"/>
              </w:rPr>
            </w:pPr>
          </w:p>
        </w:tc>
        <w:tc>
          <w:tcPr>
            <w:tcW w:w="980" w:type="dxa"/>
            <w:vAlign w:val="bottom"/>
            <w:tcBorders>
              <w:top w:val="single" w:sz="8" w:color="454546"/>
            </w:tcBorders>
            <w:shd w:val="clear" w:color="auto" w:fill="E5E6E7"/>
          </w:tcPr>
          <w:p>
            <w:pPr>
              <w:spacing w:after="0"/>
              <w:rPr>
                <w:sz w:val="17"/>
                <w:szCs w:val="17"/>
                <w:color w:val="auto"/>
              </w:rPr>
            </w:pPr>
          </w:p>
        </w:tc>
        <w:tc>
          <w:tcPr>
            <w:tcW w:w="220" w:type="dxa"/>
            <w:vAlign w:val="bottom"/>
            <w:tcBorders>
              <w:top w:val="single" w:sz="8" w:color="E5E6E7"/>
            </w:tcBorders>
            <w:shd w:val="clear" w:color="auto" w:fill="E5E6E7"/>
          </w:tcPr>
          <w:p>
            <w:pPr>
              <w:spacing w:after="0"/>
              <w:rPr>
                <w:sz w:val="17"/>
                <w:szCs w:val="17"/>
                <w:color w:val="auto"/>
              </w:rPr>
            </w:pPr>
          </w:p>
        </w:tc>
        <w:tc>
          <w:tcPr>
            <w:tcW w:w="1200" w:type="dxa"/>
            <w:vAlign w:val="bottom"/>
            <w:tcBorders>
              <w:top w:val="single" w:sz="8" w:color="454546"/>
            </w:tcBorders>
            <w:shd w:val="clear" w:color="auto" w:fill="E5E6E7"/>
          </w:tcPr>
          <w:p>
            <w:pPr>
              <w:spacing w:after="0"/>
              <w:rPr>
                <w:sz w:val="17"/>
                <w:szCs w:val="17"/>
                <w:color w:val="auto"/>
              </w:rPr>
            </w:pPr>
          </w:p>
        </w:tc>
      </w:tr>
      <w:tr>
        <w:trPr>
          <w:trHeight w:val="20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454546"/>
              </w:rPr>
              <w:t>Research and development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454546"/>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68,607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454546"/>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86,742</w:t>
            </w:r>
          </w:p>
        </w:tc>
        <w:tc>
          <w:tcPr>
            <w:tcW w:w="2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(18,135)</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7"/>
              </w:rPr>
              <w:t>(21%)</w:t>
            </w:r>
          </w:p>
        </w:tc>
      </w:tr>
      <w:tr>
        <w:trPr>
          <w:trHeight w:val="207"/>
        </w:trPr>
        <w:tc>
          <w:tcPr>
            <w:tcW w:w="400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General and administrative</w:t>
            </w:r>
          </w:p>
        </w:tc>
        <w:tc>
          <w:tcPr>
            <w:tcW w:w="240" w:type="dxa"/>
            <w:vAlign w:val="bottom"/>
            <w:shd w:val="clear" w:color="auto" w:fill="E5E6E7"/>
          </w:tcPr>
          <w:p>
            <w:pPr>
              <w:spacing w:after="0"/>
              <w:rPr>
                <w:sz w:val="17"/>
                <w:szCs w:val="17"/>
                <w:color w:val="auto"/>
              </w:rPr>
            </w:pPr>
          </w:p>
        </w:tc>
        <w:tc>
          <w:tcPr>
            <w:tcW w:w="106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18"/>
                <w:szCs w:val="18"/>
                <w:color w:val="454546"/>
              </w:rPr>
              <w:t>24,724</w:t>
            </w:r>
          </w:p>
        </w:tc>
        <w:tc>
          <w:tcPr>
            <w:tcW w:w="8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102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18"/>
                <w:szCs w:val="18"/>
                <w:color w:val="454546"/>
              </w:rPr>
              <w:t>29,206</w:t>
            </w:r>
          </w:p>
        </w:tc>
        <w:tc>
          <w:tcPr>
            <w:tcW w:w="180" w:type="dxa"/>
            <w:vAlign w:val="bottom"/>
            <w:shd w:val="clear" w:color="auto" w:fill="E5E6E7"/>
          </w:tcPr>
          <w:p>
            <w:pPr>
              <w:spacing w:after="0"/>
              <w:rPr>
                <w:sz w:val="17"/>
                <w:szCs w:val="17"/>
                <w:color w:val="auto"/>
              </w:rPr>
            </w:pPr>
          </w:p>
        </w:tc>
        <w:tc>
          <w:tcPr>
            <w:tcW w:w="120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18"/>
                <w:szCs w:val="18"/>
                <w:color w:val="454546"/>
              </w:rPr>
              <w:t>(4,482)</w:t>
            </w:r>
          </w:p>
        </w:tc>
        <w:tc>
          <w:tcPr>
            <w:tcW w:w="12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54546"/>
                <w:w w:val="97"/>
              </w:rPr>
              <w:t>(15%)</w:t>
            </w:r>
          </w:p>
        </w:tc>
      </w:tr>
      <w:tr>
        <w:trPr>
          <w:trHeight w:val="202"/>
        </w:trPr>
        <w:tc>
          <w:tcPr>
            <w:tcW w:w="4000" w:type="dxa"/>
            <w:vAlign w:val="bottom"/>
            <w:tcBorders>
              <w:bottom w:val="single" w:sz="8" w:color="E5E6E7"/>
            </w:tcBorders>
          </w:tcPr>
          <w:p>
            <w:pPr>
              <w:ind w:left="200"/>
              <w:spacing w:after="0" w:line="202" w:lineRule="exact"/>
              <w:rPr>
                <w:sz w:val="20"/>
                <w:szCs w:val="20"/>
                <w:color w:val="auto"/>
              </w:rPr>
            </w:pPr>
            <w:r>
              <w:rPr>
                <w:rFonts w:ascii="Times New Roman" w:cs="Times New Roman" w:eastAsia="Times New Roman" w:hAnsi="Times New Roman"/>
                <w:sz w:val="18"/>
                <w:szCs w:val="18"/>
                <w:color w:val="454546"/>
              </w:rPr>
              <w:t>Total operating expenses</w:t>
            </w:r>
          </w:p>
        </w:tc>
        <w:tc>
          <w:tcPr>
            <w:tcW w:w="240" w:type="dxa"/>
            <w:vAlign w:val="bottom"/>
            <w:tcBorders>
              <w:top w:val="single" w:sz="8" w:color="454546"/>
              <w:bottom w:val="single" w:sz="8" w:color="454546"/>
            </w:tcBorders>
          </w:tcPr>
          <w:p>
            <w:pPr>
              <w:spacing w:after="0"/>
              <w:rPr>
                <w:sz w:val="17"/>
                <w:szCs w:val="17"/>
                <w:color w:val="auto"/>
              </w:rPr>
            </w:pPr>
          </w:p>
        </w:tc>
        <w:tc>
          <w:tcPr>
            <w:tcW w:w="920" w:type="dxa"/>
            <w:vAlign w:val="bottom"/>
            <w:tcBorders>
              <w:top w:val="single" w:sz="8" w:color="454546"/>
              <w:bottom w:val="single" w:sz="8" w:color="454546"/>
            </w:tcBorders>
          </w:tcPr>
          <w:p>
            <w:pPr>
              <w:jc w:val="right"/>
              <w:spacing w:after="0" w:line="202" w:lineRule="exact"/>
              <w:rPr>
                <w:sz w:val="20"/>
                <w:szCs w:val="20"/>
                <w:color w:val="auto"/>
              </w:rPr>
            </w:pPr>
            <w:r>
              <w:rPr>
                <w:rFonts w:ascii="Times New Roman" w:cs="Times New Roman" w:eastAsia="Times New Roman" w:hAnsi="Times New Roman"/>
                <w:sz w:val="18"/>
                <w:szCs w:val="18"/>
                <w:color w:val="454546"/>
              </w:rPr>
              <w:t>93,331</w:t>
            </w:r>
          </w:p>
        </w:tc>
        <w:tc>
          <w:tcPr>
            <w:tcW w:w="14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380" w:type="dxa"/>
            <w:vAlign w:val="bottom"/>
            <w:tcBorders>
              <w:top w:val="single" w:sz="8" w:color="454546"/>
              <w:bottom w:val="single" w:sz="8" w:color="454546"/>
            </w:tcBorders>
          </w:tcPr>
          <w:p>
            <w:pPr>
              <w:spacing w:after="0"/>
              <w:rPr>
                <w:sz w:val="17"/>
                <w:szCs w:val="17"/>
                <w:color w:val="auto"/>
              </w:rPr>
            </w:pPr>
          </w:p>
        </w:tc>
        <w:tc>
          <w:tcPr>
            <w:tcW w:w="800" w:type="dxa"/>
            <w:vAlign w:val="bottom"/>
            <w:tcBorders>
              <w:top w:val="single" w:sz="8" w:color="454546"/>
              <w:bottom w:val="single" w:sz="8" w:color="454546"/>
            </w:tcBorders>
          </w:tcPr>
          <w:p>
            <w:pPr>
              <w:jc w:val="right"/>
              <w:spacing w:after="0" w:line="202" w:lineRule="exact"/>
              <w:rPr>
                <w:sz w:val="20"/>
                <w:szCs w:val="20"/>
                <w:color w:val="auto"/>
              </w:rPr>
            </w:pPr>
            <w:r>
              <w:rPr>
                <w:rFonts w:ascii="Times New Roman" w:cs="Times New Roman" w:eastAsia="Times New Roman" w:hAnsi="Times New Roman"/>
                <w:sz w:val="18"/>
                <w:szCs w:val="18"/>
                <w:color w:val="454546"/>
              </w:rPr>
              <w:t>115,948</w:t>
            </w:r>
          </w:p>
        </w:tc>
        <w:tc>
          <w:tcPr>
            <w:tcW w:w="220" w:type="dxa"/>
            <w:vAlign w:val="bottom"/>
            <w:tcBorders>
              <w:bottom w:val="single" w:sz="8" w:color="E5E6E7"/>
            </w:tcBorders>
          </w:tcPr>
          <w:p>
            <w:pPr>
              <w:spacing w:after="0"/>
              <w:rPr>
                <w:sz w:val="17"/>
                <w:szCs w:val="17"/>
                <w:color w:val="auto"/>
              </w:rPr>
            </w:pPr>
          </w:p>
        </w:tc>
        <w:tc>
          <w:tcPr>
            <w:tcW w:w="180" w:type="dxa"/>
            <w:vAlign w:val="bottom"/>
            <w:tcBorders>
              <w:top w:val="single" w:sz="8" w:color="454546"/>
              <w:bottom w:val="single" w:sz="8" w:color="454546"/>
            </w:tcBorders>
          </w:tcPr>
          <w:p>
            <w:pPr>
              <w:spacing w:after="0"/>
              <w:rPr>
                <w:sz w:val="17"/>
                <w:szCs w:val="17"/>
                <w:color w:val="auto"/>
              </w:rPr>
            </w:pPr>
          </w:p>
        </w:tc>
        <w:tc>
          <w:tcPr>
            <w:tcW w:w="980" w:type="dxa"/>
            <w:vAlign w:val="bottom"/>
            <w:tcBorders>
              <w:top w:val="single" w:sz="8" w:color="454546"/>
              <w:bottom w:val="single" w:sz="8" w:color="454546"/>
            </w:tcBorders>
          </w:tcPr>
          <w:p>
            <w:pPr>
              <w:jc w:val="right"/>
              <w:spacing w:after="0" w:line="202" w:lineRule="exact"/>
              <w:rPr>
                <w:sz w:val="20"/>
                <w:szCs w:val="20"/>
                <w:color w:val="auto"/>
              </w:rPr>
            </w:pPr>
            <w:r>
              <w:rPr>
                <w:rFonts w:ascii="Times New Roman" w:cs="Times New Roman" w:eastAsia="Times New Roman" w:hAnsi="Times New Roman"/>
                <w:sz w:val="18"/>
                <w:szCs w:val="18"/>
                <w:color w:val="454546"/>
              </w:rPr>
              <w:t>(22,617)</w:t>
            </w:r>
          </w:p>
        </w:tc>
        <w:tc>
          <w:tcPr>
            <w:tcW w:w="220" w:type="dxa"/>
            <w:vAlign w:val="bottom"/>
            <w:tcBorders>
              <w:bottom w:val="single" w:sz="8" w:color="E5E6E7"/>
            </w:tcBorders>
          </w:tcPr>
          <w:p>
            <w:pPr>
              <w:spacing w:after="0"/>
              <w:rPr>
                <w:sz w:val="17"/>
                <w:szCs w:val="17"/>
                <w:color w:val="auto"/>
              </w:rPr>
            </w:pPr>
          </w:p>
        </w:tc>
        <w:tc>
          <w:tcPr>
            <w:tcW w:w="1200" w:type="dxa"/>
            <w:vAlign w:val="bottom"/>
            <w:tcBorders>
              <w:top w:val="single" w:sz="8" w:color="454546"/>
              <w:bottom w:val="single" w:sz="8" w:color="454546"/>
            </w:tcBorders>
          </w:tcPr>
          <w:p>
            <w:pPr>
              <w:jc w:val="center"/>
              <w:spacing w:after="0" w:line="202" w:lineRule="exact"/>
              <w:rPr>
                <w:sz w:val="20"/>
                <w:szCs w:val="20"/>
                <w:color w:val="auto"/>
              </w:rPr>
            </w:pPr>
            <w:r>
              <w:rPr>
                <w:rFonts w:ascii="Times New Roman" w:cs="Times New Roman" w:eastAsia="Times New Roman" w:hAnsi="Times New Roman"/>
                <w:sz w:val="18"/>
                <w:szCs w:val="18"/>
                <w:color w:val="454546"/>
                <w:w w:val="97"/>
              </w:rPr>
              <w:t>(20%)</w:t>
            </w:r>
          </w:p>
        </w:tc>
      </w:tr>
      <w:tr>
        <w:trPr>
          <w:trHeight w:val="202"/>
        </w:trPr>
        <w:tc>
          <w:tcPr>
            <w:tcW w:w="4000" w:type="dxa"/>
            <w:vAlign w:val="bottom"/>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Loss from operations</w:t>
            </w:r>
          </w:p>
        </w:tc>
        <w:tc>
          <w:tcPr>
            <w:tcW w:w="240" w:type="dxa"/>
            <w:vAlign w:val="bottom"/>
            <w:shd w:val="clear" w:color="auto" w:fill="E5E6E7"/>
          </w:tcPr>
          <w:p>
            <w:pPr>
              <w:spacing w:after="0"/>
              <w:rPr>
                <w:sz w:val="17"/>
                <w:szCs w:val="17"/>
                <w:color w:val="auto"/>
              </w:rPr>
            </w:pPr>
          </w:p>
        </w:tc>
        <w:tc>
          <w:tcPr>
            <w:tcW w:w="920" w:type="dxa"/>
            <w:vAlign w:val="bottom"/>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(93,331)</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800" w:type="dxa"/>
            <w:vAlign w:val="bottom"/>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(115,948)</w:t>
            </w:r>
          </w:p>
        </w:tc>
        <w:tc>
          <w:tcPr>
            <w:tcW w:w="220" w:type="dxa"/>
            <w:vAlign w:val="bottom"/>
            <w:shd w:val="clear" w:color="auto" w:fill="E5E6E7"/>
          </w:tcPr>
          <w:p>
            <w:pPr>
              <w:spacing w:after="0"/>
              <w:rPr>
                <w:sz w:val="17"/>
                <w:szCs w:val="17"/>
                <w:color w:val="auto"/>
              </w:rPr>
            </w:pPr>
          </w:p>
        </w:tc>
        <w:tc>
          <w:tcPr>
            <w:tcW w:w="180" w:type="dxa"/>
            <w:vAlign w:val="bottom"/>
            <w:shd w:val="clear" w:color="auto" w:fill="E5E6E7"/>
          </w:tcPr>
          <w:p>
            <w:pPr>
              <w:spacing w:after="0"/>
              <w:rPr>
                <w:sz w:val="17"/>
                <w:szCs w:val="17"/>
                <w:color w:val="auto"/>
              </w:rPr>
            </w:pPr>
          </w:p>
        </w:tc>
        <w:tc>
          <w:tcPr>
            <w:tcW w:w="980" w:type="dxa"/>
            <w:vAlign w:val="bottom"/>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22,617</w:t>
            </w:r>
          </w:p>
        </w:tc>
        <w:tc>
          <w:tcPr>
            <w:tcW w:w="220" w:type="dxa"/>
            <w:vAlign w:val="bottom"/>
            <w:shd w:val="clear" w:color="auto" w:fill="E5E6E7"/>
          </w:tcPr>
          <w:p>
            <w:pPr>
              <w:spacing w:after="0"/>
              <w:rPr>
                <w:sz w:val="17"/>
                <w:szCs w:val="17"/>
                <w:color w:val="auto"/>
              </w:rPr>
            </w:pPr>
          </w:p>
        </w:tc>
        <w:tc>
          <w:tcPr>
            <w:tcW w:w="1200" w:type="dxa"/>
            <w:vAlign w:val="bottom"/>
            <w:shd w:val="clear" w:color="auto" w:fill="E5E6E7"/>
          </w:tcPr>
          <w:p>
            <w:pPr>
              <w:jc w:val="center"/>
              <w:spacing w:after="0" w:line="202" w:lineRule="exact"/>
              <w:rPr>
                <w:sz w:val="20"/>
                <w:szCs w:val="20"/>
                <w:color w:val="auto"/>
              </w:rPr>
            </w:pPr>
            <w:r>
              <w:rPr>
                <w:rFonts w:ascii="Times New Roman" w:cs="Times New Roman" w:eastAsia="Times New Roman" w:hAnsi="Times New Roman"/>
                <w:sz w:val="18"/>
                <w:szCs w:val="18"/>
                <w:color w:val="454546"/>
                <w:w w:val="97"/>
              </w:rPr>
              <w:t>(20%)</w:t>
            </w:r>
          </w:p>
        </w:tc>
      </w:tr>
      <w:tr>
        <w:trPr>
          <w:trHeight w:val="20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454546"/>
              </w:rPr>
              <w:t>Other income, net: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40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Interest income</w:t>
            </w:r>
          </w:p>
        </w:tc>
        <w:tc>
          <w:tcPr>
            <w:tcW w:w="240" w:type="dxa"/>
            <w:vAlign w:val="bottom"/>
            <w:shd w:val="clear" w:color="auto" w:fill="E5E6E7"/>
          </w:tcPr>
          <w:p>
            <w:pPr>
              <w:spacing w:after="0"/>
              <w:rPr>
                <w:sz w:val="17"/>
                <w:szCs w:val="17"/>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2,682</w:t>
            </w: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102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18"/>
                <w:szCs w:val="18"/>
                <w:color w:val="454546"/>
              </w:rPr>
              <w:t>4,737</w:t>
            </w:r>
          </w:p>
        </w:tc>
        <w:tc>
          <w:tcPr>
            <w:tcW w:w="180" w:type="dxa"/>
            <w:vAlign w:val="bottom"/>
            <w:shd w:val="clear" w:color="auto" w:fill="E5E6E7"/>
          </w:tcPr>
          <w:p>
            <w:pPr>
              <w:spacing w:after="0"/>
              <w:rPr>
                <w:sz w:val="17"/>
                <w:szCs w:val="17"/>
                <w:color w:val="auto"/>
              </w:rPr>
            </w:pPr>
          </w:p>
        </w:tc>
        <w:tc>
          <w:tcPr>
            <w:tcW w:w="120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18"/>
                <w:szCs w:val="18"/>
                <w:color w:val="454546"/>
              </w:rPr>
              <w:t>(2,055)</w:t>
            </w:r>
          </w:p>
        </w:tc>
        <w:tc>
          <w:tcPr>
            <w:tcW w:w="12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54546"/>
                <w:w w:val="97"/>
              </w:rPr>
              <w:t>(43%)</w:t>
            </w:r>
          </w:p>
        </w:tc>
      </w:tr>
      <w:tr>
        <w:trPr>
          <w:trHeight w:val="207"/>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Other income, net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54546"/>
              </w:rPr>
              <w:t>52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54546"/>
              </w:rPr>
              <w:t>82</w:t>
            </w: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54546"/>
              </w:rPr>
              <w:t>(30)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7"/>
              </w:rPr>
              <w:t>(37%)</w:t>
            </w:r>
          </w:p>
        </w:tc>
      </w:tr>
      <w:tr>
        <w:trPr>
          <w:trHeight w:val="222"/>
        </w:trPr>
        <w:tc>
          <w:tcPr>
            <w:tcW w:w="4000" w:type="dxa"/>
            <w:vAlign w:val="bottom"/>
            <w:tcBorders>
              <w:top w:val="single" w:sz="8" w:color="E5E6E7"/>
              <w:bottom w:val="single" w:sz="8" w:color="E5E6E7"/>
            </w:tcBorders>
            <w:shd w:val="clear" w:color="auto" w:fill="E5E6E7"/>
          </w:tcPr>
          <w:p>
            <w:pPr>
              <w:ind w:left="200"/>
              <w:spacing w:after="0" w:line="202" w:lineRule="exact"/>
              <w:rPr>
                <w:sz w:val="20"/>
                <w:szCs w:val="20"/>
                <w:color w:val="auto"/>
              </w:rPr>
            </w:pPr>
            <w:r>
              <w:rPr>
                <w:rFonts w:ascii="Times New Roman" w:cs="Times New Roman" w:eastAsia="Times New Roman" w:hAnsi="Times New Roman"/>
                <w:sz w:val="18"/>
                <w:szCs w:val="18"/>
                <w:color w:val="454546"/>
              </w:rPr>
              <w:t>Total other income, net</w:t>
            </w:r>
          </w:p>
        </w:tc>
        <w:tc>
          <w:tcPr>
            <w:tcW w:w="240" w:type="dxa"/>
            <w:vAlign w:val="bottom"/>
            <w:tcBorders>
              <w:top w:val="single" w:sz="8" w:color="454546"/>
              <w:bottom w:val="single" w:sz="8" w:color="454546"/>
            </w:tcBorders>
            <w:shd w:val="clear" w:color="auto" w:fill="E5E6E7"/>
          </w:tcPr>
          <w:p>
            <w:pPr>
              <w:spacing w:after="0"/>
              <w:rPr>
                <w:sz w:val="19"/>
                <w:szCs w:val="19"/>
                <w:color w:val="auto"/>
              </w:rPr>
            </w:pPr>
          </w:p>
        </w:tc>
        <w:tc>
          <w:tcPr>
            <w:tcW w:w="92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2,734</w:t>
            </w:r>
          </w:p>
        </w:tc>
        <w:tc>
          <w:tcPr>
            <w:tcW w:w="140" w:type="dxa"/>
            <w:vAlign w:val="bottom"/>
            <w:tcBorders>
              <w:top w:val="single" w:sz="8" w:color="E5E6E7"/>
              <w:bottom w:val="single" w:sz="8" w:color="E5E6E7"/>
            </w:tcBorders>
            <w:shd w:val="clear" w:color="auto" w:fill="E5E6E7"/>
          </w:tcPr>
          <w:p>
            <w:pPr>
              <w:spacing w:after="0"/>
              <w:rPr>
                <w:sz w:val="19"/>
                <w:szCs w:val="19"/>
                <w:color w:val="auto"/>
              </w:rPr>
            </w:pPr>
          </w:p>
        </w:tc>
        <w:tc>
          <w:tcPr>
            <w:tcW w:w="80" w:type="dxa"/>
            <w:vAlign w:val="bottom"/>
            <w:tcBorders>
              <w:top w:val="single" w:sz="8" w:color="E5E6E7"/>
              <w:bottom w:val="single" w:sz="8" w:color="E5E6E7"/>
            </w:tcBorders>
            <w:shd w:val="clear" w:color="auto" w:fill="E5E6E7"/>
          </w:tcPr>
          <w:p>
            <w:pPr>
              <w:spacing w:after="0"/>
              <w:rPr>
                <w:sz w:val="19"/>
                <w:szCs w:val="19"/>
                <w:color w:val="auto"/>
              </w:rPr>
            </w:pPr>
          </w:p>
        </w:tc>
        <w:tc>
          <w:tcPr>
            <w:tcW w:w="380" w:type="dxa"/>
            <w:vAlign w:val="bottom"/>
            <w:tcBorders>
              <w:top w:val="single" w:sz="8" w:color="454546"/>
              <w:bottom w:val="single" w:sz="8" w:color="454546"/>
            </w:tcBorders>
            <w:shd w:val="clear" w:color="auto" w:fill="E5E6E7"/>
          </w:tcPr>
          <w:p>
            <w:pPr>
              <w:spacing w:after="0"/>
              <w:rPr>
                <w:sz w:val="19"/>
                <w:szCs w:val="19"/>
                <w:color w:val="auto"/>
              </w:rPr>
            </w:pPr>
          </w:p>
        </w:tc>
        <w:tc>
          <w:tcPr>
            <w:tcW w:w="80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4,819</w:t>
            </w:r>
          </w:p>
        </w:tc>
        <w:tc>
          <w:tcPr>
            <w:tcW w:w="220" w:type="dxa"/>
            <w:vAlign w:val="bottom"/>
            <w:tcBorders>
              <w:top w:val="single" w:sz="8" w:color="E5E6E7"/>
              <w:bottom w:val="single" w:sz="8" w:color="E5E6E7"/>
            </w:tcBorders>
            <w:shd w:val="clear" w:color="auto" w:fill="E5E6E7"/>
          </w:tcPr>
          <w:p>
            <w:pPr>
              <w:spacing w:after="0"/>
              <w:rPr>
                <w:sz w:val="19"/>
                <w:szCs w:val="19"/>
                <w:color w:val="auto"/>
              </w:rPr>
            </w:pPr>
          </w:p>
        </w:tc>
        <w:tc>
          <w:tcPr>
            <w:tcW w:w="180" w:type="dxa"/>
            <w:vAlign w:val="bottom"/>
            <w:tcBorders>
              <w:top w:val="single" w:sz="8" w:color="454546"/>
              <w:bottom w:val="single" w:sz="8" w:color="454546"/>
            </w:tcBorders>
            <w:shd w:val="clear" w:color="auto" w:fill="E5E6E7"/>
          </w:tcPr>
          <w:p>
            <w:pPr>
              <w:spacing w:after="0"/>
              <w:rPr>
                <w:sz w:val="19"/>
                <w:szCs w:val="19"/>
                <w:color w:val="auto"/>
              </w:rPr>
            </w:pPr>
          </w:p>
        </w:tc>
        <w:tc>
          <w:tcPr>
            <w:tcW w:w="98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(2,085)</w:t>
            </w:r>
          </w:p>
        </w:tc>
        <w:tc>
          <w:tcPr>
            <w:tcW w:w="220" w:type="dxa"/>
            <w:vAlign w:val="bottom"/>
            <w:tcBorders>
              <w:top w:val="single" w:sz="8" w:color="E5E6E7"/>
              <w:bottom w:val="single" w:sz="8" w:color="E5E6E7"/>
            </w:tcBorders>
            <w:shd w:val="clear" w:color="auto" w:fill="E5E6E7"/>
          </w:tcPr>
          <w:p>
            <w:pPr>
              <w:spacing w:after="0"/>
              <w:rPr>
                <w:sz w:val="19"/>
                <w:szCs w:val="19"/>
                <w:color w:val="auto"/>
              </w:rPr>
            </w:pPr>
          </w:p>
        </w:tc>
        <w:tc>
          <w:tcPr>
            <w:tcW w:w="1200" w:type="dxa"/>
            <w:vAlign w:val="bottom"/>
            <w:tcBorders>
              <w:top w:val="single" w:sz="8" w:color="454546"/>
              <w:bottom w:val="single" w:sz="8" w:color="454546"/>
            </w:tcBorders>
            <w:shd w:val="clear" w:color="auto" w:fill="E5E6E7"/>
          </w:tcPr>
          <w:p>
            <w:pPr>
              <w:jc w:val="center"/>
              <w:spacing w:after="0" w:line="202" w:lineRule="exact"/>
              <w:rPr>
                <w:sz w:val="20"/>
                <w:szCs w:val="20"/>
                <w:color w:val="auto"/>
              </w:rPr>
            </w:pPr>
            <w:r>
              <w:rPr>
                <w:rFonts w:ascii="Times New Roman" w:cs="Times New Roman" w:eastAsia="Times New Roman" w:hAnsi="Times New Roman"/>
                <w:sz w:val="18"/>
                <w:szCs w:val="18"/>
                <w:color w:val="454546"/>
                <w:w w:val="97"/>
              </w:rPr>
              <w:t>(43%)</w:t>
            </w:r>
          </w:p>
        </w:tc>
      </w:tr>
      <w:tr>
        <w:trPr>
          <w:trHeight w:val="182"/>
        </w:trPr>
        <w:tc>
          <w:tcPr>
            <w:tcW w:w="40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454546"/>
              </w:rPr>
              <w:t>Net loss</w:t>
            </w:r>
          </w:p>
        </w:tc>
        <w:tc>
          <w:tcPr>
            <w:tcW w:w="240" w:type="dxa"/>
            <w:vAlign w:val="bottom"/>
            <w:tcBorders>
              <w:bottom w:val="single" w:sz="8" w:color="454546"/>
            </w:tcBorders>
          </w:tcPr>
          <w:p>
            <w:pPr>
              <w:jc w:val="right"/>
              <w:ind w:right="75"/>
              <w:spacing w:after="0" w:line="182" w:lineRule="exact"/>
              <w:rPr>
                <w:sz w:val="20"/>
                <w:szCs w:val="20"/>
                <w:color w:val="auto"/>
              </w:rPr>
            </w:pPr>
            <w:r>
              <w:rPr>
                <w:rFonts w:ascii="Times New Roman" w:cs="Times New Roman" w:eastAsia="Times New Roman" w:hAnsi="Times New Roman"/>
                <w:sz w:val="17"/>
                <w:szCs w:val="17"/>
                <w:color w:val="454546"/>
                <w:w w:val="70"/>
              </w:rPr>
              <w:t>$</w:t>
            </w:r>
          </w:p>
        </w:tc>
        <w:tc>
          <w:tcPr>
            <w:tcW w:w="920" w:type="dxa"/>
            <w:vAlign w:val="bottom"/>
            <w:tcBorders>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(90,597)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454546"/>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454546"/>
                <w:w w:val="88"/>
              </w:rPr>
              <w:t>$</w:t>
            </w:r>
          </w:p>
        </w:tc>
        <w:tc>
          <w:tcPr>
            <w:tcW w:w="800" w:type="dxa"/>
            <w:vAlign w:val="bottom"/>
            <w:tcBorders>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(111,129)</w:t>
            </w:r>
          </w:p>
        </w:tc>
        <w:tc>
          <w:tcPr>
            <w:tcW w:w="220" w:type="dxa"/>
            <w:vAlign w:val="bottom"/>
          </w:tcPr>
          <w:p>
            <w:pPr>
              <w:spacing w:after="0"/>
              <w:rPr>
                <w:sz w:val="15"/>
                <w:szCs w:val="15"/>
                <w:color w:val="auto"/>
              </w:rPr>
            </w:pPr>
          </w:p>
        </w:tc>
        <w:tc>
          <w:tcPr>
            <w:tcW w:w="180" w:type="dxa"/>
            <w:vAlign w:val="bottom"/>
            <w:tcBorders>
              <w:bottom w:val="single" w:sz="8" w:color="454546"/>
            </w:tcBorders>
          </w:tcPr>
          <w:p>
            <w:pPr>
              <w:jc w:val="right"/>
              <w:ind w:right="15"/>
              <w:spacing w:after="0" w:line="182" w:lineRule="exact"/>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Borders>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20,532</w:t>
            </w:r>
          </w:p>
        </w:tc>
        <w:tc>
          <w:tcPr>
            <w:tcW w:w="220" w:type="dxa"/>
            <w:vAlign w:val="bottom"/>
          </w:tcPr>
          <w:p>
            <w:pPr>
              <w:spacing w:after="0"/>
              <w:rPr>
                <w:sz w:val="15"/>
                <w:szCs w:val="15"/>
                <w:color w:val="auto"/>
              </w:rPr>
            </w:pPr>
          </w:p>
        </w:tc>
        <w:tc>
          <w:tcPr>
            <w:tcW w:w="1200" w:type="dxa"/>
            <w:vAlign w:val="bottom"/>
            <w:tcBorders>
              <w:bottom w:val="single" w:sz="8" w:color="454546"/>
            </w:tcBorders>
          </w:tcPr>
          <w:p>
            <w:pPr>
              <w:jc w:val="center"/>
              <w:spacing w:after="0" w:line="182" w:lineRule="exact"/>
              <w:rPr>
                <w:sz w:val="20"/>
                <w:szCs w:val="20"/>
                <w:color w:val="auto"/>
              </w:rPr>
            </w:pPr>
            <w:r>
              <w:rPr>
                <w:rFonts w:ascii="Times New Roman" w:cs="Times New Roman" w:eastAsia="Times New Roman" w:hAnsi="Times New Roman"/>
                <w:sz w:val="18"/>
                <w:szCs w:val="18"/>
                <w:color w:val="454546"/>
                <w:w w:val="97"/>
              </w:rPr>
              <w:t>(18%)</w:t>
            </w: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92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454546"/>
            </w:tcBorders>
          </w:tcPr>
          <w:p>
            <w:pPr>
              <w:spacing w:after="0" w:line="20" w:lineRule="exact"/>
              <w:rPr>
                <w:sz w:val="1"/>
                <w:szCs w:val="1"/>
                <w:color w:val="auto"/>
              </w:rPr>
            </w:pPr>
          </w:p>
        </w:tc>
      </w:tr>
    </w:tbl>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Expenses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2"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454546"/>
        </w:rPr>
        <w:t>We expense all research and development costs in the periods in which they are incurred.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454546"/>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w:t>
      </w:r>
      <w:r>
        <w:rPr>
          <w:rFonts w:ascii="Times New Roman" w:cs="Times New Roman" w:eastAsia="Times New Roman" w:hAnsi="Times New Roman"/>
          <w:sz w:val="19"/>
          <w:szCs w:val="19"/>
          <w:color w:val="454546"/>
        </w:rPr>
        <w:t>he</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19"/>
          <w:szCs w:val="19"/>
          <w:color w:val="454546"/>
        </w:rPr>
        <w:t>level of our research and development expenses over the next twelve months will be subject to operational decisions made following data generated from our MyPEAK-1 and RIDGE-1 clinical trials and our ability to achieve regulatory alignment on our pivotal trial plans for our TN-201 and TN-401 programs.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The following table summarizes our research and development expenses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454546"/>
                <w:w w:val="99"/>
              </w:rPr>
              <w:t>Year Ended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454546"/>
                <w:w w:val="99"/>
              </w:rPr>
              <w:t>December 31,</w:t>
            </w:r>
          </w:p>
        </w:tc>
        <w:tc>
          <w:tcPr>
            <w:tcW w:w="18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454546"/>
              </w:rPr>
              <w:t>$</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w:t>
            </w:r>
          </w:p>
        </w:tc>
      </w:tr>
      <w:tr>
        <w:trPr>
          <w:trHeight w:val="202"/>
        </w:trPr>
        <w:tc>
          <w:tcPr>
            <w:tcW w:w="39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454546"/>
              </w:rPr>
              <w:t>(in thousands, except percentages)</w:t>
            </w:r>
          </w:p>
        </w:tc>
        <w:tc>
          <w:tcPr>
            <w:tcW w:w="240" w:type="dxa"/>
            <w:vAlign w:val="bottom"/>
            <w:tcBorders>
              <w:top w:val="single" w:sz="8" w:color="454546"/>
            </w:tcBorders>
          </w:tcPr>
          <w:p>
            <w:pPr>
              <w:spacing w:after="0"/>
              <w:rPr>
                <w:sz w:val="17"/>
                <w:szCs w:val="17"/>
                <w:color w:val="auto"/>
              </w:rPr>
            </w:pPr>
          </w:p>
        </w:tc>
        <w:tc>
          <w:tcPr>
            <w:tcW w:w="940" w:type="dxa"/>
            <w:vAlign w:val="bottom"/>
            <w:tcBorders>
              <w:top w:val="single" w:sz="8" w:color="454546"/>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b w:val="1"/>
                <w:bCs w:val="1"/>
                <w:color w:val="454546"/>
              </w:rPr>
              <w:t>2025</w:t>
            </w:r>
          </w:p>
        </w:tc>
        <w:tc>
          <w:tcPr>
            <w:tcW w:w="220" w:type="dxa"/>
            <w:vAlign w:val="bottom"/>
            <w:tcBorders>
              <w:top w:val="single" w:sz="8" w:color="454546"/>
            </w:tcBorders>
          </w:tcPr>
          <w:p>
            <w:pPr>
              <w:spacing w:after="0"/>
              <w:rPr>
                <w:sz w:val="17"/>
                <w:szCs w:val="17"/>
                <w:color w:val="auto"/>
              </w:rPr>
            </w:pPr>
          </w:p>
        </w:tc>
        <w:tc>
          <w:tcPr>
            <w:tcW w:w="380" w:type="dxa"/>
            <w:vAlign w:val="bottom"/>
            <w:tcBorders>
              <w:top w:val="single" w:sz="8" w:color="454546"/>
            </w:tcBorders>
          </w:tcPr>
          <w:p>
            <w:pPr>
              <w:spacing w:after="0"/>
              <w:rPr>
                <w:sz w:val="17"/>
                <w:szCs w:val="17"/>
                <w:color w:val="auto"/>
              </w:rPr>
            </w:pPr>
          </w:p>
        </w:tc>
        <w:tc>
          <w:tcPr>
            <w:tcW w:w="780" w:type="dxa"/>
            <w:vAlign w:val="bottom"/>
            <w:tcBorders>
              <w:top w:val="single" w:sz="8" w:color="454546"/>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454546"/>
              </w:rPr>
              <w:t>2024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454546"/>
              </w:rPr>
              <w:t>Change</w:t>
            </w:r>
          </w:p>
        </w:tc>
        <w:tc>
          <w:tcPr>
            <w:tcW w:w="120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b w:val="1"/>
                <w:bCs w:val="1"/>
                <w:color w:val="454546"/>
              </w:rPr>
              <w:t>Change</w:t>
            </w:r>
          </w:p>
        </w:tc>
      </w:tr>
      <w:tr>
        <w:trPr>
          <w:trHeight w:val="202"/>
        </w:trPr>
        <w:tc>
          <w:tcPr>
            <w:tcW w:w="3980" w:type="dxa"/>
            <w:vAlign w:val="bottom"/>
            <w:tcBorders>
              <w:top w:val="single" w:sz="8" w:color="E5E6E7"/>
            </w:tcBorders>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Clinical</w:t>
            </w:r>
          </w:p>
        </w:tc>
        <w:tc>
          <w:tcPr>
            <w:tcW w:w="240" w:type="dxa"/>
            <w:vAlign w:val="bottom"/>
            <w:tcBorders>
              <w:top w:val="single" w:sz="8" w:color="454546"/>
            </w:tcBorders>
            <w:shd w:val="clear" w:color="auto" w:fill="E5E6E7"/>
          </w:tcPr>
          <w:p>
            <w:pPr>
              <w:jc w:val="right"/>
              <w:ind w:right="75"/>
              <w:spacing w:after="0"/>
              <w:rPr>
                <w:sz w:val="20"/>
                <w:szCs w:val="20"/>
                <w:color w:val="auto"/>
              </w:rPr>
            </w:pPr>
            <w:r>
              <w:rPr>
                <w:rFonts w:ascii="Times New Roman" w:cs="Times New Roman" w:eastAsia="Times New Roman" w:hAnsi="Times New Roman"/>
                <w:sz w:val="17"/>
                <w:szCs w:val="17"/>
                <w:color w:val="454546"/>
                <w:w w:val="70"/>
              </w:rPr>
              <w:t>$</w:t>
            </w:r>
          </w:p>
        </w:tc>
        <w:tc>
          <w:tcPr>
            <w:tcW w:w="940" w:type="dxa"/>
            <w:vAlign w:val="bottom"/>
            <w:tcBorders>
              <w:top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19,944</w:t>
            </w:r>
          </w:p>
        </w:tc>
        <w:tc>
          <w:tcPr>
            <w:tcW w:w="220" w:type="dxa"/>
            <w:vAlign w:val="bottom"/>
            <w:tcBorders>
              <w:top w:val="single" w:sz="8" w:color="E5E6E7"/>
            </w:tcBorders>
            <w:shd w:val="clear" w:color="auto" w:fill="E5E6E7"/>
          </w:tcPr>
          <w:p>
            <w:pPr>
              <w:spacing w:after="0"/>
              <w:rPr>
                <w:sz w:val="17"/>
                <w:szCs w:val="17"/>
                <w:color w:val="auto"/>
              </w:rPr>
            </w:pPr>
          </w:p>
        </w:tc>
        <w:tc>
          <w:tcPr>
            <w:tcW w:w="380" w:type="dxa"/>
            <w:vAlign w:val="bottom"/>
            <w:tcBorders>
              <w:top w:val="single" w:sz="8" w:color="454546"/>
            </w:tcBorders>
            <w:shd w:val="clear" w:color="auto" w:fill="E5E6E7"/>
          </w:tcPr>
          <w:p>
            <w:pPr>
              <w:jc w:val="right"/>
              <w:ind w:right="215"/>
              <w:spacing w:after="0"/>
              <w:rPr>
                <w:sz w:val="20"/>
                <w:szCs w:val="20"/>
                <w:color w:val="auto"/>
              </w:rPr>
            </w:pPr>
            <w:r>
              <w:rPr>
                <w:rFonts w:ascii="Times New Roman" w:cs="Times New Roman" w:eastAsia="Times New Roman" w:hAnsi="Times New Roman"/>
                <w:sz w:val="17"/>
                <w:szCs w:val="17"/>
                <w:color w:val="454546"/>
                <w:w w:val="70"/>
              </w:rPr>
              <w:t>$</w:t>
            </w:r>
          </w:p>
        </w:tc>
        <w:tc>
          <w:tcPr>
            <w:tcW w:w="780" w:type="dxa"/>
            <w:vAlign w:val="bottom"/>
            <w:tcBorders>
              <w:top w:val="single" w:sz="8" w:color="454546"/>
            </w:tcBorders>
            <w:shd w:val="clear" w:color="auto" w:fill="E5E6E7"/>
          </w:tcPr>
          <w:p>
            <w:pPr>
              <w:ind w:left="300"/>
              <w:spacing w:after="0" w:line="202" w:lineRule="exact"/>
              <w:rPr>
                <w:sz w:val="20"/>
                <w:szCs w:val="20"/>
                <w:color w:val="auto"/>
              </w:rPr>
            </w:pPr>
            <w:r>
              <w:rPr>
                <w:rFonts w:ascii="Times New Roman" w:cs="Times New Roman" w:eastAsia="Times New Roman" w:hAnsi="Times New Roman"/>
                <w:sz w:val="18"/>
                <w:szCs w:val="18"/>
                <w:color w:val="454546"/>
                <w:w w:val="92"/>
              </w:rPr>
              <w:t>26,024</w:t>
            </w:r>
          </w:p>
        </w:tc>
        <w:tc>
          <w:tcPr>
            <w:tcW w:w="240" w:type="dxa"/>
            <w:vAlign w:val="bottom"/>
            <w:tcBorders>
              <w:top w:val="single" w:sz="8" w:color="E5E6E7"/>
            </w:tcBorders>
            <w:shd w:val="clear" w:color="auto" w:fill="E5E6E7"/>
          </w:tcPr>
          <w:p>
            <w:pPr>
              <w:spacing w:after="0"/>
              <w:rPr>
                <w:sz w:val="17"/>
                <w:szCs w:val="17"/>
                <w:color w:val="auto"/>
              </w:rPr>
            </w:pPr>
          </w:p>
        </w:tc>
        <w:tc>
          <w:tcPr>
            <w:tcW w:w="180" w:type="dxa"/>
            <w:vAlign w:val="bottom"/>
            <w:tcBorders>
              <w:top w:val="single" w:sz="8" w:color="454546"/>
            </w:tcBorders>
            <w:shd w:val="clear" w:color="auto" w:fill="E5E6E7"/>
          </w:tcPr>
          <w:p>
            <w:pPr>
              <w:jc w:val="right"/>
              <w:ind w:right="15"/>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Borders>
              <w:top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(6,080)</w:t>
            </w:r>
          </w:p>
        </w:tc>
        <w:tc>
          <w:tcPr>
            <w:tcW w:w="220" w:type="dxa"/>
            <w:vAlign w:val="bottom"/>
            <w:tcBorders>
              <w:top w:val="single" w:sz="8" w:color="E5E6E7"/>
            </w:tcBorders>
            <w:shd w:val="clear" w:color="auto" w:fill="E5E6E7"/>
          </w:tcPr>
          <w:p>
            <w:pPr>
              <w:spacing w:after="0"/>
              <w:rPr>
                <w:sz w:val="17"/>
                <w:szCs w:val="17"/>
                <w:color w:val="auto"/>
              </w:rPr>
            </w:pPr>
          </w:p>
        </w:tc>
        <w:tc>
          <w:tcPr>
            <w:tcW w:w="1200" w:type="dxa"/>
            <w:vAlign w:val="bottom"/>
            <w:tcBorders>
              <w:top w:val="single" w:sz="8" w:color="454546"/>
            </w:tcBorders>
            <w:shd w:val="clear" w:color="auto" w:fill="E5E6E7"/>
          </w:tcPr>
          <w:p>
            <w:pPr>
              <w:jc w:val="center"/>
              <w:spacing w:after="0" w:line="202" w:lineRule="exact"/>
              <w:rPr>
                <w:sz w:val="20"/>
                <w:szCs w:val="20"/>
                <w:color w:val="auto"/>
              </w:rPr>
            </w:pPr>
            <w:r>
              <w:rPr>
                <w:rFonts w:ascii="Times New Roman" w:cs="Times New Roman" w:eastAsia="Times New Roman" w:hAnsi="Times New Roman"/>
                <w:sz w:val="18"/>
                <w:szCs w:val="18"/>
                <w:color w:val="454546"/>
                <w:w w:val="97"/>
              </w:rPr>
              <w:t>(23%)</w:t>
            </w:r>
          </w:p>
        </w:tc>
      </w:tr>
      <w:tr>
        <w:trPr>
          <w:trHeight w:val="20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454546"/>
              </w:rPr>
              <w:t>Manufacturing (pre-commercial)</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17,715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8"/>
                <w:szCs w:val="18"/>
                <w:color w:val="454546"/>
                <w:w w:val="92"/>
              </w:rPr>
              <w:t>23,433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(5,718)</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7"/>
              </w:rPr>
              <w:t>(24%)</w:t>
            </w:r>
          </w:p>
        </w:tc>
      </w:tr>
      <w:tr>
        <w:trPr>
          <w:trHeight w:val="207"/>
        </w:trPr>
        <w:tc>
          <w:tcPr>
            <w:tcW w:w="398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Research</w:t>
            </w:r>
          </w:p>
        </w:tc>
        <w:tc>
          <w:tcPr>
            <w:tcW w:w="240" w:type="dxa"/>
            <w:vAlign w:val="bottom"/>
            <w:shd w:val="clear" w:color="auto" w:fill="E5E6E7"/>
          </w:tcPr>
          <w:p>
            <w:pPr>
              <w:spacing w:after="0"/>
              <w:rPr>
                <w:sz w:val="17"/>
                <w:szCs w:val="17"/>
                <w:color w:val="auto"/>
              </w:rPr>
            </w:pPr>
          </w:p>
        </w:tc>
        <w:tc>
          <w:tcPr>
            <w:tcW w:w="116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18"/>
                <w:szCs w:val="18"/>
                <w:color w:val="454546"/>
              </w:rPr>
              <w:t>16,469</w:t>
            </w:r>
          </w:p>
        </w:tc>
        <w:tc>
          <w:tcPr>
            <w:tcW w:w="380" w:type="dxa"/>
            <w:vAlign w:val="bottom"/>
            <w:shd w:val="clear" w:color="auto" w:fill="E5E6E7"/>
          </w:tcPr>
          <w:p>
            <w:pPr>
              <w:spacing w:after="0"/>
              <w:rPr>
                <w:sz w:val="17"/>
                <w:szCs w:val="17"/>
                <w:color w:val="auto"/>
              </w:rPr>
            </w:pPr>
          </w:p>
        </w:tc>
        <w:tc>
          <w:tcPr>
            <w:tcW w:w="1020" w:type="dxa"/>
            <w:vAlign w:val="bottom"/>
            <w:gridSpan w:val="2"/>
            <w:shd w:val="clear" w:color="auto" w:fill="E5E6E7"/>
          </w:tcPr>
          <w:p>
            <w:pPr>
              <w:ind w:left="300"/>
              <w:spacing w:after="0"/>
              <w:rPr>
                <w:sz w:val="20"/>
                <w:szCs w:val="20"/>
                <w:color w:val="auto"/>
              </w:rPr>
            </w:pPr>
            <w:r>
              <w:rPr>
                <w:rFonts w:ascii="Times New Roman" w:cs="Times New Roman" w:eastAsia="Times New Roman" w:hAnsi="Times New Roman"/>
                <w:sz w:val="18"/>
                <w:szCs w:val="18"/>
                <w:color w:val="454546"/>
              </w:rPr>
              <w:t>20,858</w:t>
            </w:r>
          </w:p>
        </w:tc>
        <w:tc>
          <w:tcPr>
            <w:tcW w:w="180" w:type="dxa"/>
            <w:vAlign w:val="bottom"/>
            <w:shd w:val="clear" w:color="auto" w:fill="E5E6E7"/>
          </w:tcPr>
          <w:p>
            <w:pPr>
              <w:spacing w:after="0"/>
              <w:rPr>
                <w:sz w:val="17"/>
                <w:szCs w:val="17"/>
                <w:color w:val="auto"/>
              </w:rPr>
            </w:pPr>
          </w:p>
        </w:tc>
        <w:tc>
          <w:tcPr>
            <w:tcW w:w="120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18"/>
                <w:szCs w:val="18"/>
                <w:color w:val="454546"/>
              </w:rPr>
              <w:t>(4,389)</w:t>
            </w:r>
          </w:p>
        </w:tc>
        <w:tc>
          <w:tcPr>
            <w:tcW w:w="12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54546"/>
                <w:w w:val="97"/>
              </w:rPr>
              <w:t>(21%)</w:t>
            </w:r>
          </w:p>
        </w:tc>
      </w:tr>
      <w:tr>
        <w:trPr>
          <w:trHeight w:val="20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454546"/>
              </w:rPr>
              <w:t>Other</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14,479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8"/>
                <w:szCs w:val="18"/>
                <w:color w:val="454546"/>
                <w:w w:val="92"/>
              </w:rPr>
              <w:t>16,427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54546"/>
              </w:rPr>
              <w:t>(1,948)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7"/>
              </w:rPr>
              <w:t>(12%)</w:t>
            </w:r>
          </w:p>
        </w:tc>
      </w:tr>
      <w:tr>
        <w:trPr>
          <w:trHeight w:val="202"/>
        </w:trPr>
        <w:tc>
          <w:tcPr>
            <w:tcW w:w="3980" w:type="dxa"/>
            <w:vAlign w:val="bottom"/>
            <w:tcBorders>
              <w:top w:val="single" w:sz="8" w:color="E5E6E7"/>
            </w:tcBorders>
            <w:shd w:val="clear" w:color="auto" w:fill="E5E6E7"/>
          </w:tcPr>
          <w:p>
            <w:pPr>
              <w:ind w:left="200"/>
              <w:spacing w:after="0" w:line="202" w:lineRule="exact"/>
              <w:rPr>
                <w:sz w:val="20"/>
                <w:szCs w:val="20"/>
                <w:color w:val="auto"/>
              </w:rPr>
            </w:pPr>
            <w:r>
              <w:rPr>
                <w:rFonts w:ascii="Times New Roman" w:cs="Times New Roman" w:eastAsia="Times New Roman" w:hAnsi="Times New Roman"/>
                <w:sz w:val="18"/>
                <w:szCs w:val="18"/>
                <w:color w:val="454546"/>
              </w:rPr>
              <w:t>Total research and development expenses</w:t>
            </w:r>
          </w:p>
        </w:tc>
        <w:tc>
          <w:tcPr>
            <w:tcW w:w="240" w:type="dxa"/>
            <w:vAlign w:val="bottom"/>
            <w:tcBorders>
              <w:top w:val="single" w:sz="8" w:color="454546"/>
              <w:bottom w:val="single" w:sz="8" w:color="454546"/>
            </w:tcBorders>
            <w:shd w:val="clear" w:color="auto" w:fill="E5E6E7"/>
          </w:tcPr>
          <w:p>
            <w:pPr>
              <w:jc w:val="right"/>
              <w:ind w:right="75"/>
              <w:spacing w:after="0"/>
              <w:rPr>
                <w:sz w:val="20"/>
                <w:szCs w:val="20"/>
                <w:color w:val="auto"/>
              </w:rPr>
            </w:pPr>
            <w:r>
              <w:rPr>
                <w:rFonts w:ascii="Times New Roman" w:cs="Times New Roman" w:eastAsia="Times New Roman" w:hAnsi="Times New Roman"/>
                <w:sz w:val="17"/>
                <w:szCs w:val="17"/>
                <w:color w:val="454546"/>
                <w:w w:val="70"/>
              </w:rPr>
              <w:t>$</w:t>
            </w:r>
          </w:p>
        </w:tc>
        <w:tc>
          <w:tcPr>
            <w:tcW w:w="94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68,607</w:t>
            </w:r>
          </w:p>
        </w:tc>
        <w:tc>
          <w:tcPr>
            <w:tcW w:w="220" w:type="dxa"/>
            <w:vAlign w:val="bottom"/>
            <w:tcBorders>
              <w:top w:val="single" w:sz="8" w:color="E5E6E7"/>
            </w:tcBorders>
            <w:shd w:val="clear" w:color="auto" w:fill="E5E6E7"/>
          </w:tcPr>
          <w:p>
            <w:pPr>
              <w:spacing w:after="0"/>
              <w:rPr>
                <w:sz w:val="17"/>
                <w:szCs w:val="17"/>
                <w:color w:val="auto"/>
              </w:rPr>
            </w:pPr>
          </w:p>
        </w:tc>
        <w:tc>
          <w:tcPr>
            <w:tcW w:w="380" w:type="dxa"/>
            <w:vAlign w:val="bottom"/>
            <w:tcBorders>
              <w:top w:val="single" w:sz="8" w:color="454546"/>
              <w:bottom w:val="single" w:sz="8" w:color="454546"/>
            </w:tcBorders>
            <w:shd w:val="clear" w:color="auto" w:fill="E5E6E7"/>
          </w:tcPr>
          <w:p>
            <w:pPr>
              <w:jc w:val="right"/>
              <w:ind w:right="215"/>
              <w:spacing w:after="0"/>
              <w:rPr>
                <w:sz w:val="20"/>
                <w:szCs w:val="20"/>
                <w:color w:val="auto"/>
              </w:rPr>
            </w:pPr>
            <w:r>
              <w:rPr>
                <w:rFonts w:ascii="Times New Roman" w:cs="Times New Roman" w:eastAsia="Times New Roman" w:hAnsi="Times New Roman"/>
                <w:sz w:val="17"/>
                <w:szCs w:val="17"/>
                <w:color w:val="454546"/>
                <w:w w:val="70"/>
              </w:rPr>
              <w:t>$</w:t>
            </w:r>
          </w:p>
        </w:tc>
        <w:tc>
          <w:tcPr>
            <w:tcW w:w="780" w:type="dxa"/>
            <w:vAlign w:val="bottom"/>
            <w:tcBorders>
              <w:top w:val="single" w:sz="8" w:color="454546"/>
              <w:bottom w:val="single" w:sz="8" w:color="454546"/>
            </w:tcBorders>
            <w:shd w:val="clear" w:color="auto" w:fill="E5E6E7"/>
          </w:tcPr>
          <w:p>
            <w:pPr>
              <w:ind w:left="300"/>
              <w:spacing w:after="0" w:line="202" w:lineRule="exact"/>
              <w:rPr>
                <w:sz w:val="20"/>
                <w:szCs w:val="20"/>
                <w:color w:val="auto"/>
              </w:rPr>
            </w:pPr>
            <w:r>
              <w:rPr>
                <w:rFonts w:ascii="Times New Roman" w:cs="Times New Roman" w:eastAsia="Times New Roman" w:hAnsi="Times New Roman"/>
                <w:sz w:val="18"/>
                <w:szCs w:val="18"/>
                <w:color w:val="454546"/>
                <w:w w:val="92"/>
              </w:rPr>
              <w:t>86,742</w:t>
            </w:r>
          </w:p>
        </w:tc>
        <w:tc>
          <w:tcPr>
            <w:tcW w:w="240" w:type="dxa"/>
            <w:vAlign w:val="bottom"/>
            <w:tcBorders>
              <w:top w:val="single" w:sz="8" w:color="E5E6E7"/>
            </w:tcBorders>
            <w:shd w:val="clear" w:color="auto" w:fill="E5E6E7"/>
          </w:tcPr>
          <w:p>
            <w:pPr>
              <w:spacing w:after="0"/>
              <w:rPr>
                <w:sz w:val="17"/>
                <w:szCs w:val="17"/>
                <w:color w:val="auto"/>
              </w:rPr>
            </w:pPr>
          </w:p>
        </w:tc>
        <w:tc>
          <w:tcPr>
            <w:tcW w:w="180" w:type="dxa"/>
            <w:vAlign w:val="bottom"/>
            <w:tcBorders>
              <w:top w:val="single" w:sz="8" w:color="454546"/>
              <w:bottom w:val="single" w:sz="8" w:color="454546"/>
            </w:tcBorders>
            <w:shd w:val="clear" w:color="auto" w:fill="E5E6E7"/>
          </w:tcPr>
          <w:p>
            <w:pPr>
              <w:jc w:val="right"/>
              <w:ind w:right="15"/>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(18,135)</w:t>
            </w:r>
          </w:p>
        </w:tc>
        <w:tc>
          <w:tcPr>
            <w:tcW w:w="220" w:type="dxa"/>
            <w:vAlign w:val="bottom"/>
            <w:tcBorders>
              <w:top w:val="single" w:sz="8" w:color="E5E6E7"/>
            </w:tcBorders>
            <w:shd w:val="clear" w:color="auto" w:fill="E5E6E7"/>
          </w:tcPr>
          <w:p>
            <w:pPr>
              <w:spacing w:after="0"/>
              <w:rPr>
                <w:sz w:val="17"/>
                <w:szCs w:val="17"/>
                <w:color w:val="auto"/>
              </w:rPr>
            </w:pPr>
          </w:p>
        </w:tc>
        <w:tc>
          <w:tcPr>
            <w:tcW w:w="1200" w:type="dxa"/>
            <w:vAlign w:val="bottom"/>
            <w:tcBorders>
              <w:top w:val="single" w:sz="8" w:color="454546"/>
              <w:bottom w:val="single" w:sz="8" w:color="454546"/>
            </w:tcBorders>
            <w:shd w:val="clear" w:color="auto" w:fill="E5E6E7"/>
          </w:tcPr>
          <w:p>
            <w:pPr>
              <w:jc w:val="center"/>
              <w:spacing w:after="0" w:line="202" w:lineRule="exact"/>
              <w:rPr>
                <w:sz w:val="20"/>
                <w:szCs w:val="20"/>
                <w:color w:val="auto"/>
              </w:rPr>
            </w:pPr>
            <w:r>
              <w:rPr>
                <w:rFonts w:ascii="Times New Roman" w:cs="Times New Roman" w:eastAsia="Times New Roman" w:hAnsi="Times New Roman"/>
                <w:sz w:val="18"/>
                <w:szCs w:val="18"/>
                <w:color w:val="454546"/>
                <w:w w:val="97"/>
              </w:rPr>
              <w:t>(21%)</w:t>
            </w: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94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454546"/>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101</w:t>
      </w:r>
    </w:p>
    <w:p>
      <w:pPr>
        <w:sectPr>
          <w:pgSz w:w="12240" w:h="15840" w:orient="portrait"/>
          <w:cols w:equalWidth="0" w:num="1">
            <w:col w:w="9360"/>
          </w:cols>
          <w:pgMar w:left="1440" w:top="1420" w:right="1440" w:bottom="175" w:gutter="0" w:footer="0" w:header="0"/>
          <w:type w:val="continuous"/>
        </w:sectPr>
      </w:pPr>
    </w:p>
    <w:bookmarkStart w:id="103" w:name="page104"/>
    <w:bookmarkEnd w:id="103"/>
    <w:p>
      <w:pPr>
        <w:ind w:right="160" w:firstLine="490"/>
        <w:spacing w:after="0" w:line="277" w:lineRule="auto"/>
        <w:rPr>
          <w:sz w:val="20"/>
          <w:szCs w:val="20"/>
          <w:color w:val="auto"/>
        </w:rPr>
      </w:pPr>
      <w:r>
        <w:rPr>
          <w:rFonts w:ascii="Times New Roman" w:cs="Times New Roman" w:eastAsia="Times New Roman" w:hAnsi="Times New Roman"/>
          <w:sz w:val="20"/>
          <w:szCs w:val="20"/>
          <w:color w:val="454546"/>
        </w:rPr>
        <w:t>Research and development expenses were $68.6 million and $86.7 million for the years ended December 31, 2025 and 2024, respectively. The decrease of $18.1 million, or 21%, was primarily due to:</w:t>
      </w:r>
    </w:p>
    <w:p>
      <w:pPr>
        <w:spacing w:after="0" w:line="64" w:lineRule="exact"/>
        <w:rPr>
          <w:sz w:val="20"/>
          <w:szCs w:val="20"/>
          <w:color w:val="auto"/>
        </w:rPr>
      </w:pPr>
    </w:p>
    <w:p>
      <w:pPr>
        <w:ind w:left="840" w:right="200" w:hanging="350"/>
        <w:spacing w:after="0" w:line="258" w:lineRule="auto"/>
        <w:tabs>
          <w:tab w:leader="none" w:pos="84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a decrease of $6.1 million in clinical trial related costs primarily driven by a decrease in clinical support costs, including regulatory consulting fees and lower employee-related costs driven by workforce reductions initiated in March 2025 and May 2024 (together, the Workforce Reductions);</w:t>
      </w:r>
    </w:p>
    <w:p>
      <w:pPr>
        <w:spacing w:after="0" w:line="81" w:lineRule="exact"/>
        <w:rPr>
          <w:rFonts w:ascii="Arial" w:cs="Arial" w:eastAsia="Arial" w:hAnsi="Arial"/>
          <w:sz w:val="20"/>
          <w:szCs w:val="20"/>
          <w:color w:val="454546"/>
        </w:rPr>
      </w:pPr>
    </w:p>
    <w:p>
      <w:pPr>
        <w:ind w:left="840" w:right="120" w:hanging="350"/>
        <w:spacing w:after="0" w:line="276" w:lineRule="auto"/>
        <w:tabs>
          <w:tab w:leader="none" w:pos="84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a decrease of $5.7 million in manufacturing costs due to lower employee-related costs driven by the Workforce Reductions, as well as reduced spending on supplies, materials, and facility maintenance; and</w:t>
      </w:r>
    </w:p>
    <w:p>
      <w:pPr>
        <w:spacing w:after="0" w:line="64" w:lineRule="exact"/>
        <w:rPr>
          <w:rFonts w:ascii="Arial" w:cs="Arial" w:eastAsia="Arial" w:hAnsi="Arial"/>
          <w:sz w:val="20"/>
          <w:szCs w:val="20"/>
          <w:color w:val="454546"/>
        </w:rPr>
      </w:pPr>
    </w:p>
    <w:p>
      <w:pPr>
        <w:ind w:left="840" w:right="160" w:hanging="350"/>
        <w:spacing w:after="0" w:line="276" w:lineRule="auto"/>
        <w:tabs>
          <w:tab w:leader="none" w:pos="840" w:val="left"/>
        </w:tabs>
        <w:numPr>
          <w:ilvl w:val="0"/>
          <w:numId w:val="48"/>
        </w:numPr>
        <w:rPr>
          <w:rFonts w:ascii="Arial" w:cs="Arial" w:eastAsia="Arial" w:hAnsi="Arial"/>
          <w:sz w:val="20"/>
          <w:szCs w:val="20"/>
          <w:color w:val="454546"/>
        </w:rPr>
      </w:pPr>
      <w:r>
        <w:rPr>
          <w:rFonts w:ascii="Times New Roman" w:cs="Times New Roman" w:eastAsia="Times New Roman" w:hAnsi="Times New Roman"/>
          <w:sz w:val="20"/>
          <w:szCs w:val="20"/>
          <w:color w:val="454546"/>
        </w:rPr>
        <w:t>decreases of $4.4 million in research costs and $1.9 million in other research and development costs due to lower employee-related costs driven by the Workforce Reductions.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General and Administrative</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77"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color w:val="454546"/>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 and our ability to achieve regulatory alignment on our pivotal trial plans for our TN-201 and TN-401 programs.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General and administrative expenses were $24.7 million and $29.2 million for the years ended December 31,</w:t>
      </w:r>
    </w:p>
    <w:p>
      <w:pPr>
        <w:spacing w:after="0" w:line="28"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20"/>
          <w:szCs w:val="20"/>
          <w:color w:val="454546"/>
        </w:rPr>
        <w:t>2025 and 2024, respectively. The decrease of $4.5 million, or 15%, was primarily due to decreases in employee-related costs driven by the Workforce Reductions and lower professional fees.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Interest Income</w:t>
      </w:r>
    </w:p>
    <w:p>
      <w:pPr>
        <w:spacing w:after="0" w:line="12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Interest income primarily consists of interest earned on our cash, cash equivalents and investment balances. Interest income was $2.7 million and $4.7 million for the years ended December 31, 2025 and 2024, respectively. The year-over-year decrease of $2.1 million was primarily due to lower cash, cash equivalents and investment balances.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Net Loss</w:t>
      </w:r>
    </w:p>
    <w:p>
      <w:pPr>
        <w:spacing w:after="0" w:line="12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454546"/>
        </w:rPr>
        <w:t>Net loss for the year ended December 31, 2025, was $90.6 million, compared to a net loss of $111.1 million for the year ended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Liquidity and Capital Resources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Sources of Liquidity</w:t>
      </w:r>
    </w:p>
    <w:p>
      <w:pPr>
        <w:spacing w:after="0" w:line="120"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454546"/>
        </w:rPr>
        <w:t>Since our inception, we have not generated any revenue and we have incurred significant net losses and negative cash flows from operations. From our inception through December 31, 2025, we have funded our operations primarily from the sale and issuance of our equity securities. As of December 31, 2025, we had cash, cash equivalents and investments in marketable securities of $100.5 million and an accumulated deficit of $605.0 million.</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CIRM Grant</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In February 2025, we announced we were awarded an $8 million grant from the CIRM to support RIDGE-1. The award is payable to us upon achievement of certain clinical milestones. Additionally, if CIRM determines, in its sole discretion, that we have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we will co-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102</w:t>
      </w:r>
    </w:p>
    <w:p>
      <w:pPr>
        <w:sectPr>
          <w:pgSz w:w="12240" w:h="15840" w:orient="portrait"/>
          <w:cols w:equalWidth="0" w:num="1">
            <w:col w:w="9360"/>
          </w:cols>
          <w:pgMar w:left="1440" w:top="1420" w:right="1440" w:bottom="175" w:gutter="0" w:footer="0" w:header="0"/>
          <w:type w:val="continuous"/>
        </w:sectPr>
      </w:pPr>
    </w:p>
    <w:bookmarkStart w:id="104" w:name="page105"/>
    <w:bookmarkEnd w:id="104"/>
    <w:p>
      <w:pPr>
        <w:ind w:right="40"/>
        <w:spacing w:after="0" w:line="258" w:lineRule="auto"/>
        <w:rPr>
          <w:sz w:val="20"/>
          <w:szCs w:val="20"/>
          <w:color w:val="auto"/>
        </w:rPr>
      </w:pPr>
      <w:r>
        <w:rPr>
          <w:rFonts w:ascii="Times New Roman" w:cs="Times New Roman" w:eastAsia="Times New Roman" w:hAnsi="Times New Roman"/>
          <w:sz w:val="20"/>
          <w:szCs w:val="20"/>
          <w:color w:val="454546"/>
        </w:rPr>
        <w:t>fund the research project with CIRM and the amount of our co-funding requirement is predetermined as a part of the award. For the year ended December 31, 2025, we recognized $2.5 million as a reduction of research and development expenses in connection with the grant.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Loan Agreement</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On August 6, 2024, we entered into a Loan Agreement with Silicon Valley Bank (SVB). As of December 31, 2025, all of the term loan commitments expired under the Loan Agreement and no term loans were outstanding. The Loan Agreement provides that an additional loan of $20.0 million may be available at SVB’s discretion, subject to specified conditions.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Follow-on Offerings</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454546"/>
        </w:rPr>
        <w:t>On December 15, 2025, we completed an underwritten public offering of 50,000,000 units, priced at a public offering price of $1.20 per unit, with each unit consisting of one share of common stock and a warrant to purchase one share of common stock at an exercise price of $1.50 per share, which are immediately exercisable and expire five years from the date of issuance (December 2025 Warrant), under our registration statement on Form S-3 (File No. 333-286005). We received net proceeds of $55.8 million, after deducting underwriting discounts and commissions of $3.6 million and other offering expenses of $0.6 million.</w:t>
      </w:r>
    </w:p>
    <w:p>
      <w:pPr>
        <w:spacing w:after="0" w:line="8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On March 5, 2025, we completed an underwritten offering of 75,000,000 units, priced at a public offering price of $0.70 per unit, with each unit consisting of one share of our common stock, a warrant to purchase one share of our common stock at an exercise price of $0.80 per share, which are immediately exercisable and expire five years from the date of issuance (a Series A Warrant) and a warrant to purchase one-half of a share of our common stock at an exercise price of $0.70 per share, which are immediately exercisable and expire on June 30, 2026 (a Series B Warrant), under our registration statement on Form S-3 (File No. 333-266741). We received net proceeds of approximately $48.9 million, after deducting underwriting discounts and commissions of approximately $3.2 million and other offering expenses of approximately $0.5 million.</w:t>
      </w:r>
    </w:p>
    <w:p>
      <w:pPr>
        <w:spacing w:after="0" w:line="8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We received net proceeds of approximately $46.8 million, after deducting underwriting discounts and commissions of approximately $3.0 million and other offering expenses of approximately $0.2 million. As of December 31, 2024, all pre-funded warrants have been exercised for an exercise price of $0.001 per share.</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“At-the-Market” Equity Offering</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On August 10, 2022, we entered into a sales agreement (the Sales Agreement) with Leerink Partners LLC to establish an “at-the -market” (ATM) offering defined in Rule 415 under the Securities Act. Pursuant to the Sales Agreement, we are permitted to offer and sell, from time to time, shares of our common stock having a maximum aggregate offering price of up to $75.0 million. In January 2025, we sold 822,566 shares of our common stock under the ATM offering for net proceeds of $0.9 million, after deducting commissions and offering costs of $0.3 million. As of December 31, 2025, we may issue and sell up to approximately $69.8 million of common stock under the ATM offering.</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Funding Requirements</w:t>
      </w:r>
    </w:p>
    <w:p>
      <w:pPr>
        <w:spacing w:after="0" w:line="12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454546"/>
        </w:rPr>
        <w:t>We expect that we will continue to incur operating losses over the foreseeable future. Our operating expenses may increase in the future, if and as we:</w:t>
      </w:r>
    </w:p>
    <w:p>
      <w:pPr>
        <w:spacing w:after="0" w:line="64" w:lineRule="exact"/>
        <w:rPr>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color w:val="454546"/>
        </w:rPr>
        <w:t>continue to advance our lead product candidates, TN-201, TN-401 and TN-301;</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color w:val="454546"/>
        </w:rPr>
        <w:t>expand the scope of our existing clinical trials and transition into late-stage clinical development;</w:t>
      </w:r>
    </w:p>
    <w:p>
      <w:pPr>
        <w:spacing w:after="0" w:line="133" w:lineRule="exact"/>
        <w:rPr>
          <w:rFonts w:ascii="Arial" w:cs="Arial" w:eastAsia="Arial" w:hAnsi="Arial"/>
          <w:sz w:val="20"/>
          <w:szCs w:val="20"/>
          <w:color w:val="454546"/>
        </w:rPr>
      </w:pPr>
    </w:p>
    <w:p>
      <w:pPr>
        <w:ind w:left="980" w:right="320" w:hanging="490"/>
        <w:spacing w:after="0" w:line="276" w:lineRule="auto"/>
        <w:tabs>
          <w:tab w:leader="none" w:pos="98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color w:val="454546"/>
        </w:rPr>
        <w:t>seek regulatory and marketing approvals of any of our product candidates that successfully complete clinical trials;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49"/>
        </w:numPr>
        <w:rPr>
          <w:rFonts w:ascii="Arial" w:cs="Arial" w:eastAsia="Arial" w:hAnsi="Arial"/>
          <w:sz w:val="20"/>
          <w:szCs w:val="20"/>
          <w:color w:val="454546"/>
        </w:rPr>
      </w:pPr>
      <w:r>
        <w:rPr>
          <w:rFonts w:ascii="Times New Roman" w:cs="Times New Roman" w:eastAsia="Times New Roman" w:hAnsi="Times New Roman"/>
          <w:sz w:val="20"/>
          <w:szCs w:val="20"/>
          <w:color w:val="454546"/>
        </w:rPr>
        <w:t>establish commercial-scale manufacturing capabilities;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103</w:t>
      </w:r>
    </w:p>
    <w:p>
      <w:pPr>
        <w:sectPr>
          <w:pgSz w:w="12240" w:h="15840" w:orient="portrait"/>
          <w:cols w:equalWidth="0" w:num="1">
            <w:col w:w="9360"/>
          </w:cols>
          <w:pgMar w:left="1440" w:top="1420" w:right="1440" w:bottom="175" w:gutter="0" w:footer="0" w:header="0"/>
          <w:type w:val="continuous"/>
        </w:sectPr>
      </w:pPr>
    </w:p>
    <w:bookmarkStart w:id="105" w:name="page106"/>
    <w:bookmarkEnd w:id="105"/>
    <w:p>
      <w:pPr>
        <w:ind w:left="980" w:right="140" w:hanging="490"/>
        <w:spacing w:after="0" w:line="276" w:lineRule="auto"/>
        <w:tabs>
          <w:tab w:leader="none" w:pos="980" w:val="left"/>
        </w:tabs>
        <w:numPr>
          <w:ilvl w:val="0"/>
          <w:numId w:val="50"/>
        </w:numPr>
        <w:rPr>
          <w:rFonts w:ascii="Arial" w:cs="Arial" w:eastAsia="Arial" w:hAnsi="Arial"/>
          <w:sz w:val="20"/>
          <w:szCs w:val="20"/>
          <w:color w:val="454546"/>
        </w:rPr>
      </w:pPr>
      <w:r>
        <w:rPr>
          <w:rFonts w:ascii="Times New Roman" w:cs="Times New Roman" w:eastAsia="Times New Roman" w:hAnsi="Times New Roman"/>
          <w:sz w:val="20"/>
          <w:szCs w:val="20"/>
          <w:color w:val="454546"/>
        </w:rPr>
        <w:t>expand our operational, financial, and information systems and personnel to support our future product development and commercialization efforts;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50"/>
        </w:numPr>
        <w:rPr>
          <w:rFonts w:ascii="Arial" w:cs="Arial" w:eastAsia="Arial" w:hAnsi="Arial"/>
          <w:sz w:val="20"/>
          <w:szCs w:val="20"/>
          <w:color w:val="454546"/>
        </w:rPr>
      </w:pPr>
      <w:r>
        <w:rPr>
          <w:rFonts w:ascii="Times New Roman" w:cs="Times New Roman" w:eastAsia="Times New Roman" w:hAnsi="Times New Roman"/>
          <w:sz w:val="20"/>
          <w:szCs w:val="20"/>
          <w:color w:val="454546"/>
        </w:rPr>
        <w:t>seek to identify additional research programs and additional product candidates;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50"/>
        </w:numPr>
        <w:rPr>
          <w:rFonts w:ascii="Arial" w:cs="Arial" w:eastAsia="Arial" w:hAnsi="Arial"/>
          <w:sz w:val="20"/>
          <w:szCs w:val="20"/>
          <w:color w:val="454546"/>
        </w:rPr>
      </w:pPr>
      <w:r>
        <w:rPr>
          <w:rFonts w:ascii="Times New Roman" w:cs="Times New Roman" w:eastAsia="Times New Roman" w:hAnsi="Times New Roman"/>
          <w:sz w:val="20"/>
          <w:szCs w:val="20"/>
          <w:color w:val="454546"/>
        </w:rPr>
        <w:t>initiate preclinical studies and clinical trials for any additional product candidates we identify;</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50"/>
        </w:numPr>
        <w:rPr>
          <w:rFonts w:ascii="Arial" w:cs="Arial" w:eastAsia="Arial" w:hAnsi="Arial"/>
          <w:sz w:val="20"/>
          <w:szCs w:val="20"/>
          <w:color w:val="454546"/>
        </w:rPr>
      </w:pPr>
      <w:r>
        <w:rPr>
          <w:rFonts w:ascii="Times New Roman" w:cs="Times New Roman" w:eastAsia="Times New Roman" w:hAnsi="Times New Roman"/>
          <w:sz w:val="20"/>
          <w:szCs w:val="20"/>
          <w:color w:val="454546"/>
        </w:rPr>
        <w:t>advance our future product candidates into clinical development;</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50"/>
        </w:numPr>
        <w:rPr>
          <w:rFonts w:ascii="Arial" w:cs="Arial" w:eastAsia="Arial" w:hAnsi="Arial"/>
          <w:sz w:val="20"/>
          <w:szCs w:val="20"/>
          <w:color w:val="454546"/>
        </w:rPr>
      </w:pPr>
      <w:r>
        <w:rPr>
          <w:rFonts w:ascii="Times New Roman" w:cs="Times New Roman" w:eastAsia="Times New Roman" w:hAnsi="Times New Roman"/>
          <w:sz w:val="20"/>
          <w:szCs w:val="20"/>
          <w:color w:val="454546"/>
        </w:rPr>
        <w:t>maintain, develop, expand, enforce, defend and protect our intellectual property portfolio; and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50"/>
        </w:numPr>
        <w:rPr>
          <w:rFonts w:ascii="Arial" w:cs="Arial" w:eastAsia="Arial" w:hAnsi="Arial"/>
          <w:sz w:val="20"/>
          <w:szCs w:val="20"/>
          <w:color w:val="454546"/>
        </w:rPr>
      </w:pPr>
      <w:r>
        <w:rPr>
          <w:rFonts w:ascii="Times New Roman" w:cs="Times New Roman" w:eastAsia="Times New Roman" w:hAnsi="Times New Roman"/>
          <w:sz w:val="20"/>
          <w:szCs w:val="20"/>
          <w:color w:val="454546"/>
        </w:rPr>
        <w:t>continue to operate as a public company.</w:t>
      </w:r>
    </w:p>
    <w:p>
      <w:pPr>
        <w:spacing w:after="0" w:line="229"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454546"/>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Annual Report on Form 10-K.</w:t>
      </w:r>
    </w:p>
    <w:p>
      <w:pPr>
        <w:spacing w:after="0" w:line="59"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454546"/>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Cash Flows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The following table summarizes our cash flows for each of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3"/>
          </w:tcPr>
          <w:p>
            <w:pPr>
              <w:jc w:val="center"/>
              <w:ind w:left="49"/>
              <w:spacing w:after="0"/>
              <w:rPr>
                <w:sz w:val="20"/>
                <w:szCs w:val="20"/>
                <w:color w:val="auto"/>
              </w:rPr>
            </w:pPr>
            <w:r>
              <w:rPr>
                <w:rFonts w:ascii="Times New Roman" w:cs="Times New Roman" w:eastAsia="Times New Roman" w:hAnsi="Times New Roman"/>
                <w:sz w:val="16"/>
                <w:szCs w:val="16"/>
                <w:b w:val="1"/>
                <w:bCs w:val="1"/>
                <w:color w:val="454546"/>
                <w:w w:val="99"/>
              </w:rPr>
              <w:t>Year Ended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5660" w:type="dxa"/>
            <w:vAlign w:val="bottom"/>
          </w:tcPr>
          <w:p>
            <w:pPr>
              <w:spacing w:after="0"/>
              <w:rPr>
                <w:sz w:val="17"/>
                <w:szCs w:val="17"/>
                <w:color w:val="auto"/>
              </w:rPr>
            </w:pPr>
          </w:p>
        </w:tc>
        <w:tc>
          <w:tcPr>
            <w:tcW w:w="1020" w:type="dxa"/>
            <w:vAlign w:val="bottom"/>
            <w:tcBorders>
              <w:bottom w:val="single" w:sz="8" w:color="454546"/>
            </w:tcBorders>
          </w:tcPr>
          <w:p>
            <w:pPr>
              <w:spacing w:after="0"/>
              <w:rPr>
                <w:sz w:val="17"/>
                <w:szCs w:val="17"/>
                <w:color w:val="auto"/>
              </w:rPr>
            </w:pPr>
          </w:p>
        </w:tc>
        <w:tc>
          <w:tcPr>
            <w:tcW w:w="1440" w:type="dxa"/>
            <w:vAlign w:val="bottom"/>
            <w:tcBorders>
              <w:bottom w:val="single" w:sz="8" w:color="454546"/>
            </w:tcBorders>
            <w:gridSpan w:val="3"/>
          </w:tcPr>
          <w:p>
            <w:pPr>
              <w:jc w:val="center"/>
              <w:ind w:left="49"/>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16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5660" w:type="dxa"/>
            <w:vAlign w:val="bottom"/>
          </w:tcPr>
          <w:p>
            <w:pPr>
              <w:spacing w:after="0"/>
              <w:rPr>
                <w:sz w:val="15"/>
                <w:szCs w:val="15"/>
                <w:color w:val="auto"/>
              </w:rPr>
            </w:pPr>
          </w:p>
        </w:tc>
        <w:tc>
          <w:tcPr>
            <w:tcW w:w="1020" w:type="dxa"/>
            <w:vAlign w:val="bottom"/>
            <w:tcBorders>
              <w:bottom w:val="single" w:sz="8" w:color="454546"/>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454546"/>
              </w:rPr>
              <w:t>2025</w:t>
            </w:r>
          </w:p>
        </w:tc>
        <w:tc>
          <w:tcPr>
            <w:tcW w:w="660" w:type="dxa"/>
            <w:vAlign w:val="bottom"/>
            <w:tcBorders>
              <w:bottom w:val="single" w:sz="8" w:color="454546"/>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454546"/>
            </w:tcBorders>
          </w:tcPr>
          <w:p>
            <w:pPr>
              <w:spacing w:after="0"/>
              <w:rPr>
                <w:sz w:val="15"/>
                <w:szCs w:val="15"/>
                <w:color w:val="auto"/>
              </w:rPr>
            </w:pPr>
          </w:p>
        </w:tc>
        <w:tc>
          <w:tcPr>
            <w:tcW w:w="1160" w:type="dxa"/>
            <w:vAlign w:val="bottom"/>
            <w:tcBorders>
              <w:bottom w:val="single" w:sz="8" w:color="454546"/>
            </w:tcBorders>
          </w:tcPr>
          <w:p>
            <w:pPr>
              <w:jc w:val="right"/>
              <w:ind w:right="584"/>
              <w:spacing w:after="0" w:line="179" w:lineRule="exact"/>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69"/>
              <w:spacing w:after="0" w:line="179" w:lineRule="exact"/>
              <w:rPr>
                <w:sz w:val="20"/>
                <w:szCs w:val="20"/>
                <w:color w:val="auto"/>
              </w:rPr>
            </w:pPr>
            <w:r>
              <w:rPr>
                <w:rFonts w:ascii="Times New Roman" w:cs="Times New Roman" w:eastAsia="Times New Roman" w:hAnsi="Times New Roman"/>
                <w:sz w:val="16"/>
                <w:szCs w:val="16"/>
                <w:b w:val="1"/>
                <w:bCs w:val="1"/>
                <w:color w:val="454546"/>
              </w:rPr>
              <w:t>(In</w:t>
            </w:r>
          </w:p>
        </w:tc>
        <w:tc>
          <w:tcPr>
            <w:tcW w:w="780" w:type="dxa"/>
            <w:vAlign w:val="bottom"/>
            <w:gridSpan w:val="2"/>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454546"/>
                <w:w w:val="82"/>
              </w:rPr>
              <w:t>thousands)</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56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Net cash provided by (used in):</w:t>
            </w:r>
          </w:p>
        </w:tc>
        <w:tc>
          <w:tcPr>
            <w:tcW w:w="1020" w:type="dxa"/>
            <w:vAlign w:val="bottom"/>
            <w:shd w:val="clear" w:color="auto" w:fill="E5E6E7"/>
          </w:tcPr>
          <w:p>
            <w:pPr>
              <w:spacing w:after="0"/>
              <w:rPr>
                <w:sz w:val="20"/>
                <w:szCs w:val="20"/>
                <w:color w:val="auto"/>
              </w:rPr>
            </w:pPr>
          </w:p>
        </w:tc>
        <w:tc>
          <w:tcPr>
            <w:tcW w:w="66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500" w:type="dxa"/>
            <w:vAlign w:val="bottom"/>
            <w:shd w:val="clear" w:color="auto" w:fill="E5E6E7"/>
          </w:tcPr>
          <w:p>
            <w:pPr>
              <w:spacing w:after="0"/>
              <w:rPr>
                <w:sz w:val="20"/>
                <w:szCs w:val="20"/>
                <w:color w:val="auto"/>
              </w:rPr>
            </w:pPr>
          </w:p>
        </w:tc>
        <w:tc>
          <w:tcPr>
            <w:tcW w:w="116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30"/>
        </w:trPr>
        <w:tc>
          <w:tcPr>
            <w:tcW w:w="566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Operating activities</w:t>
            </w:r>
          </w:p>
        </w:tc>
        <w:tc>
          <w:tcPr>
            <w:tcW w:w="1020" w:type="dxa"/>
            <w:vAlign w:val="bottom"/>
          </w:tcPr>
          <w:p>
            <w:pPr>
              <w:jc w:val="right"/>
              <w:ind w:right="827"/>
              <w:spacing w:after="0"/>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(68,264)</w:t>
            </w:r>
          </w:p>
        </w:tc>
        <w:tc>
          <w:tcPr>
            <w:tcW w:w="500" w:type="dxa"/>
            <w:vAlign w:val="bottom"/>
          </w:tcPr>
          <w:p>
            <w:pPr>
              <w:jc w:val="center"/>
              <w:ind w:right="300"/>
              <w:spacing w:after="0"/>
              <w:rPr>
                <w:sz w:val="20"/>
                <w:szCs w:val="20"/>
                <w:color w:val="auto"/>
              </w:rPr>
            </w:pPr>
            <w:r>
              <w:rPr>
                <w:rFonts w:ascii="Times New Roman" w:cs="Times New Roman" w:eastAsia="Times New Roman" w:hAnsi="Times New Roman"/>
                <w:sz w:val="20"/>
                <w:szCs w:val="20"/>
                <w:color w:val="454546"/>
                <w:w w:val="9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(90,501)</w:t>
            </w:r>
          </w:p>
        </w:tc>
      </w:tr>
      <w:tr>
        <w:trPr>
          <w:trHeight w:val="230"/>
        </w:trPr>
        <w:tc>
          <w:tcPr>
            <w:tcW w:w="56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Investing activities</w:t>
            </w:r>
          </w:p>
        </w:tc>
        <w:tc>
          <w:tcPr>
            <w:tcW w:w="1020" w:type="dxa"/>
            <w:vAlign w:val="bottom"/>
            <w:shd w:val="clear" w:color="auto" w:fill="E5E6E7"/>
          </w:tcPr>
          <w:p>
            <w:pPr>
              <w:spacing w:after="0"/>
              <w:rPr>
                <w:sz w:val="20"/>
                <w:szCs w:val="20"/>
                <w:color w:val="auto"/>
              </w:rPr>
            </w:pPr>
          </w:p>
        </w:tc>
        <w:tc>
          <w:tcPr>
            <w:tcW w:w="9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54546"/>
              </w:rPr>
              <w:t>56,083</w:t>
            </w:r>
          </w:p>
        </w:tc>
        <w:tc>
          <w:tcPr>
            <w:tcW w:w="500" w:type="dxa"/>
            <w:vAlign w:val="bottom"/>
            <w:shd w:val="clear" w:color="auto" w:fill="E5E6E7"/>
          </w:tcPr>
          <w:p>
            <w:pPr>
              <w:spacing w:after="0"/>
              <w:rPr>
                <w:sz w:val="20"/>
                <w:szCs w:val="20"/>
                <w:color w:val="auto"/>
              </w:rPr>
            </w:pPr>
          </w:p>
        </w:tc>
        <w:tc>
          <w:tcPr>
            <w:tcW w:w="124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1,131</w:t>
            </w:r>
          </w:p>
        </w:tc>
      </w:tr>
      <w:tr>
        <w:trPr>
          <w:trHeight w:val="230"/>
        </w:trPr>
        <w:tc>
          <w:tcPr>
            <w:tcW w:w="566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Financing activities</w:t>
            </w:r>
          </w:p>
        </w:tc>
        <w:tc>
          <w:tcPr>
            <w:tcW w:w="10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54546"/>
                <w:w w:val="98"/>
              </w:rPr>
              <w:t>108,405</w:t>
            </w:r>
          </w:p>
        </w:tc>
        <w:tc>
          <w:tcPr>
            <w:tcW w:w="5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47,749</w:t>
            </w:r>
          </w:p>
        </w:tc>
      </w:tr>
      <w:tr>
        <w:trPr>
          <w:trHeight w:val="225"/>
        </w:trPr>
        <w:tc>
          <w:tcPr>
            <w:tcW w:w="5660" w:type="dxa"/>
            <w:vAlign w:val="bottom"/>
            <w:tcBorders>
              <w:top w:val="single" w:sz="8" w:color="E5E6E7"/>
            </w:tcBorders>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454546"/>
              </w:rPr>
              <w:t>Net change in cash, cash equivalents and restricted cash</w:t>
            </w:r>
          </w:p>
        </w:tc>
        <w:tc>
          <w:tcPr>
            <w:tcW w:w="1020" w:type="dxa"/>
            <w:vAlign w:val="bottom"/>
            <w:tcBorders>
              <w:top w:val="single" w:sz="8" w:color="454546"/>
              <w:bottom w:val="single" w:sz="8" w:color="454546"/>
            </w:tcBorders>
            <w:shd w:val="clear" w:color="auto" w:fill="E5E6E7"/>
          </w:tcPr>
          <w:p>
            <w:pPr>
              <w:jc w:val="right"/>
              <w:ind w:right="827"/>
              <w:spacing w:after="0" w:line="225" w:lineRule="exact"/>
              <w:rPr>
                <w:sz w:val="20"/>
                <w:szCs w:val="20"/>
                <w:color w:val="auto"/>
              </w:rPr>
            </w:pPr>
            <w:r>
              <w:rPr>
                <w:rFonts w:ascii="Times New Roman" w:cs="Times New Roman" w:eastAsia="Times New Roman" w:hAnsi="Times New Roman"/>
                <w:sz w:val="20"/>
                <w:szCs w:val="20"/>
                <w:color w:val="454546"/>
                <w:w w:val="79"/>
              </w:rPr>
              <w:t>$</w:t>
            </w:r>
          </w:p>
        </w:tc>
        <w:tc>
          <w:tcPr>
            <w:tcW w:w="660" w:type="dxa"/>
            <w:vAlign w:val="bottom"/>
            <w:tcBorders>
              <w:top w:val="single" w:sz="8" w:color="454546"/>
              <w:bottom w:val="single" w:sz="8" w:color="454546"/>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454546"/>
              </w:rPr>
              <w:t>96,224</w:t>
            </w:r>
          </w:p>
        </w:tc>
        <w:tc>
          <w:tcPr>
            <w:tcW w:w="280" w:type="dxa"/>
            <w:vAlign w:val="bottom"/>
            <w:tcBorders>
              <w:top w:val="single" w:sz="8" w:color="E5E6E7"/>
            </w:tcBorders>
            <w:shd w:val="clear" w:color="auto" w:fill="E5E6E7"/>
          </w:tcPr>
          <w:p>
            <w:pPr>
              <w:spacing w:after="0"/>
              <w:rPr>
                <w:sz w:val="19"/>
                <w:szCs w:val="19"/>
                <w:color w:val="auto"/>
              </w:rPr>
            </w:pPr>
          </w:p>
        </w:tc>
        <w:tc>
          <w:tcPr>
            <w:tcW w:w="500" w:type="dxa"/>
            <w:vAlign w:val="bottom"/>
            <w:tcBorders>
              <w:top w:val="single" w:sz="8" w:color="454546"/>
              <w:bottom w:val="single" w:sz="8" w:color="454546"/>
            </w:tcBorders>
            <w:shd w:val="clear" w:color="auto" w:fill="E5E6E7"/>
          </w:tcPr>
          <w:p>
            <w:pPr>
              <w:jc w:val="center"/>
              <w:ind w:right="300"/>
              <w:spacing w:after="0" w:line="225" w:lineRule="exact"/>
              <w:rPr>
                <w:sz w:val="20"/>
                <w:szCs w:val="20"/>
                <w:color w:val="auto"/>
              </w:rPr>
            </w:pPr>
            <w:r>
              <w:rPr>
                <w:rFonts w:ascii="Times New Roman" w:cs="Times New Roman" w:eastAsia="Times New Roman" w:hAnsi="Times New Roman"/>
                <w:sz w:val="20"/>
                <w:szCs w:val="20"/>
                <w:color w:val="454546"/>
                <w:w w:val="99"/>
              </w:rPr>
              <w:t>$</w:t>
            </w:r>
          </w:p>
        </w:tc>
        <w:tc>
          <w:tcPr>
            <w:tcW w:w="1160" w:type="dxa"/>
            <w:vAlign w:val="bottom"/>
            <w:tcBorders>
              <w:top w:val="single" w:sz="8" w:color="454546"/>
              <w:bottom w:val="single" w:sz="8" w:color="454546"/>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454546"/>
              </w:rPr>
              <w:t>(41,621)</w:t>
            </w:r>
          </w:p>
        </w:tc>
        <w:tc>
          <w:tcPr>
            <w:tcW w:w="80" w:type="dxa"/>
            <w:vAlign w:val="bottom"/>
            <w:tcBorders>
              <w:top w:val="single" w:sz="8" w:color="E5E6E7"/>
            </w:tcBorders>
            <w:shd w:val="clear" w:color="auto" w:fill="E5E6E7"/>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020" w:type="dxa"/>
            <w:vAlign w:val="bottom"/>
            <w:tcBorders>
              <w:bottom w:val="single" w:sz="8" w:color="454546"/>
            </w:tcBorders>
          </w:tcPr>
          <w:p>
            <w:pPr>
              <w:spacing w:after="0" w:line="20" w:lineRule="exact"/>
              <w:rPr>
                <w:sz w:val="1"/>
                <w:szCs w:val="1"/>
                <w:color w:val="auto"/>
              </w:rPr>
            </w:pPr>
          </w:p>
        </w:tc>
        <w:tc>
          <w:tcPr>
            <w:tcW w:w="660" w:type="dxa"/>
            <w:vAlign w:val="bottom"/>
            <w:tcBorders>
              <w:bottom w:val="single" w:sz="8" w:color="45454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454546"/>
            </w:tcBorders>
          </w:tcPr>
          <w:p>
            <w:pPr>
              <w:spacing w:after="0" w:line="20" w:lineRule="exact"/>
              <w:rPr>
                <w:sz w:val="1"/>
                <w:szCs w:val="1"/>
                <w:color w:val="auto"/>
              </w:rPr>
            </w:pPr>
          </w:p>
        </w:tc>
        <w:tc>
          <w:tcPr>
            <w:tcW w:w="11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Operating Activities</w:t>
      </w:r>
    </w:p>
    <w:p>
      <w:pPr>
        <w:spacing w:after="0" w:line="120"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454546"/>
        </w:rPr>
        <w:t>Net cash used in operating activities for the year ended December 31, 2025 was $68.3 million, which consisted primarily of a net loss of $90.6 million and a net change in operating assets and liabilities of $2.5 million, partially offset by $24.0 million in non-cash charges. The change in net operating assets and liabilities was primarily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104</w:t>
      </w:r>
    </w:p>
    <w:p>
      <w:pPr>
        <w:sectPr>
          <w:pgSz w:w="12240" w:h="15840" w:orient="portrait"/>
          <w:cols w:equalWidth="0" w:num="1">
            <w:col w:w="9360"/>
          </w:cols>
          <w:pgMar w:left="1440" w:top="1434" w:right="1440" w:bottom="175" w:gutter="0" w:footer="0" w:header="0"/>
          <w:type w:val="continuous"/>
        </w:sectPr>
      </w:pPr>
    </w:p>
    <w:bookmarkStart w:id="106" w:name="page107"/>
    <w:bookmarkEnd w:id="106"/>
    <w:p>
      <w:pPr>
        <w:ind w:right="40"/>
        <w:spacing w:after="0" w:line="258" w:lineRule="auto"/>
        <w:rPr>
          <w:sz w:val="20"/>
          <w:szCs w:val="20"/>
          <w:color w:val="auto"/>
        </w:rPr>
      </w:pPr>
      <w:r>
        <w:rPr>
          <w:rFonts w:ascii="Times New Roman" w:cs="Times New Roman" w:eastAsia="Times New Roman" w:hAnsi="Times New Roman"/>
          <w:sz w:val="20"/>
          <w:szCs w:val="20"/>
          <w:color w:val="454546"/>
        </w:rPr>
        <w:t>due to a decrease in operating lease liabilities of $2.8 million. Cash flows from operations are generally impacted by the timing of payments to vendors and vendor payment terms. The non-cash charges primarily consisted of stock-based compensation of $13.0 million and depreciation and amortization of $8.4 million.</w:t>
      </w:r>
    </w:p>
    <w:p>
      <w:pPr>
        <w:spacing w:after="0" w:line="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Net cash used in operating activities for the year ended December 31, 2024 was $90.5 million, which consisted primarily of a net loss of $111.1 million and a net change in operating assets and liabilities of $7.9 million, partially offset by $27.3 million in non-cash charges. The change in net operating assets and liabilities was primarily due to a decrease in accounts payable and accrued expenses and other current liabilities of $5.3 million and a decrease in operating lease liabilities of $4.1 million. Cash flows from operations are generally impacted by the timing of payments to vendors and vendor payment terms. The non-cash charges primarily consisted of stock-based compensation of $16.5 million and depreciation and amortization of $8.5 million.</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Investing Activities</w:t>
      </w:r>
    </w:p>
    <w:p>
      <w:pPr>
        <w:spacing w:after="0" w:line="120" w:lineRule="exact"/>
        <w:rPr>
          <w:sz w:val="20"/>
          <w:szCs w:val="20"/>
          <w:color w:val="auto"/>
        </w:rPr>
      </w:pPr>
    </w:p>
    <w:p>
      <w:pPr>
        <w:jc w:val="both"/>
        <w:ind w:right="320" w:firstLine="490"/>
        <w:spacing w:after="0" w:line="258" w:lineRule="auto"/>
        <w:rPr>
          <w:sz w:val="20"/>
          <w:szCs w:val="20"/>
          <w:color w:val="auto"/>
        </w:rPr>
      </w:pPr>
      <w:r>
        <w:rPr>
          <w:rFonts w:ascii="Times New Roman" w:cs="Times New Roman" w:eastAsia="Times New Roman" w:hAnsi="Times New Roman"/>
          <w:sz w:val="20"/>
          <w:szCs w:val="20"/>
          <w:color w:val="454546"/>
        </w:rPr>
        <w:t>Net cash provided by investing activities for the year ended December 31, 2025 was $56.1 million, which consisted primarily of proceeds from maturities of marketable securities of $45.7 million and sales of marketable securities of $11.0 million.</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Net cash provided by investing activities for the year ended December 31, 2024 was $1.1 million, which consisted primarily of proceeds from maturities of marketable securities of $81.2 million and proceeds from sales of marketable securities of $8.0 million, partially offset by purchases of marketable securities of $87.1 million.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Financing Activities</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Net cash provided by financing activities for the year ended December 31, 2025 was $108.4 million, which primarily consisted of net proceeds from our March 2025 and December 2025 follow-on offerings of $105.1 million.</w:t>
      </w:r>
    </w:p>
    <w:p>
      <w:pPr>
        <w:spacing w:after="0" w:line="49"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454546"/>
        </w:rPr>
        <w:t>Net cash provided by financing activities for the year ended December 31, 2024 was $47.7 million, which primarily consisted of net proceeds from our February 2024 follow-on offering of $46.8 million.</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Contractual and Other Obligations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We lease office space for our corporate headquarters in South San Francisco under a lease that expires in November 2027. We expect to pay rent of approximately $2.5 million during 2026 for this lease. We also lease a manufacturing facility in Union City under a lease that expires in July 2031. We expect to pay rent of approximately $1.4 million in 2026 for this lease. As of December 31, 2025, undiscounted future minimum lease payments of $4.8 million and $8.3 million remain on the South San Francisco and Union City leases, respectively.</w:t>
      </w:r>
    </w:p>
    <w:p>
      <w:pPr>
        <w:spacing w:after="0" w:line="77"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7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Off-Balance Sheet Arrangements</w:t>
      </w:r>
    </w:p>
    <w:p>
      <w:pPr>
        <w:spacing w:after="0" w:line="124"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454546"/>
        </w:rPr>
        <w:t>Since inception, we have not engaged in any off-balance sheet arrangements as defined in the rules and regulations of the SEC.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Accounting Policies and Estimates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105</w:t>
      </w:r>
    </w:p>
    <w:p>
      <w:pPr>
        <w:sectPr>
          <w:pgSz w:w="12240" w:h="15840" w:orient="portrait"/>
          <w:cols w:equalWidth="0" w:num="1">
            <w:col w:w="9360"/>
          </w:cols>
          <w:pgMar w:left="1440" w:top="1420" w:right="1440" w:bottom="175" w:gutter="0" w:footer="0" w:header="0"/>
          <w:type w:val="continuous"/>
        </w:sectPr>
      </w:pPr>
    </w:p>
    <w:bookmarkStart w:id="107" w:name="page108"/>
    <w:bookmarkEnd w:id="107"/>
    <w:p>
      <w:pPr>
        <w:ind w:right="100"/>
        <w:spacing w:after="0" w:line="277" w:lineRule="auto"/>
        <w:rPr>
          <w:sz w:val="20"/>
          <w:szCs w:val="20"/>
          <w:color w:val="auto"/>
        </w:rPr>
      </w:pPr>
      <w:r>
        <w:rPr>
          <w:rFonts w:ascii="Times New Roman" w:cs="Times New Roman" w:eastAsia="Times New Roman" w:hAnsi="Times New Roman"/>
          <w:sz w:val="20"/>
          <w:szCs w:val="20"/>
          <w:color w:val="454546"/>
        </w:rPr>
        <w:t>basis for making judgments about the carrying value of assets and liabilities that are not readily apparent from other sources. Actual results may differ from these estimates under different assumptions or conditions.</w:t>
      </w:r>
    </w:p>
    <w:p>
      <w:pPr>
        <w:spacing w:after="0" w:line="4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Expenses</w:t>
      </w:r>
    </w:p>
    <w:p>
      <w:pPr>
        <w:spacing w:after="0" w:line="120"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454546"/>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spacing w:after="0" w:line="8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spacing w:after="0" w:line="77"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For purposes of determining the estimated fair value of options granted to employees and non-employees, we use the Black-Scholes option pricing model, which requires the use of highly subjective assumptions. These assumptions include:</w:t>
      </w:r>
    </w:p>
    <w:p>
      <w:pPr>
        <w:spacing w:after="0" w:line="83" w:lineRule="exact"/>
        <w:rPr>
          <w:sz w:val="20"/>
          <w:szCs w:val="20"/>
          <w:color w:val="auto"/>
        </w:rPr>
      </w:pPr>
    </w:p>
    <w:p>
      <w:pPr>
        <w:ind w:left="840" w:right="240" w:hanging="480"/>
        <w:spacing w:after="0" w:line="276" w:lineRule="auto"/>
        <w:tabs>
          <w:tab w:leader="none" w:pos="840" w:val="left"/>
        </w:tabs>
        <w:numPr>
          <w:ilvl w:val="0"/>
          <w:numId w:val="51"/>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Fair Value of Common Stock</w:t>
      </w:r>
      <w:r>
        <w:rPr>
          <w:rFonts w:ascii="Times New Roman" w:cs="Times New Roman" w:eastAsia="Times New Roman" w:hAnsi="Times New Roman"/>
          <w:sz w:val="20"/>
          <w:szCs w:val="20"/>
          <w:color w:val="454546"/>
        </w:rPr>
        <w:t>—The grant date fair value of common stock was determined by using the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closing price per share of common stock as reported on the Nasdaq Global Select Market.</w:t>
      </w:r>
    </w:p>
    <w:p>
      <w:pPr>
        <w:spacing w:after="0" w:line="64" w:lineRule="exact"/>
        <w:rPr>
          <w:rFonts w:ascii="Arial" w:cs="Arial" w:eastAsia="Arial" w:hAnsi="Arial"/>
          <w:sz w:val="20"/>
          <w:szCs w:val="20"/>
          <w:color w:val="454546"/>
        </w:rPr>
      </w:pPr>
    </w:p>
    <w:p>
      <w:pPr>
        <w:ind w:left="840" w:right="240" w:hanging="480"/>
        <w:spacing w:after="0" w:line="258" w:lineRule="auto"/>
        <w:tabs>
          <w:tab w:leader="none" w:pos="840" w:val="left"/>
        </w:tabs>
        <w:numPr>
          <w:ilvl w:val="0"/>
          <w:numId w:val="51"/>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Expected Term</w:t>
      </w:r>
      <w:r>
        <w:rPr>
          <w:rFonts w:ascii="Times New Roman" w:cs="Times New Roman" w:eastAsia="Times New Roman" w:hAnsi="Times New Roman"/>
          <w:sz w:val="20"/>
          <w:szCs w:val="20"/>
          <w:color w:val="454546"/>
        </w:rPr>
        <w:t>—We determine the expected term, which represents the period that stock-based awards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are expected to be outstanding, in accordance with the simplified method, which is presumed to be the mid-point between the contractual term and the vesting term.</w:t>
      </w:r>
    </w:p>
    <w:p>
      <w:pPr>
        <w:spacing w:after="0" w:line="81" w:lineRule="exact"/>
        <w:rPr>
          <w:rFonts w:ascii="Arial" w:cs="Arial" w:eastAsia="Arial" w:hAnsi="Arial"/>
          <w:sz w:val="20"/>
          <w:szCs w:val="20"/>
          <w:color w:val="454546"/>
        </w:rPr>
      </w:pPr>
    </w:p>
    <w:p>
      <w:pPr>
        <w:ind w:left="840" w:right="180" w:hanging="480"/>
        <w:spacing w:after="0" w:line="247" w:lineRule="auto"/>
        <w:tabs>
          <w:tab w:leader="none" w:pos="840" w:val="left"/>
        </w:tabs>
        <w:numPr>
          <w:ilvl w:val="0"/>
          <w:numId w:val="51"/>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Expected Volatility</w:t>
      </w:r>
      <w:r>
        <w:rPr>
          <w:rFonts w:ascii="Times New Roman" w:cs="Times New Roman" w:eastAsia="Times New Roman" w:hAnsi="Times New Roman"/>
          <w:sz w:val="20"/>
          <w:szCs w:val="20"/>
          <w:color w:val="454546"/>
        </w:rPr>
        <w:t>— As we have limited trading history of our common stock, we have determined our</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computation of expected volatility on 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spacing w:after="0" w:line="93" w:lineRule="exact"/>
        <w:rPr>
          <w:rFonts w:ascii="Arial" w:cs="Arial" w:eastAsia="Arial" w:hAnsi="Arial"/>
          <w:sz w:val="20"/>
          <w:szCs w:val="20"/>
          <w:color w:val="454546"/>
        </w:rPr>
      </w:pPr>
    </w:p>
    <w:p>
      <w:pPr>
        <w:ind w:left="840" w:right="60" w:hanging="480"/>
        <w:spacing w:after="0" w:line="276" w:lineRule="auto"/>
        <w:tabs>
          <w:tab w:leader="none" w:pos="840" w:val="left"/>
        </w:tabs>
        <w:numPr>
          <w:ilvl w:val="0"/>
          <w:numId w:val="51"/>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Risk-Free Interest Rate</w:t>
      </w:r>
      <w:r>
        <w:rPr>
          <w:rFonts w:ascii="Times New Roman" w:cs="Times New Roman" w:eastAsia="Times New Roman" w:hAnsi="Times New Roman"/>
          <w:sz w:val="20"/>
          <w:szCs w:val="20"/>
          <w:color w:val="454546"/>
        </w:rPr>
        <w:t>—We base the risk-free interest rate on U.S. Treasury zero coupon issues in effect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at the time of grant for periods corresponding with the expected term assumption.</w:t>
      </w:r>
    </w:p>
    <w:p>
      <w:pPr>
        <w:spacing w:after="0" w:line="64" w:lineRule="exact"/>
        <w:rPr>
          <w:rFonts w:ascii="Arial" w:cs="Arial" w:eastAsia="Arial" w:hAnsi="Arial"/>
          <w:sz w:val="20"/>
          <w:szCs w:val="20"/>
          <w:color w:val="454546"/>
        </w:rPr>
      </w:pPr>
    </w:p>
    <w:p>
      <w:pPr>
        <w:ind w:left="840" w:right="180" w:hanging="480"/>
        <w:spacing w:after="0" w:line="276" w:lineRule="auto"/>
        <w:tabs>
          <w:tab w:leader="none" w:pos="840" w:val="left"/>
        </w:tabs>
        <w:numPr>
          <w:ilvl w:val="0"/>
          <w:numId w:val="51"/>
        </w:numPr>
        <w:rPr>
          <w:rFonts w:ascii="Arial" w:cs="Arial" w:eastAsia="Arial" w:hAnsi="Arial"/>
          <w:sz w:val="20"/>
          <w:szCs w:val="20"/>
          <w:color w:val="454546"/>
        </w:rPr>
      </w:pPr>
      <w:r>
        <w:rPr>
          <w:rFonts w:ascii="Times New Roman" w:cs="Times New Roman" w:eastAsia="Times New Roman" w:hAnsi="Times New Roman"/>
          <w:sz w:val="20"/>
          <w:szCs w:val="20"/>
          <w:i w:val="1"/>
          <w:iCs w:val="1"/>
          <w:color w:val="454546"/>
        </w:rPr>
        <w:t>Expected Dividend</w:t>
      </w:r>
      <w:r>
        <w:rPr>
          <w:rFonts w:ascii="Times New Roman" w:cs="Times New Roman" w:eastAsia="Times New Roman" w:hAnsi="Times New Roman"/>
          <w:sz w:val="20"/>
          <w:szCs w:val="20"/>
          <w:color w:val="454546"/>
        </w:rPr>
        <w:t>—The expected dividend yield is assumed to be zero as we have never paid and have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no plans to pay dividends on our common stock.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106</w:t>
      </w:r>
    </w:p>
    <w:p>
      <w:pPr>
        <w:sectPr>
          <w:pgSz w:w="12240" w:h="15840" w:orient="portrait"/>
          <w:cols w:equalWidth="0" w:num="1">
            <w:col w:w="9360"/>
          </w:cols>
          <w:pgMar w:left="1440" w:top="1420" w:right="1440" w:bottom="175" w:gutter="0" w:footer="0" w:header="0"/>
          <w:type w:val="continuous"/>
        </w:sectPr>
      </w:pPr>
    </w:p>
    <w:bookmarkStart w:id="108" w:name="page109"/>
    <w:bookmarkEnd w:id="108"/>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See </w:t>
      </w:r>
      <w:r>
        <w:rPr>
          <w:rFonts w:ascii="Times New Roman" w:cs="Times New Roman" w:eastAsia="Times New Roman" w:hAnsi="Times New Roman"/>
          <w:sz w:val="20"/>
          <w:szCs w:val="20"/>
          <w:i w:val="1"/>
          <w:iCs w:val="1"/>
          <w:color w:val="454546"/>
        </w:rPr>
        <w:t>Note 8</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Stock-Based Compensation</w:t>
      </w:r>
      <w:r>
        <w:rPr>
          <w:rFonts w:ascii="Times New Roman" w:cs="Times New Roman" w:eastAsia="Times New Roman" w:hAnsi="Times New Roman"/>
          <w:sz w:val="20"/>
          <w:szCs w:val="20"/>
          <w:color w:val="454546"/>
        </w:rPr>
        <w:t xml:space="preserve"> to our financial statements for more information concerning certain of the specific assumptions we used in applying the Black-Scholes valuation model to determine the estimated fair value of our stock options.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Accounting Pronouncements</w:t>
      </w:r>
    </w:p>
    <w:p>
      <w:pPr>
        <w:spacing w:after="0" w:line="124"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See </w:t>
      </w:r>
      <w:r>
        <w:rPr>
          <w:rFonts w:ascii="Times New Roman" w:cs="Times New Roman" w:eastAsia="Times New Roman" w:hAnsi="Times New Roman"/>
          <w:sz w:val="20"/>
          <w:szCs w:val="20"/>
          <w:i w:val="1"/>
          <w:iCs w:val="1"/>
          <w:color w:val="454546"/>
        </w:rPr>
        <w:t>Note 2</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Summary of Significant Accounting Policies</w:t>
      </w:r>
      <w:r>
        <w:rPr>
          <w:rFonts w:ascii="Times New Roman" w:cs="Times New Roman" w:eastAsia="Times New Roman" w:hAnsi="Times New Roman"/>
          <w:sz w:val="20"/>
          <w:szCs w:val="20"/>
          <w:color w:val="454546"/>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Emerging Growth Company and Smaller Reporting Company Status</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7"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454546"/>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7A. Quantitative and Qualitative Disclosures About Market Risk.</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We are a smaller reporting company, as defined by Rule 12b-2 under the Exchange Act and in Item 10(f)(1) of Regulation S-K, and are not required to provide the information under this item.</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107</w:t>
      </w:r>
    </w:p>
    <w:p>
      <w:pPr>
        <w:sectPr>
          <w:pgSz w:w="12240" w:h="15840" w:orient="portrait"/>
          <w:cols w:equalWidth="0" w:num="1">
            <w:col w:w="9360"/>
          </w:cols>
          <w:pgMar w:left="1440" w:top="1420" w:right="1440" w:bottom="175"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74"/>
        </w:trPr>
        <w:tc>
          <w:tcPr>
            <w:tcW w:w="856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Item 8. Financial Statements and Supplementary Data.</w:t>
            </w:r>
          </w:p>
        </w:tc>
        <w:tc>
          <w:tcPr>
            <w:tcW w:w="780" w:type="dxa"/>
            <w:vAlign w:val="bottom"/>
          </w:tcPr>
          <w:p>
            <w:pPr>
              <w:spacing w:after="0"/>
              <w:rPr>
                <w:sz w:val="23"/>
                <w:szCs w:val="23"/>
                <w:color w:val="auto"/>
              </w:rPr>
            </w:pPr>
          </w:p>
        </w:tc>
      </w:tr>
      <w:tr>
        <w:trPr>
          <w:trHeight w:val="470"/>
        </w:trPr>
        <w:tc>
          <w:tcPr>
            <w:tcW w:w="856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454546"/>
              </w:rPr>
              <w:t>INDEX TO FINANCIAL STATEMENTS</w:t>
            </w:r>
          </w:p>
        </w:tc>
        <w:tc>
          <w:tcPr>
            <w:tcW w:w="780" w:type="dxa"/>
            <w:vAlign w:val="bottom"/>
          </w:tcPr>
          <w:p>
            <w:pPr>
              <w:spacing w:after="0"/>
              <w:rPr>
                <w:sz w:val="24"/>
                <w:szCs w:val="24"/>
                <w:color w:val="auto"/>
              </w:rPr>
            </w:pPr>
          </w:p>
        </w:tc>
      </w:tr>
      <w:tr>
        <w:trPr>
          <w:trHeight w:val="601"/>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Report of Independent Registered Public Accounting Firm (PCAOB ID No. 34)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109</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Balance Sheets as of December 31,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110</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Statements of Operations and Comprehensive Loss for the years ended December 31,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111</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Statements of Stockholders’ Equity for the years ended December 31,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112</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Statements of Cash Flows for the years ended December 31,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113</w:t>
            </w:r>
          </w:p>
        </w:tc>
      </w:tr>
      <w:tr>
        <w:trPr>
          <w:trHeight w:val="398"/>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454546"/>
              </w:rPr>
              <w:t>Notes to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-1429385</wp:posOffset>
            </wp:positionV>
            <wp:extent cx="5943600" cy="1419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5943600" cy="1419225"/>
                    </a:xfrm>
                    <a:prstGeom prst="rect">
                      <a:avLst/>
                    </a:prstGeom>
                    <a:noFill/>
                  </pic:spPr>
                </pic:pic>
              </a:graphicData>
            </a:graphic>
          </wp:anchor>
        </w:drawing>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108</w:t>
      </w:r>
    </w:p>
    <w:p>
      <w:pPr>
        <w:sectPr>
          <w:pgSz w:w="12240" w:h="15840" w:orient="portrait"/>
          <w:cols w:equalWidth="0" w:num="1">
            <w:col w:w="9360"/>
          </w:cols>
          <w:pgMar w:left="1440" w:top="1416" w:right="1440" w:bottom="175" w:gutter="0" w:footer="0" w:header="0"/>
          <w:type w:val="continuous"/>
        </w:sectPr>
      </w:pPr>
    </w:p>
    <w:bookmarkStart w:id="110" w:name="page111"/>
    <w:bookmarkEnd w:id="110"/>
    <w:p>
      <w:pPr>
        <w:ind w:left="1260"/>
        <w:spacing w:after="0"/>
        <w:rPr>
          <w:sz w:val="20"/>
          <w:szCs w:val="20"/>
          <w:color w:val="auto"/>
        </w:rPr>
      </w:pPr>
      <w:r>
        <w:rPr>
          <w:rFonts w:ascii="Times New Roman" w:cs="Times New Roman" w:eastAsia="Times New Roman" w:hAnsi="Times New Roman"/>
          <w:sz w:val="20"/>
          <w:szCs w:val="20"/>
          <w:b w:val="1"/>
          <w:bCs w:val="1"/>
          <w:color w:val="454546"/>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To the stockholders and the Board of Directors of Tenaya Therapeutics,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Opinion on the Financial Statements</w:t>
      </w:r>
    </w:p>
    <w:p>
      <w:pPr>
        <w:spacing w:after="0" w:line="24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454546"/>
        </w:rPr>
        <w:t>We have audited the accompanying balance sheets of Tenaya Therapeutics, Inc. (the "Company") as of December 31, 2025 and 2024, the related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Basis for Opinion</w:t>
      </w:r>
    </w:p>
    <w:p>
      <w:pPr>
        <w:spacing w:after="0" w:line="24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454546"/>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454546"/>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454546"/>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Deloitte &amp; Touche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March 11,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We have served as the Company's auditor since 2019.</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109</w:t>
      </w:r>
    </w:p>
    <w:p>
      <w:pPr>
        <w:sectPr>
          <w:pgSz w:w="12240" w:h="15840" w:orient="portrait"/>
          <w:cols w:equalWidth="0" w:num="1">
            <w:col w:w="9360"/>
          </w:cols>
          <w:pgMar w:left="1440" w:top="1416" w:right="1440" w:bottom="175"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1700" w:type="dxa"/>
            <w:vAlign w:val="bottom"/>
            <w:tcBorders>
              <w:bottom w:val="single" w:sz="8" w:color="45454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94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340" w:type="dxa"/>
            <w:vAlign w:val="bottom"/>
            <w:tcBorders>
              <w:bottom w:val="single" w:sz="8" w:color="E5E6E7"/>
            </w:tcBorders>
          </w:tcPr>
          <w:p>
            <w:pPr>
              <w:spacing w:after="0"/>
              <w:rPr>
                <w:sz w:val="16"/>
                <w:szCs w:val="16"/>
                <w:color w:val="auto"/>
              </w:rPr>
            </w:pPr>
          </w:p>
        </w:tc>
        <w:tc>
          <w:tcPr>
            <w:tcW w:w="300" w:type="dxa"/>
            <w:vAlign w:val="bottom"/>
            <w:tcBorders>
              <w:bottom w:val="single" w:sz="8" w:color="454546"/>
            </w:tcBorders>
          </w:tcPr>
          <w:p>
            <w:pPr>
              <w:spacing w:after="0"/>
              <w:rPr>
                <w:sz w:val="16"/>
                <w:szCs w:val="16"/>
                <w:color w:val="auto"/>
              </w:rPr>
            </w:pPr>
          </w:p>
        </w:tc>
        <w:tc>
          <w:tcPr>
            <w:tcW w:w="1040" w:type="dxa"/>
            <w:vAlign w:val="bottom"/>
            <w:tcBorders>
              <w:bottom w:val="single" w:sz="8" w:color="454546"/>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160" w:type="dxa"/>
            <w:vAlign w:val="bottom"/>
            <w:tcBorders>
              <w:bottom w:val="single" w:sz="8" w:color="E5E6E7"/>
            </w:tcBorders>
          </w:tcPr>
          <w:p>
            <w:pPr>
              <w:spacing w:after="0"/>
              <w:rPr>
                <w:sz w:val="16"/>
                <w:szCs w:val="16"/>
                <w:color w:val="auto"/>
              </w:rPr>
            </w:pPr>
          </w:p>
        </w:tc>
        <w:tc>
          <w:tcPr>
            <w:tcW w:w="100" w:type="dxa"/>
            <w:vAlign w:val="bottom"/>
            <w:tcBorders>
              <w:bottom w:val="single" w:sz="8" w:color="E5E6E7"/>
            </w:tcBorders>
          </w:tcPr>
          <w:p>
            <w:pPr>
              <w:spacing w:after="0"/>
              <w:rPr>
                <w:sz w:val="16"/>
                <w:szCs w:val="16"/>
                <w:color w:val="auto"/>
              </w:rPr>
            </w:pPr>
          </w:p>
        </w:tc>
        <w:tc>
          <w:tcPr>
            <w:tcW w:w="400" w:type="dxa"/>
            <w:vAlign w:val="bottom"/>
            <w:tcBorders>
              <w:bottom w:val="single" w:sz="8" w:color="454546"/>
            </w:tcBorders>
          </w:tcPr>
          <w:p>
            <w:pPr>
              <w:spacing w:after="0"/>
              <w:rPr>
                <w:sz w:val="16"/>
                <w:szCs w:val="16"/>
                <w:color w:val="auto"/>
              </w:rPr>
            </w:pPr>
          </w:p>
        </w:tc>
        <w:tc>
          <w:tcPr>
            <w:tcW w:w="940" w:type="dxa"/>
            <w:vAlign w:val="bottom"/>
            <w:tcBorders>
              <w:bottom w:val="single" w:sz="8" w:color="454546"/>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5E6E7"/>
            </w:tcBorders>
          </w:tcPr>
          <w:p>
            <w:pPr>
              <w:spacing w:after="0"/>
              <w:rPr>
                <w:sz w:val="16"/>
                <w:szCs w:val="16"/>
                <w:color w:val="auto"/>
              </w:rPr>
            </w:pPr>
          </w:p>
        </w:tc>
      </w:tr>
      <w:tr>
        <w:trPr>
          <w:trHeight w:val="239"/>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300" w:type="dxa"/>
            <w:vAlign w:val="bottom"/>
            <w:shd w:val="clear" w:color="auto" w:fill="E5E6E7"/>
          </w:tcPr>
          <w:p>
            <w:pPr>
              <w:spacing w:after="0"/>
              <w:rPr>
                <w:sz w:val="20"/>
                <w:szCs w:val="20"/>
                <w:color w:val="auto"/>
              </w:rPr>
            </w:pPr>
          </w:p>
        </w:tc>
        <w:tc>
          <w:tcPr>
            <w:tcW w:w="104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40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454546"/>
              </w:rPr>
              <w:t>Current assets: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100,547</w:t>
            </w:r>
          </w:p>
        </w:tc>
        <w:tc>
          <w:tcPr>
            <w:tcW w:w="160" w:type="dxa"/>
            <w:vAlign w:val="bottom"/>
            <w:shd w:val="clear" w:color="auto" w:fill="E5E6E7"/>
          </w:tcPr>
          <w:p>
            <w:pPr>
              <w:spacing w:after="0"/>
              <w:rPr>
                <w:sz w:val="21"/>
                <w:szCs w:val="21"/>
                <w:color w:val="auto"/>
              </w:rPr>
            </w:pPr>
          </w:p>
        </w:tc>
        <w:tc>
          <w:tcPr>
            <w:tcW w:w="50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4,323</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Short-term investments in marketable securities</w:t>
            </w:r>
          </w:p>
        </w:tc>
        <w:tc>
          <w:tcPr>
            <w:tcW w:w="3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57,123</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Prepaid expenses and other current assets</w:t>
            </w:r>
          </w:p>
        </w:tc>
        <w:tc>
          <w:tcPr>
            <w:tcW w:w="300" w:type="dxa"/>
            <w:vAlign w:val="bottom"/>
            <w:tcBorders>
              <w:bottom w:val="single" w:sz="8" w:color="454546"/>
            </w:tcBorders>
            <w:shd w:val="clear" w:color="auto" w:fill="E5E6E7"/>
          </w:tcPr>
          <w:p>
            <w:pPr>
              <w:spacing w:after="0"/>
              <w:rPr>
                <w:sz w:val="21"/>
                <w:szCs w:val="21"/>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5,039</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400" w:type="dxa"/>
            <w:vAlign w:val="bottom"/>
            <w:tcBorders>
              <w:bottom w:val="single" w:sz="8" w:color="454546"/>
            </w:tcBorders>
            <w:shd w:val="clear" w:color="auto" w:fill="E5E6E7"/>
          </w:tcPr>
          <w:p>
            <w:pPr>
              <w:spacing w:after="0"/>
              <w:rPr>
                <w:sz w:val="21"/>
                <w:szCs w:val="21"/>
                <w:color w:val="auto"/>
              </w:rPr>
            </w:pPr>
          </w:p>
        </w:tc>
        <w:tc>
          <w:tcPr>
            <w:tcW w:w="9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5,929</w:t>
            </w:r>
          </w:p>
        </w:tc>
        <w:tc>
          <w:tcPr>
            <w:tcW w:w="80" w:type="dxa"/>
            <w:vAlign w:val="bottom"/>
            <w:shd w:val="clear" w:color="auto" w:fill="E5E6E7"/>
          </w:tcPr>
          <w:p>
            <w:pPr>
              <w:spacing w:after="0"/>
              <w:rPr>
                <w:sz w:val="21"/>
                <w:szCs w:val="21"/>
                <w:color w:val="auto"/>
              </w:rPr>
            </w:pPr>
          </w:p>
        </w:tc>
      </w:tr>
      <w:tr>
        <w:trPr>
          <w:trHeight w:val="239"/>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Total current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105,586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67,375</w:t>
            </w:r>
          </w:p>
        </w:tc>
        <w:tc>
          <w:tcPr>
            <w:tcW w:w="80" w:type="dxa"/>
            <w:vAlign w:val="bottom"/>
          </w:tcPr>
          <w:p>
            <w:pPr>
              <w:spacing w:after="0"/>
              <w:rPr>
                <w:sz w:val="20"/>
                <w:szCs w:val="20"/>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Property and equipment, net</w:t>
            </w:r>
          </w:p>
        </w:tc>
        <w:tc>
          <w:tcPr>
            <w:tcW w:w="3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27,672</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35,858</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454546"/>
              </w:rPr>
              <w:t>Operating lease right-of-use 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9,417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11,890</w:t>
            </w:r>
          </w:p>
        </w:tc>
        <w:tc>
          <w:tcPr>
            <w:tcW w:w="80" w:type="dxa"/>
            <w:vAlign w:val="bottom"/>
          </w:tcPr>
          <w:p>
            <w:pPr>
              <w:spacing w:after="0"/>
              <w:rPr>
                <w:sz w:val="21"/>
                <w:szCs w:val="21"/>
                <w:color w:val="auto"/>
              </w:rPr>
            </w:pPr>
          </w:p>
        </w:tc>
      </w:tr>
      <w:tr>
        <w:trPr>
          <w:trHeight w:val="264"/>
        </w:trPr>
        <w:tc>
          <w:tcPr>
            <w:tcW w:w="634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noncurrent assets</w:t>
            </w:r>
          </w:p>
        </w:tc>
        <w:tc>
          <w:tcPr>
            <w:tcW w:w="300" w:type="dxa"/>
            <w:vAlign w:val="bottom"/>
            <w:tcBorders>
              <w:bottom w:val="single" w:sz="8" w:color="454546"/>
            </w:tcBorders>
            <w:shd w:val="clear" w:color="auto" w:fill="E5E6E7"/>
          </w:tcPr>
          <w:p>
            <w:pPr>
              <w:spacing w:after="0"/>
              <w:rPr>
                <w:sz w:val="22"/>
                <w:szCs w:val="22"/>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4,246</w:t>
            </w:r>
          </w:p>
        </w:tc>
        <w:tc>
          <w:tcPr>
            <w:tcW w:w="16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400" w:type="dxa"/>
            <w:vAlign w:val="bottom"/>
            <w:tcBorders>
              <w:bottom w:val="single" w:sz="8" w:color="454546"/>
            </w:tcBorders>
            <w:shd w:val="clear" w:color="auto" w:fill="E5E6E7"/>
          </w:tcPr>
          <w:p>
            <w:pPr>
              <w:spacing w:after="0"/>
              <w:rPr>
                <w:sz w:val="22"/>
                <w:szCs w:val="22"/>
                <w:color w:val="auto"/>
              </w:rPr>
            </w:pPr>
          </w:p>
        </w:tc>
        <w:tc>
          <w:tcPr>
            <w:tcW w:w="9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4,817</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59"/>
        </w:trPr>
        <w:tc>
          <w:tcPr>
            <w:tcW w:w="6340" w:type="dxa"/>
            <w:vAlign w:val="bottom"/>
            <w:tcBorders>
              <w:bottom w:val="single" w:sz="8" w:color="E5E6E7"/>
            </w:tcBorders>
          </w:tcPr>
          <w:p>
            <w:pPr>
              <w:ind w:left="200"/>
              <w:spacing w:after="0" w:line="219" w:lineRule="exact"/>
              <w:rPr>
                <w:sz w:val="20"/>
                <w:szCs w:val="20"/>
                <w:color w:val="auto"/>
              </w:rPr>
            </w:pPr>
            <w:r>
              <w:rPr>
                <w:rFonts w:ascii="Times New Roman" w:cs="Times New Roman" w:eastAsia="Times New Roman" w:hAnsi="Times New Roman"/>
                <w:sz w:val="20"/>
                <w:szCs w:val="20"/>
                <w:color w:val="454546"/>
              </w:rPr>
              <w:t>Total assets</w:t>
            </w:r>
          </w:p>
        </w:tc>
        <w:tc>
          <w:tcPr>
            <w:tcW w:w="300" w:type="dxa"/>
            <w:vAlign w:val="bottom"/>
            <w:tcBorders>
              <w:bottom w:val="single" w:sz="8" w:color="454546"/>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146,921</w:t>
            </w:r>
          </w:p>
        </w:tc>
        <w:tc>
          <w:tcPr>
            <w:tcW w:w="160" w:type="dxa"/>
            <w:vAlign w:val="bottom"/>
            <w:tcBorders>
              <w:bottom w:val="single" w:sz="8" w:color="E5E6E7"/>
            </w:tcBorders>
          </w:tcPr>
          <w:p>
            <w:pPr>
              <w:spacing w:after="0"/>
              <w:rPr>
                <w:sz w:val="22"/>
                <w:szCs w:val="22"/>
                <w:color w:val="auto"/>
              </w:rPr>
            </w:pPr>
          </w:p>
        </w:tc>
        <w:tc>
          <w:tcPr>
            <w:tcW w:w="100" w:type="dxa"/>
            <w:vAlign w:val="bottom"/>
            <w:tcBorders>
              <w:bottom w:val="single" w:sz="8" w:color="E5E6E7"/>
            </w:tcBorders>
          </w:tcPr>
          <w:p>
            <w:pPr>
              <w:spacing w:after="0"/>
              <w:rPr>
                <w:sz w:val="22"/>
                <w:szCs w:val="22"/>
                <w:color w:val="auto"/>
              </w:rPr>
            </w:pPr>
          </w:p>
        </w:tc>
        <w:tc>
          <w:tcPr>
            <w:tcW w:w="400" w:type="dxa"/>
            <w:vAlign w:val="bottom"/>
            <w:tcBorders>
              <w:bottom w:val="single" w:sz="8" w:color="454546"/>
            </w:tcBorders>
          </w:tcPr>
          <w:p>
            <w:pPr>
              <w:jc w:val="right"/>
              <w:ind w:right="200"/>
              <w:spacing w:after="0" w:line="219" w:lineRule="exact"/>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tcBorders>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119,940</w:t>
            </w:r>
          </w:p>
        </w:tc>
        <w:tc>
          <w:tcPr>
            <w:tcW w:w="80" w:type="dxa"/>
            <w:vAlign w:val="bottom"/>
            <w:tcBorders>
              <w:bottom w:val="single" w:sz="8" w:color="E5E6E7"/>
            </w:tcBorders>
          </w:tcPr>
          <w:p>
            <w:pPr>
              <w:spacing w:after="0"/>
              <w:rPr>
                <w:sz w:val="22"/>
                <w:szCs w:val="22"/>
                <w:color w:val="auto"/>
              </w:rPr>
            </w:pPr>
          </w:p>
        </w:tc>
      </w:tr>
      <w:tr>
        <w:trPr>
          <w:trHeight w:val="229"/>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LIABILITIES AND STOCKHOLDERS’ EQUITY</w:t>
            </w:r>
          </w:p>
        </w:tc>
        <w:tc>
          <w:tcPr>
            <w:tcW w:w="300" w:type="dxa"/>
            <w:vAlign w:val="bottom"/>
            <w:shd w:val="clear" w:color="auto" w:fill="E5E6E7"/>
          </w:tcPr>
          <w:p>
            <w:pPr>
              <w:spacing w:after="0"/>
              <w:rPr>
                <w:sz w:val="19"/>
                <w:szCs w:val="19"/>
                <w:color w:val="auto"/>
              </w:rPr>
            </w:pPr>
          </w:p>
        </w:tc>
        <w:tc>
          <w:tcPr>
            <w:tcW w:w="10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40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454546"/>
              </w:rPr>
              <w:t>Current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Accounts payable</w:t>
            </w: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3,581</w:t>
            </w:r>
          </w:p>
        </w:tc>
        <w:tc>
          <w:tcPr>
            <w:tcW w:w="160" w:type="dxa"/>
            <w:vAlign w:val="bottom"/>
            <w:shd w:val="clear" w:color="auto" w:fill="E5E6E7"/>
          </w:tcPr>
          <w:p>
            <w:pPr>
              <w:spacing w:after="0"/>
              <w:rPr>
                <w:sz w:val="21"/>
                <w:szCs w:val="21"/>
                <w:color w:val="auto"/>
              </w:rPr>
            </w:pPr>
          </w:p>
        </w:tc>
        <w:tc>
          <w:tcPr>
            <w:tcW w:w="50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5,162</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Accrued and other current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8,835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8,035</w:t>
            </w:r>
          </w:p>
        </w:tc>
        <w:tc>
          <w:tcPr>
            <w:tcW w:w="80" w:type="dxa"/>
            <w:vAlign w:val="bottom"/>
          </w:tcPr>
          <w:p>
            <w:pPr>
              <w:spacing w:after="0"/>
              <w:rPr>
                <w:sz w:val="21"/>
                <w:szCs w:val="21"/>
                <w:color w:val="auto"/>
              </w:rPr>
            </w:pPr>
          </w:p>
        </w:tc>
      </w:tr>
      <w:tr>
        <w:trPr>
          <w:trHeight w:val="264"/>
        </w:trPr>
        <w:tc>
          <w:tcPr>
            <w:tcW w:w="6340" w:type="dxa"/>
            <w:vAlign w:val="bottom"/>
            <w:tcBorders>
              <w:bottom w:val="single" w:sz="8" w:color="E5E6E7"/>
            </w:tcBorders>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Operating lease liabilities, current</w:t>
            </w:r>
          </w:p>
        </w:tc>
        <w:tc>
          <w:tcPr>
            <w:tcW w:w="300" w:type="dxa"/>
            <w:vAlign w:val="bottom"/>
            <w:tcBorders>
              <w:bottom w:val="single" w:sz="8" w:color="454546"/>
            </w:tcBorders>
            <w:shd w:val="clear" w:color="auto" w:fill="E5E6E7"/>
          </w:tcPr>
          <w:p>
            <w:pPr>
              <w:spacing w:after="0"/>
              <w:rPr>
                <w:sz w:val="22"/>
                <w:szCs w:val="22"/>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3,020</w:t>
            </w:r>
          </w:p>
        </w:tc>
        <w:tc>
          <w:tcPr>
            <w:tcW w:w="16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400" w:type="dxa"/>
            <w:vAlign w:val="bottom"/>
            <w:tcBorders>
              <w:bottom w:val="single" w:sz="8" w:color="454546"/>
            </w:tcBorders>
            <w:shd w:val="clear" w:color="auto" w:fill="E5E6E7"/>
          </w:tcPr>
          <w:p>
            <w:pPr>
              <w:spacing w:after="0"/>
              <w:rPr>
                <w:sz w:val="22"/>
                <w:szCs w:val="22"/>
                <w:color w:val="auto"/>
              </w:rPr>
            </w:pPr>
          </w:p>
        </w:tc>
        <w:tc>
          <w:tcPr>
            <w:tcW w:w="9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2,778</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19"/>
        </w:trPr>
        <w:tc>
          <w:tcPr>
            <w:tcW w:w="63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454546"/>
              </w:rPr>
              <w:t>Total current liabilities</w:t>
            </w:r>
          </w:p>
        </w:tc>
        <w:tc>
          <w:tcPr>
            <w:tcW w:w="300" w:type="dxa"/>
            <w:vAlign w:val="bottom"/>
          </w:tcPr>
          <w:p>
            <w:pPr>
              <w:spacing w:after="0"/>
              <w:rPr>
                <w:sz w:val="19"/>
                <w:szCs w:val="19"/>
                <w:color w:val="auto"/>
              </w:rPr>
            </w:pP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454546"/>
              </w:rPr>
              <w:t>15,436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454546"/>
              </w:rPr>
              <w:t>15,975</w:t>
            </w:r>
          </w:p>
        </w:tc>
        <w:tc>
          <w:tcPr>
            <w:tcW w:w="80" w:type="dxa"/>
            <w:vAlign w:val="bottom"/>
          </w:tcPr>
          <w:p>
            <w:pPr>
              <w:spacing w:after="0"/>
              <w:rPr>
                <w:sz w:val="19"/>
                <w:szCs w:val="19"/>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Operating lease liabilities, noncurrent</w:t>
            </w:r>
          </w:p>
        </w:tc>
        <w:tc>
          <w:tcPr>
            <w:tcW w:w="3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7,810</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10,830</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Other noncurrent liabilities</w:t>
            </w:r>
          </w:p>
        </w:tc>
        <w:tc>
          <w:tcPr>
            <w:tcW w:w="300" w:type="dxa"/>
            <w:vAlign w:val="bottom"/>
            <w:tcBorders>
              <w:bottom w:val="single" w:sz="8" w:color="454546"/>
            </w:tcBorders>
          </w:tcPr>
          <w:p>
            <w:pPr>
              <w:spacing w:after="0"/>
              <w:rPr>
                <w:sz w:val="21"/>
                <w:szCs w:val="21"/>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410</w:t>
            </w:r>
          </w:p>
        </w:tc>
        <w:tc>
          <w:tcPr>
            <w:tcW w:w="160" w:type="dxa"/>
            <w:vAlign w:val="bottom"/>
            <w:tcBorders>
              <w:bottom w:val="single" w:sz="8" w:color="E5E6E7"/>
            </w:tcBorders>
          </w:tcPr>
          <w:p>
            <w:pPr>
              <w:spacing w:after="0"/>
              <w:rPr>
                <w:sz w:val="21"/>
                <w:szCs w:val="21"/>
                <w:color w:val="auto"/>
              </w:rPr>
            </w:pPr>
          </w:p>
        </w:tc>
        <w:tc>
          <w:tcPr>
            <w:tcW w:w="100" w:type="dxa"/>
            <w:vAlign w:val="bottom"/>
            <w:tcBorders>
              <w:bottom w:val="single" w:sz="8" w:color="E5E6E7"/>
            </w:tcBorders>
          </w:tcPr>
          <w:p>
            <w:pPr>
              <w:spacing w:after="0"/>
              <w:rPr>
                <w:sz w:val="21"/>
                <w:szCs w:val="21"/>
                <w:color w:val="auto"/>
              </w:rPr>
            </w:pPr>
          </w:p>
        </w:tc>
        <w:tc>
          <w:tcPr>
            <w:tcW w:w="400" w:type="dxa"/>
            <w:vAlign w:val="bottom"/>
            <w:tcBorders>
              <w:bottom w:val="single" w:sz="8" w:color="454546"/>
            </w:tcBorders>
          </w:tcPr>
          <w:p>
            <w:pPr>
              <w:spacing w:after="0"/>
              <w:rPr>
                <w:sz w:val="21"/>
                <w:szCs w:val="21"/>
                <w:color w:val="auto"/>
              </w:rPr>
            </w:pPr>
          </w:p>
        </w:tc>
        <w:tc>
          <w:tcPr>
            <w:tcW w:w="9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281</w:t>
            </w:r>
          </w:p>
        </w:tc>
        <w:tc>
          <w:tcPr>
            <w:tcW w:w="80" w:type="dxa"/>
            <w:vAlign w:val="bottom"/>
            <w:tcBorders>
              <w:bottom w:val="single" w:sz="8" w:color="E5E6E7"/>
            </w:tcBorders>
          </w:tcPr>
          <w:p>
            <w:pPr>
              <w:spacing w:after="0"/>
              <w:rPr>
                <w:sz w:val="21"/>
                <w:szCs w:val="21"/>
                <w:color w:val="auto"/>
              </w:rPr>
            </w:pPr>
          </w:p>
        </w:tc>
      </w:tr>
      <w:tr>
        <w:trPr>
          <w:trHeight w:val="239"/>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Total liabilities</w:t>
            </w:r>
          </w:p>
        </w:tc>
        <w:tc>
          <w:tcPr>
            <w:tcW w:w="300" w:type="dxa"/>
            <w:vAlign w:val="bottom"/>
            <w:shd w:val="clear" w:color="auto" w:fill="E5E6E7"/>
          </w:tcPr>
          <w:p>
            <w:pPr>
              <w:spacing w:after="0"/>
              <w:rPr>
                <w:sz w:val="20"/>
                <w:szCs w:val="20"/>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23,656</w:t>
            </w: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400" w:type="dxa"/>
            <w:vAlign w:val="bottom"/>
            <w:shd w:val="clear" w:color="auto" w:fill="E5E6E7"/>
          </w:tcPr>
          <w:p>
            <w:pPr>
              <w:spacing w:after="0"/>
              <w:rPr>
                <w:sz w:val="20"/>
                <w:szCs w:val="20"/>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27,086</w:t>
            </w:r>
          </w:p>
        </w:tc>
        <w:tc>
          <w:tcPr>
            <w:tcW w:w="80" w:type="dxa"/>
            <w:vAlign w:val="bottom"/>
            <w:shd w:val="clear" w:color="auto" w:fill="E5E6E7"/>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454546"/>
              </w:rPr>
              <w:t>Commitments and contingencies (Note 4)</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Stockholders’ equity:</w:t>
            </w:r>
          </w:p>
        </w:tc>
        <w:tc>
          <w:tcPr>
            <w:tcW w:w="30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24"/>
        </w:trPr>
        <w:tc>
          <w:tcPr>
            <w:tcW w:w="63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454546"/>
              </w:rPr>
              <w:t>Preferred stock, $0.0001 par value; 200,000,000 shares authorized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454546"/>
              </w:rPr>
              <w:t>as of December 31, 2025 and 2024; no shares issued and outstanding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454546"/>
              </w:rPr>
              <w:t>as of December 31, 2025 and 2024</w:t>
            </w:r>
          </w:p>
        </w:tc>
        <w:tc>
          <w:tcPr>
            <w:tcW w:w="3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r>
      <w:tr>
        <w:trPr>
          <w:trHeight w:val="224"/>
        </w:trPr>
        <w:tc>
          <w:tcPr>
            <w:tcW w:w="6340" w:type="dxa"/>
            <w:vAlign w:val="bottom"/>
            <w:shd w:val="clear" w:color="auto" w:fill="E5E6E7"/>
          </w:tcPr>
          <w:p>
            <w:pPr>
              <w:spacing w:after="0" w:line="225" w:lineRule="exact"/>
              <w:rPr>
                <w:sz w:val="20"/>
                <w:szCs w:val="20"/>
                <w:color w:val="auto"/>
              </w:rPr>
            </w:pPr>
            <w:r>
              <w:rPr>
                <w:rFonts w:ascii="Times New Roman" w:cs="Times New Roman" w:eastAsia="Times New Roman" w:hAnsi="Times New Roman"/>
                <w:sz w:val="20"/>
                <w:szCs w:val="20"/>
                <w:color w:val="454546"/>
              </w:rPr>
              <w:t>Common stock, $0.0001 par value; 1,000,000,000 shares authorized</w:t>
            </w:r>
          </w:p>
        </w:tc>
        <w:tc>
          <w:tcPr>
            <w:tcW w:w="300" w:type="dxa"/>
            <w:vAlign w:val="bottom"/>
            <w:shd w:val="clear" w:color="auto" w:fill="E5E6E7"/>
          </w:tcPr>
          <w:p>
            <w:pPr>
              <w:spacing w:after="0"/>
              <w:rPr>
                <w:sz w:val="19"/>
                <w:szCs w:val="19"/>
                <w:color w:val="auto"/>
              </w:rPr>
            </w:pPr>
          </w:p>
        </w:tc>
        <w:tc>
          <w:tcPr>
            <w:tcW w:w="10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40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30"/>
        </w:trPr>
        <w:tc>
          <w:tcPr>
            <w:tcW w:w="6340" w:type="dxa"/>
            <w:vAlign w:val="bottom"/>
            <w:shd w:val="clear" w:color="auto" w:fill="E5E6E7"/>
          </w:tcPr>
          <w:p>
            <w:pPr>
              <w:ind w:left="160"/>
              <w:spacing w:after="0"/>
              <w:rPr>
                <w:sz w:val="20"/>
                <w:szCs w:val="20"/>
                <w:color w:val="auto"/>
              </w:rPr>
            </w:pPr>
            <w:r>
              <w:rPr>
                <w:rFonts w:ascii="Times New Roman" w:cs="Times New Roman" w:eastAsia="Times New Roman" w:hAnsi="Times New Roman"/>
                <w:sz w:val="20"/>
                <w:szCs w:val="20"/>
                <w:color w:val="454546"/>
              </w:rPr>
              <w:t>as of December 31, 2025 and 2024; 216,760,283 and 86,542,340</w:t>
            </w:r>
          </w:p>
        </w:tc>
        <w:tc>
          <w:tcPr>
            <w:tcW w:w="300" w:type="dxa"/>
            <w:vAlign w:val="bottom"/>
            <w:shd w:val="clear" w:color="auto" w:fill="E5E6E7"/>
          </w:tcPr>
          <w:p>
            <w:pPr>
              <w:spacing w:after="0"/>
              <w:rPr>
                <w:sz w:val="20"/>
                <w:szCs w:val="20"/>
                <w:color w:val="auto"/>
              </w:rPr>
            </w:pPr>
          </w:p>
        </w:tc>
        <w:tc>
          <w:tcPr>
            <w:tcW w:w="104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40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50"/>
        </w:trPr>
        <w:tc>
          <w:tcPr>
            <w:tcW w:w="6340" w:type="dxa"/>
            <w:vAlign w:val="bottom"/>
            <w:shd w:val="clear" w:color="auto" w:fill="E5E6E7"/>
          </w:tcPr>
          <w:p>
            <w:pPr>
              <w:ind w:left="160"/>
              <w:spacing w:after="0"/>
              <w:rPr>
                <w:sz w:val="20"/>
                <w:szCs w:val="20"/>
                <w:color w:val="auto"/>
              </w:rPr>
            </w:pPr>
            <w:r>
              <w:rPr>
                <w:rFonts w:ascii="Times New Roman" w:cs="Times New Roman" w:eastAsia="Times New Roman" w:hAnsi="Times New Roman"/>
                <w:sz w:val="20"/>
                <w:szCs w:val="20"/>
                <w:color w:val="454546"/>
              </w:rPr>
              <w:t>shares issued and outstanding as of December 31, 2025 and 2024</w:t>
            </w:r>
          </w:p>
        </w:tc>
        <w:tc>
          <w:tcPr>
            <w:tcW w:w="3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Additional paid-in capital</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728,252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607,229</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Accumulated other comprehensive income</w:t>
            </w:r>
          </w:p>
        </w:tc>
        <w:tc>
          <w:tcPr>
            <w:tcW w:w="300" w:type="dxa"/>
            <w:vAlign w:val="bottom"/>
            <w:shd w:val="clear" w:color="auto" w:fill="E5E6E7"/>
          </w:tcPr>
          <w:p>
            <w:pPr>
              <w:spacing w:after="0"/>
              <w:rPr>
                <w:sz w:val="21"/>
                <w:szCs w:val="21"/>
                <w:color w:val="auto"/>
              </w:rPr>
            </w:pPr>
          </w:p>
        </w:tc>
        <w:tc>
          <w:tcPr>
            <w:tcW w:w="12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28</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Accumulated deficit</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(605,008)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(514,411)</w:t>
            </w:r>
          </w:p>
        </w:tc>
      </w:tr>
      <w:tr>
        <w:trPr>
          <w:trHeight w:val="259"/>
        </w:trPr>
        <w:tc>
          <w:tcPr>
            <w:tcW w:w="634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Total stockholders’ equity</w:t>
            </w:r>
          </w:p>
        </w:tc>
        <w:tc>
          <w:tcPr>
            <w:tcW w:w="300" w:type="dxa"/>
            <w:vAlign w:val="bottom"/>
            <w:tcBorders>
              <w:top w:val="single" w:sz="8" w:color="454546"/>
              <w:bottom w:val="single" w:sz="8" w:color="454546"/>
            </w:tcBorders>
            <w:shd w:val="clear" w:color="auto" w:fill="E5E6E7"/>
          </w:tcPr>
          <w:p>
            <w:pPr>
              <w:spacing w:after="0"/>
              <w:rPr>
                <w:sz w:val="22"/>
                <w:szCs w:val="22"/>
                <w:color w:val="auto"/>
              </w:rPr>
            </w:pPr>
          </w:p>
        </w:tc>
        <w:tc>
          <w:tcPr>
            <w:tcW w:w="104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123,265</w:t>
            </w:r>
          </w:p>
        </w:tc>
        <w:tc>
          <w:tcPr>
            <w:tcW w:w="160" w:type="dxa"/>
            <w:vAlign w:val="bottom"/>
            <w:tcBorders>
              <w:top w:val="single" w:sz="8" w:color="E5E6E7"/>
              <w:bottom w:val="single" w:sz="8" w:color="E5E6E7"/>
            </w:tcBorders>
            <w:shd w:val="clear" w:color="auto" w:fill="E5E6E7"/>
          </w:tcPr>
          <w:p>
            <w:pPr>
              <w:spacing w:after="0"/>
              <w:rPr>
                <w:sz w:val="22"/>
                <w:szCs w:val="22"/>
                <w:color w:val="auto"/>
              </w:rPr>
            </w:pPr>
          </w:p>
        </w:tc>
        <w:tc>
          <w:tcPr>
            <w:tcW w:w="100" w:type="dxa"/>
            <w:vAlign w:val="bottom"/>
            <w:tcBorders>
              <w:top w:val="single" w:sz="8" w:color="E5E6E7"/>
              <w:bottom w:val="single" w:sz="8" w:color="E5E6E7"/>
            </w:tcBorders>
            <w:shd w:val="clear" w:color="auto" w:fill="E5E6E7"/>
          </w:tcPr>
          <w:p>
            <w:pPr>
              <w:spacing w:after="0"/>
              <w:rPr>
                <w:sz w:val="22"/>
                <w:szCs w:val="22"/>
                <w:color w:val="auto"/>
              </w:rPr>
            </w:pPr>
          </w:p>
        </w:tc>
        <w:tc>
          <w:tcPr>
            <w:tcW w:w="400" w:type="dxa"/>
            <w:vAlign w:val="bottom"/>
            <w:tcBorders>
              <w:top w:val="single" w:sz="8" w:color="454546"/>
              <w:bottom w:val="single" w:sz="8" w:color="454546"/>
            </w:tcBorders>
            <w:shd w:val="clear" w:color="auto" w:fill="E5E6E7"/>
          </w:tcPr>
          <w:p>
            <w:pPr>
              <w:spacing w:after="0"/>
              <w:rPr>
                <w:sz w:val="22"/>
                <w:szCs w:val="22"/>
                <w:color w:val="auto"/>
              </w:rPr>
            </w:pPr>
          </w:p>
        </w:tc>
        <w:tc>
          <w:tcPr>
            <w:tcW w:w="94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92,854</w:t>
            </w:r>
          </w:p>
        </w:tc>
        <w:tc>
          <w:tcPr>
            <w:tcW w:w="80" w:type="dxa"/>
            <w:vAlign w:val="bottom"/>
            <w:tcBorders>
              <w:top w:val="single" w:sz="8" w:color="E5E6E7"/>
              <w:bottom w:val="single" w:sz="8" w:color="E5E6E7"/>
            </w:tcBorders>
            <w:shd w:val="clear" w:color="auto" w:fill="E5E6E7"/>
          </w:tcPr>
          <w:p>
            <w:pPr>
              <w:spacing w:after="0"/>
              <w:rPr>
                <w:sz w:val="22"/>
                <w:szCs w:val="22"/>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454546"/>
              </w:rPr>
              <w:t>Total liabilities and stockholders’ equity</w:t>
            </w:r>
          </w:p>
        </w:tc>
        <w:tc>
          <w:tcPr>
            <w:tcW w:w="300" w:type="dxa"/>
            <w:vAlign w:val="bottom"/>
            <w:tcBorders>
              <w:bottom w:val="single" w:sz="8" w:color="454546"/>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146,921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454546"/>
            </w:tcBorders>
          </w:tcPr>
          <w:p>
            <w:pPr>
              <w:jc w:val="right"/>
              <w:ind w:right="200"/>
              <w:spacing w:after="0" w:line="219" w:lineRule="exact"/>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tcBorders>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119,940</w:t>
            </w: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454546"/>
            </w:tcBorders>
          </w:tcPr>
          <w:p>
            <w:pPr>
              <w:spacing w:after="0" w:line="20" w:lineRule="exact"/>
              <w:rPr>
                <w:sz w:val="1"/>
                <w:szCs w:val="1"/>
                <w:color w:val="auto"/>
              </w:rPr>
            </w:pPr>
          </w:p>
        </w:tc>
        <w:tc>
          <w:tcPr>
            <w:tcW w:w="94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110</w:t>
      </w:r>
    </w:p>
    <w:p>
      <w:pPr>
        <w:sectPr>
          <w:pgSz w:w="12240" w:h="15840" w:orient="portrait"/>
          <w:cols w:equalWidth="0" w:num="1">
            <w:col w:w="9360"/>
          </w:cols>
          <w:pgMar w:left="1440" w:top="1416" w:right="1440" w:bottom="175"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 except share and per share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0" w:type="dxa"/>
            <w:vAlign w:val="bottom"/>
          </w:tcPr>
          <w:p>
            <w:pPr>
              <w:spacing w:after="0"/>
              <w:rPr>
                <w:sz w:val="1"/>
                <w:szCs w:val="1"/>
                <w:color w:val="auto"/>
              </w:rPr>
            </w:pPr>
          </w:p>
        </w:tc>
      </w:tr>
      <w:tr>
        <w:trPr>
          <w:trHeight w:val="193"/>
        </w:trPr>
        <w:tc>
          <w:tcPr>
            <w:tcW w:w="6080" w:type="dxa"/>
            <w:vAlign w:val="bottom"/>
            <w:tcBorders>
              <w:bottom w:val="single" w:sz="8" w:color="E5E6E7"/>
            </w:tcBorders>
          </w:tcPr>
          <w:p>
            <w:pPr>
              <w:spacing w:after="0"/>
              <w:rPr>
                <w:sz w:val="16"/>
                <w:szCs w:val="16"/>
                <w:color w:val="auto"/>
              </w:rPr>
            </w:pPr>
          </w:p>
        </w:tc>
        <w:tc>
          <w:tcPr>
            <w:tcW w:w="260" w:type="dxa"/>
            <w:vAlign w:val="bottom"/>
            <w:tcBorders>
              <w:bottom w:val="single" w:sz="8" w:color="E5E6E7"/>
            </w:tcBorders>
          </w:tcPr>
          <w:p>
            <w:pPr>
              <w:spacing w:after="0"/>
              <w:rPr>
                <w:sz w:val="16"/>
                <w:szCs w:val="16"/>
                <w:color w:val="auto"/>
              </w:rPr>
            </w:pPr>
          </w:p>
        </w:tc>
        <w:tc>
          <w:tcPr>
            <w:tcW w:w="200" w:type="dxa"/>
            <w:vAlign w:val="bottom"/>
            <w:tcBorders>
              <w:top w:val="single" w:sz="8" w:color="454546"/>
              <w:bottom w:val="single" w:sz="8" w:color="454546"/>
            </w:tcBorders>
          </w:tcPr>
          <w:p>
            <w:pPr>
              <w:spacing w:after="0"/>
              <w:rPr>
                <w:sz w:val="16"/>
                <w:szCs w:val="16"/>
                <w:color w:val="auto"/>
              </w:rPr>
            </w:pPr>
          </w:p>
        </w:tc>
        <w:tc>
          <w:tcPr>
            <w:tcW w:w="1140" w:type="dxa"/>
            <w:vAlign w:val="bottom"/>
            <w:tcBorders>
              <w:top w:val="single" w:sz="8" w:color="454546"/>
              <w:bottom w:val="single" w:sz="8" w:color="454546"/>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160" w:type="dxa"/>
            <w:vAlign w:val="bottom"/>
            <w:tcBorders>
              <w:top w:val="single" w:sz="8" w:color="454546"/>
              <w:bottom w:val="single" w:sz="8" w:color="E5E6E7"/>
            </w:tcBorders>
          </w:tcPr>
          <w:p>
            <w:pPr>
              <w:spacing w:after="0"/>
              <w:rPr>
                <w:sz w:val="16"/>
                <w:szCs w:val="16"/>
                <w:color w:val="auto"/>
              </w:rPr>
            </w:pPr>
          </w:p>
        </w:tc>
        <w:tc>
          <w:tcPr>
            <w:tcW w:w="100" w:type="dxa"/>
            <w:vAlign w:val="bottom"/>
            <w:tcBorders>
              <w:top w:val="single" w:sz="8" w:color="454546"/>
              <w:bottom w:val="single" w:sz="8" w:color="E5E6E7"/>
            </w:tcBorders>
          </w:tcPr>
          <w:p>
            <w:pPr>
              <w:spacing w:after="0"/>
              <w:rPr>
                <w:sz w:val="16"/>
                <w:szCs w:val="16"/>
                <w:color w:val="auto"/>
              </w:rPr>
            </w:pPr>
          </w:p>
        </w:tc>
        <w:tc>
          <w:tcPr>
            <w:tcW w:w="260" w:type="dxa"/>
            <w:vAlign w:val="bottom"/>
            <w:tcBorders>
              <w:top w:val="single" w:sz="8" w:color="454546"/>
              <w:bottom w:val="single" w:sz="8" w:color="454546"/>
            </w:tcBorders>
          </w:tcPr>
          <w:p>
            <w:pPr>
              <w:spacing w:after="0"/>
              <w:rPr>
                <w:sz w:val="16"/>
                <w:szCs w:val="16"/>
                <w:color w:val="auto"/>
              </w:rPr>
            </w:pPr>
          </w:p>
        </w:tc>
        <w:tc>
          <w:tcPr>
            <w:tcW w:w="1080" w:type="dxa"/>
            <w:vAlign w:val="bottom"/>
            <w:tcBorders>
              <w:top w:val="single" w:sz="8" w:color="454546"/>
              <w:bottom w:val="single" w:sz="8" w:color="454546"/>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Operating expenses:</w:t>
            </w:r>
          </w:p>
        </w:tc>
        <w:tc>
          <w:tcPr>
            <w:tcW w:w="26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114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08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68,607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86,742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General and administrative</w:t>
            </w:r>
          </w:p>
        </w:tc>
        <w:tc>
          <w:tcPr>
            <w:tcW w:w="260" w:type="dxa"/>
            <w:vAlign w:val="bottom"/>
            <w:shd w:val="clear" w:color="auto" w:fill="E5E6E7"/>
          </w:tcPr>
          <w:p>
            <w:pPr>
              <w:spacing w:after="0"/>
              <w:rPr>
                <w:sz w:val="21"/>
                <w:szCs w:val="21"/>
                <w:color w:val="auto"/>
              </w:rPr>
            </w:pPr>
          </w:p>
        </w:tc>
        <w:tc>
          <w:tcPr>
            <w:tcW w:w="200" w:type="dxa"/>
            <w:vAlign w:val="bottom"/>
            <w:tcBorders>
              <w:bottom w:val="single" w:sz="8" w:color="454546"/>
            </w:tcBorders>
            <w:shd w:val="clear" w:color="auto" w:fill="E5E6E7"/>
          </w:tcPr>
          <w:p>
            <w:pPr>
              <w:spacing w:after="0"/>
              <w:rPr>
                <w:sz w:val="21"/>
                <w:szCs w:val="21"/>
                <w:color w:val="auto"/>
              </w:rPr>
            </w:pPr>
          </w:p>
        </w:tc>
        <w:tc>
          <w:tcPr>
            <w:tcW w:w="11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24,724</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60" w:type="dxa"/>
            <w:vAlign w:val="bottom"/>
            <w:tcBorders>
              <w:bottom w:val="single" w:sz="8" w:color="454546"/>
            </w:tcBorders>
            <w:shd w:val="clear" w:color="auto" w:fill="E5E6E7"/>
          </w:tcPr>
          <w:p>
            <w:pPr>
              <w:spacing w:after="0"/>
              <w:rPr>
                <w:sz w:val="21"/>
                <w:szCs w:val="21"/>
                <w:color w:val="auto"/>
              </w:rPr>
            </w:pP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29,206</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Total operating expenses</w:t>
            </w:r>
          </w:p>
        </w:tc>
        <w:tc>
          <w:tcPr>
            <w:tcW w:w="260" w:type="dxa"/>
            <w:vAlign w:val="bottom"/>
            <w:tcBorders>
              <w:bottom w:val="single" w:sz="8" w:color="E5E6E7"/>
            </w:tcBorders>
          </w:tcPr>
          <w:p>
            <w:pPr>
              <w:spacing w:after="0"/>
              <w:rPr>
                <w:sz w:val="20"/>
                <w:szCs w:val="20"/>
                <w:color w:val="auto"/>
              </w:rPr>
            </w:pPr>
          </w:p>
        </w:tc>
        <w:tc>
          <w:tcPr>
            <w:tcW w:w="20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93,331</w:t>
            </w:r>
          </w:p>
        </w:tc>
        <w:tc>
          <w:tcPr>
            <w:tcW w:w="160" w:type="dxa"/>
            <w:vAlign w:val="bottom"/>
            <w:tcBorders>
              <w:bottom w:val="single" w:sz="8" w:color="E5E6E7"/>
            </w:tcBorders>
          </w:tcPr>
          <w:p>
            <w:pPr>
              <w:spacing w:after="0"/>
              <w:rPr>
                <w:sz w:val="20"/>
                <w:szCs w:val="20"/>
                <w:color w:val="auto"/>
              </w:rPr>
            </w:pPr>
          </w:p>
        </w:tc>
        <w:tc>
          <w:tcPr>
            <w:tcW w:w="100" w:type="dxa"/>
            <w:vAlign w:val="bottom"/>
            <w:tcBorders>
              <w:bottom w:val="single" w:sz="8" w:color="E5E6E7"/>
            </w:tcBorders>
          </w:tcPr>
          <w:p>
            <w:pPr>
              <w:spacing w:after="0"/>
              <w:rPr>
                <w:sz w:val="20"/>
                <w:szCs w:val="20"/>
                <w:color w:val="auto"/>
              </w:rPr>
            </w:pPr>
          </w:p>
        </w:tc>
        <w:tc>
          <w:tcPr>
            <w:tcW w:w="260" w:type="dxa"/>
            <w:vAlign w:val="bottom"/>
            <w:tcBorders>
              <w:bottom w:val="single" w:sz="8" w:color="454546"/>
            </w:tcBorders>
          </w:tcPr>
          <w:p>
            <w:pPr>
              <w:spacing w:after="0"/>
              <w:rPr>
                <w:sz w:val="20"/>
                <w:szCs w:val="20"/>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115,948</w:t>
            </w:r>
          </w:p>
        </w:tc>
        <w:tc>
          <w:tcPr>
            <w:tcW w:w="80" w:type="dxa"/>
            <w:vAlign w:val="bottom"/>
            <w:tcBorders>
              <w:bottom w:val="single" w:sz="8" w:color="E5E6E7"/>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Loss from operations</w:t>
            </w:r>
          </w:p>
        </w:tc>
        <w:tc>
          <w:tcPr>
            <w:tcW w:w="26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(93,331)</w:t>
            </w: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(115,948)</w:t>
            </w: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Interest income</w:t>
            </w:r>
          </w:p>
        </w:tc>
        <w:tc>
          <w:tcPr>
            <w:tcW w:w="26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2,682</w:t>
            </w:r>
          </w:p>
        </w:tc>
        <w:tc>
          <w:tcPr>
            <w:tcW w:w="16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4,737</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454546"/>
              </w:rPr>
              <w:t>Other income, net</w:t>
            </w:r>
          </w:p>
        </w:tc>
        <w:tc>
          <w:tcPr>
            <w:tcW w:w="260" w:type="dxa"/>
            <w:vAlign w:val="bottom"/>
            <w:tcBorders>
              <w:bottom w:val="single" w:sz="8" w:color="E5E6E7"/>
            </w:tcBorders>
          </w:tcPr>
          <w:p>
            <w:pPr>
              <w:spacing w:after="0"/>
              <w:rPr>
                <w:sz w:val="21"/>
                <w:szCs w:val="21"/>
                <w:color w:val="auto"/>
              </w:rPr>
            </w:pPr>
          </w:p>
        </w:tc>
        <w:tc>
          <w:tcPr>
            <w:tcW w:w="200" w:type="dxa"/>
            <w:vAlign w:val="bottom"/>
            <w:tcBorders>
              <w:bottom w:val="single" w:sz="8" w:color="454546"/>
            </w:tcBorders>
          </w:tcPr>
          <w:p>
            <w:pPr>
              <w:spacing w:after="0"/>
              <w:rPr>
                <w:sz w:val="21"/>
                <w:szCs w:val="21"/>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52</w:t>
            </w:r>
          </w:p>
        </w:tc>
        <w:tc>
          <w:tcPr>
            <w:tcW w:w="160" w:type="dxa"/>
            <w:vAlign w:val="bottom"/>
            <w:tcBorders>
              <w:bottom w:val="single" w:sz="8" w:color="E5E6E7"/>
            </w:tcBorders>
          </w:tcPr>
          <w:p>
            <w:pPr>
              <w:spacing w:after="0"/>
              <w:rPr>
                <w:sz w:val="21"/>
                <w:szCs w:val="21"/>
                <w:color w:val="auto"/>
              </w:rPr>
            </w:pPr>
          </w:p>
        </w:tc>
        <w:tc>
          <w:tcPr>
            <w:tcW w:w="100" w:type="dxa"/>
            <w:vAlign w:val="bottom"/>
            <w:tcBorders>
              <w:bottom w:val="single" w:sz="8" w:color="E5E6E7"/>
            </w:tcBorders>
          </w:tcPr>
          <w:p>
            <w:pPr>
              <w:spacing w:after="0"/>
              <w:rPr>
                <w:sz w:val="21"/>
                <w:szCs w:val="21"/>
                <w:color w:val="auto"/>
              </w:rPr>
            </w:pPr>
          </w:p>
        </w:tc>
        <w:tc>
          <w:tcPr>
            <w:tcW w:w="260" w:type="dxa"/>
            <w:vAlign w:val="bottom"/>
            <w:tcBorders>
              <w:bottom w:val="single" w:sz="8" w:color="454546"/>
            </w:tcBorders>
          </w:tcPr>
          <w:p>
            <w:pPr>
              <w:spacing w:after="0"/>
              <w:rPr>
                <w:sz w:val="21"/>
                <w:szCs w:val="21"/>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82</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8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Total other income, net</w:t>
            </w:r>
          </w:p>
        </w:tc>
        <w:tc>
          <w:tcPr>
            <w:tcW w:w="260" w:type="dxa"/>
            <w:vAlign w:val="bottom"/>
            <w:tcBorders>
              <w:bottom w:val="single" w:sz="8" w:color="E5E6E7"/>
            </w:tcBorders>
            <w:shd w:val="clear" w:color="auto" w:fill="E5E6E7"/>
          </w:tcPr>
          <w:p>
            <w:pPr>
              <w:spacing w:after="0"/>
              <w:rPr>
                <w:sz w:val="22"/>
                <w:szCs w:val="22"/>
                <w:color w:val="auto"/>
              </w:rPr>
            </w:pPr>
          </w:p>
        </w:tc>
        <w:tc>
          <w:tcPr>
            <w:tcW w:w="200" w:type="dxa"/>
            <w:vAlign w:val="bottom"/>
            <w:tcBorders>
              <w:bottom w:val="single" w:sz="8" w:color="454546"/>
            </w:tcBorders>
            <w:shd w:val="clear" w:color="auto" w:fill="E5E6E7"/>
          </w:tcPr>
          <w:p>
            <w:pPr>
              <w:spacing w:after="0"/>
              <w:rPr>
                <w:sz w:val="22"/>
                <w:szCs w:val="22"/>
                <w:color w:val="auto"/>
              </w:rPr>
            </w:pPr>
          </w:p>
        </w:tc>
        <w:tc>
          <w:tcPr>
            <w:tcW w:w="11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2,734</w:t>
            </w:r>
          </w:p>
        </w:tc>
        <w:tc>
          <w:tcPr>
            <w:tcW w:w="16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260" w:type="dxa"/>
            <w:vAlign w:val="bottom"/>
            <w:tcBorders>
              <w:bottom w:val="single" w:sz="8" w:color="454546"/>
            </w:tcBorders>
            <w:shd w:val="clear" w:color="auto" w:fill="E5E6E7"/>
          </w:tcPr>
          <w:p>
            <w:pPr>
              <w:spacing w:after="0"/>
              <w:rPr>
                <w:sz w:val="22"/>
                <w:szCs w:val="22"/>
                <w:color w:val="auto"/>
              </w:rPr>
            </w:pP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4,819</w:t>
            </w:r>
          </w:p>
        </w:tc>
        <w:tc>
          <w:tcPr>
            <w:tcW w:w="80" w:type="dxa"/>
            <w:vAlign w:val="bottom"/>
            <w:tcBorders>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454546"/>
              </w:rPr>
              <w:t>Net loss before income tax expense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454546"/>
              </w:rPr>
              <w:t>(90,597)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454546"/>
              </w:rPr>
              <w:t>(111,129)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Income tax expense</w:t>
            </w:r>
          </w:p>
        </w:tc>
        <w:tc>
          <w:tcPr>
            <w:tcW w:w="260" w:type="dxa"/>
            <w:vAlign w:val="bottom"/>
            <w:shd w:val="clear" w:color="auto" w:fill="E5E6E7"/>
          </w:tcPr>
          <w:p>
            <w:pPr>
              <w:spacing w:after="0"/>
              <w:rPr>
                <w:sz w:val="22"/>
                <w:szCs w:val="22"/>
                <w:color w:val="auto"/>
              </w:rPr>
            </w:pPr>
          </w:p>
        </w:tc>
        <w:tc>
          <w:tcPr>
            <w:tcW w:w="200" w:type="dxa"/>
            <w:vAlign w:val="bottom"/>
            <w:shd w:val="clear" w:color="auto" w:fill="E5E6E7"/>
          </w:tcPr>
          <w:p>
            <w:pPr>
              <w:spacing w:after="0"/>
              <w:rPr>
                <w:sz w:val="22"/>
                <w:szCs w:val="22"/>
                <w:color w:val="auto"/>
              </w:rPr>
            </w:pPr>
          </w:p>
        </w:tc>
        <w:tc>
          <w:tcPr>
            <w:tcW w:w="13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22"/>
                <w:szCs w:val="22"/>
                <w:color w:val="auto"/>
              </w:rPr>
            </w:pPr>
          </w:p>
        </w:tc>
        <w:tc>
          <w:tcPr>
            <w:tcW w:w="260" w:type="dxa"/>
            <w:vAlign w:val="bottom"/>
            <w:shd w:val="clear" w:color="auto" w:fill="E5E6E7"/>
          </w:tcPr>
          <w:p>
            <w:pPr>
              <w:spacing w:after="0"/>
              <w:rPr>
                <w:sz w:val="22"/>
                <w:szCs w:val="22"/>
                <w:color w:val="auto"/>
              </w:rPr>
            </w:pPr>
          </w:p>
        </w:tc>
        <w:tc>
          <w:tcPr>
            <w:tcW w:w="11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19"/>
        </w:trPr>
        <w:tc>
          <w:tcPr>
            <w:tcW w:w="6080" w:type="dxa"/>
            <w:vAlign w:val="bottom"/>
            <w:tcBorders>
              <w:top w:val="single" w:sz="8" w:color="E5E6E7"/>
              <w:bottom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454546"/>
              </w:rPr>
              <w:t>Net loss</w:t>
            </w:r>
          </w:p>
        </w:tc>
        <w:tc>
          <w:tcPr>
            <w:tcW w:w="260" w:type="dxa"/>
            <w:vAlign w:val="bottom"/>
            <w:tcBorders>
              <w:top w:val="single" w:sz="8" w:color="E5E6E7"/>
              <w:bottom w:val="single" w:sz="8" w:color="E5E6E7"/>
            </w:tcBorders>
          </w:tcPr>
          <w:p>
            <w:pPr>
              <w:spacing w:after="0"/>
              <w:rPr>
                <w:sz w:val="19"/>
                <w:szCs w:val="19"/>
                <w:color w:val="auto"/>
              </w:rPr>
            </w:pPr>
          </w:p>
        </w:tc>
        <w:tc>
          <w:tcPr>
            <w:tcW w:w="200" w:type="dxa"/>
            <w:vAlign w:val="bottom"/>
            <w:tcBorders>
              <w:top w:val="single" w:sz="8" w:color="454546"/>
              <w:bottom w:val="single" w:sz="8" w:color="454546"/>
            </w:tcBorders>
          </w:tcPr>
          <w:p>
            <w:pPr>
              <w:spacing w:after="0"/>
              <w:rPr>
                <w:sz w:val="19"/>
                <w:szCs w:val="19"/>
                <w:color w:val="auto"/>
              </w:rPr>
            </w:pPr>
          </w:p>
        </w:tc>
        <w:tc>
          <w:tcPr>
            <w:tcW w:w="1140" w:type="dxa"/>
            <w:vAlign w:val="bottom"/>
            <w:tcBorders>
              <w:top w:val="single" w:sz="8" w:color="454546"/>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(90,597)</w:t>
            </w:r>
          </w:p>
        </w:tc>
        <w:tc>
          <w:tcPr>
            <w:tcW w:w="160" w:type="dxa"/>
            <w:vAlign w:val="bottom"/>
            <w:tcBorders>
              <w:top w:val="single" w:sz="8" w:color="E5E6E7"/>
              <w:bottom w:val="single" w:sz="8" w:color="E5E6E7"/>
            </w:tcBorders>
          </w:tcPr>
          <w:p>
            <w:pPr>
              <w:spacing w:after="0"/>
              <w:rPr>
                <w:sz w:val="19"/>
                <w:szCs w:val="19"/>
                <w:color w:val="auto"/>
              </w:rPr>
            </w:pPr>
          </w:p>
        </w:tc>
        <w:tc>
          <w:tcPr>
            <w:tcW w:w="100" w:type="dxa"/>
            <w:vAlign w:val="bottom"/>
            <w:tcBorders>
              <w:top w:val="single" w:sz="8" w:color="E5E6E7"/>
              <w:bottom w:val="single" w:sz="8" w:color="E5E6E7"/>
            </w:tcBorders>
          </w:tcPr>
          <w:p>
            <w:pPr>
              <w:spacing w:after="0"/>
              <w:rPr>
                <w:sz w:val="19"/>
                <w:szCs w:val="19"/>
                <w:color w:val="auto"/>
              </w:rPr>
            </w:pPr>
          </w:p>
        </w:tc>
        <w:tc>
          <w:tcPr>
            <w:tcW w:w="260" w:type="dxa"/>
            <w:vAlign w:val="bottom"/>
            <w:tcBorders>
              <w:top w:val="single" w:sz="8" w:color="454546"/>
              <w:bottom w:val="single" w:sz="8" w:color="454546"/>
            </w:tcBorders>
          </w:tcPr>
          <w:p>
            <w:pPr>
              <w:spacing w:after="0"/>
              <w:rPr>
                <w:sz w:val="19"/>
                <w:szCs w:val="19"/>
                <w:color w:val="auto"/>
              </w:rPr>
            </w:pPr>
          </w:p>
        </w:tc>
        <w:tc>
          <w:tcPr>
            <w:tcW w:w="1080" w:type="dxa"/>
            <w:vAlign w:val="bottom"/>
            <w:tcBorders>
              <w:top w:val="single" w:sz="8" w:color="454546"/>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(111,129)</w:t>
            </w:r>
          </w:p>
        </w:tc>
        <w:tc>
          <w:tcPr>
            <w:tcW w:w="80" w:type="dxa"/>
            <w:vAlign w:val="bottom"/>
            <w:tcBorders>
              <w:top w:val="single" w:sz="8" w:color="E5E6E7"/>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comprehensive income (loss):</w:t>
            </w:r>
          </w:p>
        </w:tc>
        <w:tc>
          <w:tcPr>
            <w:tcW w:w="26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114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08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454546"/>
              </w:rPr>
              <w:t>Net unrealized (loss) gain on marketable securities</w:t>
            </w:r>
          </w:p>
        </w:tc>
        <w:tc>
          <w:tcPr>
            <w:tcW w:w="260" w:type="dxa"/>
            <w:vAlign w:val="bottom"/>
            <w:tcBorders>
              <w:bottom w:val="single" w:sz="8" w:color="E5E6E7"/>
            </w:tcBorders>
          </w:tcPr>
          <w:p>
            <w:pPr>
              <w:spacing w:after="0"/>
              <w:rPr>
                <w:sz w:val="21"/>
                <w:szCs w:val="21"/>
                <w:color w:val="auto"/>
              </w:rPr>
            </w:pPr>
          </w:p>
        </w:tc>
        <w:tc>
          <w:tcPr>
            <w:tcW w:w="200" w:type="dxa"/>
            <w:vAlign w:val="bottom"/>
            <w:tcBorders>
              <w:bottom w:val="single" w:sz="8" w:color="454546"/>
            </w:tcBorders>
          </w:tcPr>
          <w:p>
            <w:pPr>
              <w:spacing w:after="0"/>
              <w:rPr>
                <w:sz w:val="21"/>
                <w:szCs w:val="21"/>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(28)</w:t>
            </w:r>
          </w:p>
        </w:tc>
        <w:tc>
          <w:tcPr>
            <w:tcW w:w="160" w:type="dxa"/>
            <w:vAlign w:val="bottom"/>
            <w:tcBorders>
              <w:bottom w:val="single" w:sz="8" w:color="E5E6E7"/>
            </w:tcBorders>
          </w:tcPr>
          <w:p>
            <w:pPr>
              <w:spacing w:after="0"/>
              <w:rPr>
                <w:sz w:val="21"/>
                <w:szCs w:val="21"/>
                <w:color w:val="auto"/>
              </w:rPr>
            </w:pPr>
          </w:p>
        </w:tc>
        <w:tc>
          <w:tcPr>
            <w:tcW w:w="100" w:type="dxa"/>
            <w:vAlign w:val="bottom"/>
            <w:tcBorders>
              <w:bottom w:val="single" w:sz="8" w:color="E5E6E7"/>
            </w:tcBorders>
          </w:tcPr>
          <w:p>
            <w:pPr>
              <w:spacing w:after="0"/>
              <w:rPr>
                <w:sz w:val="21"/>
                <w:szCs w:val="21"/>
                <w:color w:val="auto"/>
              </w:rPr>
            </w:pPr>
          </w:p>
        </w:tc>
        <w:tc>
          <w:tcPr>
            <w:tcW w:w="260" w:type="dxa"/>
            <w:vAlign w:val="bottom"/>
            <w:tcBorders>
              <w:bottom w:val="single" w:sz="8" w:color="454546"/>
            </w:tcBorders>
          </w:tcPr>
          <w:p>
            <w:pPr>
              <w:spacing w:after="0"/>
              <w:rPr>
                <w:sz w:val="21"/>
                <w:szCs w:val="21"/>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134</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8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Comprehensive loss</w:t>
            </w:r>
          </w:p>
        </w:tc>
        <w:tc>
          <w:tcPr>
            <w:tcW w:w="260" w:type="dxa"/>
            <w:vAlign w:val="bottom"/>
            <w:tcBorders>
              <w:bottom w:val="single" w:sz="8" w:color="E5E6E7"/>
            </w:tcBorders>
            <w:shd w:val="clear" w:color="auto" w:fill="E5E6E7"/>
          </w:tcPr>
          <w:p>
            <w:pPr>
              <w:spacing w:after="0"/>
              <w:rPr>
                <w:sz w:val="22"/>
                <w:szCs w:val="22"/>
                <w:color w:val="auto"/>
              </w:rPr>
            </w:pPr>
          </w:p>
        </w:tc>
        <w:tc>
          <w:tcPr>
            <w:tcW w:w="2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1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(90,625)</w:t>
            </w:r>
          </w:p>
        </w:tc>
        <w:tc>
          <w:tcPr>
            <w:tcW w:w="160" w:type="dxa"/>
            <w:vAlign w:val="bottom"/>
            <w:tcBorders>
              <w:bottom w:val="single" w:sz="8" w:color="E5E6E7"/>
            </w:tcBorders>
            <w:shd w:val="clear" w:color="auto" w:fill="E5E6E7"/>
          </w:tcPr>
          <w:p>
            <w:pPr>
              <w:spacing w:after="0"/>
              <w:rPr>
                <w:sz w:val="22"/>
                <w:szCs w:val="22"/>
                <w:color w:val="auto"/>
              </w:rPr>
            </w:pPr>
          </w:p>
        </w:tc>
        <w:tc>
          <w:tcPr>
            <w:tcW w:w="100" w:type="dxa"/>
            <w:vAlign w:val="bottom"/>
            <w:tcBorders>
              <w:bottom w:val="single" w:sz="8" w:color="E5E6E7"/>
            </w:tcBorders>
            <w:shd w:val="clear" w:color="auto" w:fill="E5E6E7"/>
          </w:tcPr>
          <w:p>
            <w:pPr>
              <w:spacing w:after="0"/>
              <w:rPr>
                <w:sz w:val="22"/>
                <w:szCs w:val="22"/>
                <w:color w:val="auto"/>
              </w:rPr>
            </w:pPr>
          </w:p>
        </w:tc>
        <w:tc>
          <w:tcPr>
            <w:tcW w:w="260" w:type="dxa"/>
            <w:vAlign w:val="bottom"/>
            <w:tcBorders>
              <w:bottom w:val="single" w:sz="8" w:color="454546"/>
            </w:tcBorders>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w w:val="79"/>
              </w:rPr>
              <w:t>$</w:t>
            </w: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(110,995)</w:t>
            </w:r>
          </w:p>
        </w:tc>
        <w:tc>
          <w:tcPr>
            <w:tcW w:w="80" w:type="dxa"/>
            <w:vAlign w:val="bottom"/>
            <w:tcBorders>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Net loss per share, basic and diluted</w:t>
            </w:r>
          </w:p>
        </w:tc>
        <w:tc>
          <w:tcPr>
            <w:tcW w:w="4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80" w:type="dxa"/>
            <w:vAlign w:val="bottom"/>
            <w:tcBorders>
              <w:bottom w:val="single" w:sz="8" w:color="E5E6E7"/>
            </w:tcBorders>
            <w:vMerge w:val="continue"/>
          </w:tcPr>
          <w:p>
            <w:pPr>
              <w:spacing w:after="0"/>
              <w:rPr>
                <w:sz w:val="21"/>
                <w:szCs w:val="21"/>
                <w:color w:val="auto"/>
              </w:rPr>
            </w:pPr>
          </w:p>
        </w:tc>
        <w:tc>
          <w:tcPr>
            <w:tcW w:w="260" w:type="dxa"/>
            <w:vAlign w:val="bottom"/>
            <w:tcBorders>
              <w:bottom w:val="single" w:sz="8" w:color="E5E6E7"/>
            </w:tcBorders>
          </w:tcPr>
          <w:p>
            <w:pPr>
              <w:spacing w:after="0"/>
              <w:rPr>
                <w:sz w:val="21"/>
                <w:szCs w:val="21"/>
                <w:color w:val="auto"/>
              </w:rPr>
            </w:pPr>
          </w:p>
        </w:tc>
        <w:tc>
          <w:tcPr>
            <w:tcW w:w="200" w:type="dxa"/>
            <w:vAlign w:val="bottom"/>
            <w:tcBorders>
              <w:top w:val="single" w:sz="8" w:color="454546"/>
              <w:bottom w:val="single" w:sz="8" w:color="454546"/>
            </w:tcBorders>
          </w:tcPr>
          <w:p>
            <w:pPr>
              <w:jc w:val="right"/>
              <w:spacing w:after="0" w:line="209" w:lineRule="exact"/>
              <w:rPr>
                <w:sz w:val="20"/>
                <w:szCs w:val="20"/>
                <w:color w:val="auto"/>
              </w:rPr>
            </w:pPr>
            <w:r>
              <w:rPr>
                <w:rFonts w:ascii="Times New Roman" w:cs="Times New Roman" w:eastAsia="Times New Roman" w:hAnsi="Times New Roman"/>
                <w:sz w:val="20"/>
                <w:szCs w:val="20"/>
                <w:color w:val="454546"/>
                <w:w w:val="79"/>
              </w:rPr>
              <w:t>$</w:t>
            </w:r>
          </w:p>
        </w:tc>
        <w:tc>
          <w:tcPr>
            <w:tcW w:w="1140" w:type="dxa"/>
            <w:vAlign w:val="bottom"/>
            <w:tcBorders>
              <w:top w:val="single" w:sz="8" w:color="454546"/>
              <w:bottom w:val="single" w:sz="8" w:color="454546"/>
            </w:tcBorders>
          </w:tcPr>
          <w:p>
            <w:pPr>
              <w:jc w:val="right"/>
              <w:spacing w:after="0" w:line="209" w:lineRule="exact"/>
              <w:rPr>
                <w:sz w:val="20"/>
                <w:szCs w:val="20"/>
                <w:color w:val="auto"/>
              </w:rPr>
            </w:pPr>
            <w:r>
              <w:rPr>
                <w:rFonts w:ascii="Times New Roman" w:cs="Times New Roman" w:eastAsia="Times New Roman" w:hAnsi="Times New Roman"/>
                <w:sz w:val="20"/>
                <w:szCs w:val="20"/>
                <w:color w:val="454546"/>
              </w:rPr>
              <w:t>(0.59)</w:t>
            </w:r>
          </w:p>
        </w:tc>
        <w:tc>
          <w:tcPr>
            <w:tcW w:w="160" w:type="dxa"/>
            <w:vAlign w:val="bottom"/>
            <w:tcBorders>
              <w:bottom w:val="single" w:sz="8" w:color="E5E6E7"/>
            </w:tcBorders>
          </w:tcPr>
          <w:p>
            <w:pPr>
              <w:spacing w:after="0"/>
              <w:rPr>
                <w:sz w:val="21"/>
                <w:szCs w:val="21"/>
                <w:color w:val="auto"/>
              </w:rPr>
            </w:pPr>
          </w:p>
        </w:tc>
        <w:tc>
          <w:tcPr>
            <w:tcW w:w="100" w:type="dxa"/>
            <w:vAlign w:val="bottom"/>
            <w:tcBorders>
              <w:bottom w:val="single" w:sz="8" w:color="E5E6E7"/>
            </w:tcBorders>
          </w:tcPr>
          <w:p>
            <w:pPr>
              <w:spacing w:after="0"/>
              <w:rPr>
                <w:sz w:val="21"/>
                <w:szCs w:val="21"/>
                <w:color w:val="auto"/>
              </w:rPr>
            </w:pPr>
          </w:p>
        </w:tc>
        <w:tc>
          <w:tcPr>
            <w:tcW w:w="260" w:type="dxa"/>
            <w:vAlign w:val="bottom"/>
            <w:tcBorders>
              <w:top w:val="single" w:sz="8" w:color="454546"/>
              <w:bottom w:val="single" w:sz="8" w:color="454546"/>
            </w:tcBorders>
          </w:tcPr>
          <w:p>
            <w:pPr>
              <w:jc w:val="right"/>
              <w:ind w:right="60"/>
              <w:spacing w:after="0" w:line="209" w:lineRule="exact"/>
              <w:rPr>
                <w:sz w:val="20"/>
                <w:szCs w:val="20"/>
                <w:color w:val="auto"/>
              </w:rPr>
            </w:pPr>
            <w:r>
              <w:rPr>
                <w:rFonts w:ascii="Times New Roman" w:cs="Times New Roman" w:eastAsia="Times New Roman" w:hAnsi="Times New Roman"/>
                <w:sz w:val="20"/>
                <w:szCs w:val="20"/>
                <w:color w:val="454546"/>
                <w:w w:val="79"/>
              </w:rPr>
              <w:t>$</w:t>
            </w:r>
          </w:p>
        </w:tc>
        <w:tc>
          <w:tcPr>
            <w:tcW w:w="1080" w:type="dxa"/>
            <w:vAlign w:val="bottom"/>
            <w:tcBorders>
              <w:top w:val="single" w:sz="8" w:color="454546"/>
              <w:bottom w:val="single" w:sz="8" w:color="454546"/>
            </w:tcBorders>
          </w:tcPr>
          <w:p>
            <w:pPr>
              <w:jc w:val="right"/>
              <w:spacing w:after="0" w:line="209" w:lineRule="exact"/>
              <w:rPr>
                <w:sz w:val="20"/>
                <w:szCs w:val="20"/>
                <w:color w:val="auto"/>
              </w:rPr>
            </w:pPr>
            <w:r>
              <w:rPr>
                <w:rFonts w:ascii="Times New Roman" w:cs="Times New Roman" w:eastAsia="Times New Roman" w:hAnsi="Times New Roman"/>
                <w:sz w:val="20"/>
                <w:szCs w:val="20"/>
                <w:color w:val="454546"/>
              </w:rPr>
              <w:t>(1.31)</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20"/>
                <w:szCs w:val="20"/>
                <w:color w:val="454546"/>
              </w:rPr>
              <w:t>Weighted-average shares used in computing net loss per share, basic and</w:t>
            </w:r>
          </w:p>
        </w:tc>
        <w:tc>
          <w:tcPr>
            <w:tcW w:w="26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114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60" w:type="dxa"/>
            <w:vAlign w:val="bottom"/>
            <w:shd w:val="clear" w:color="auto" w:fill="E5E6E7"/>
          </w:tcPr>
          <w:p>
            <w:pPr>
              <w:spacing w:after="0"/>
              <w:rPr>
                <w:sz w:val="18"/>
                <w:szCs w:val="18"/>
                <w:color w:val="auto"/>
              </w:rPr>
            </w:pPr>
          </w:p>
        </w:tc>
        <w:tc>
          <w:tcPr>
            <w:tcW w:w="108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diluted</w:t>
            </w:r>
          </w:p>
        </w:tc>
        <w:tc>
          <w:tcPr>
            <w:tcW w:w="260" w:type="dxa"/>
            <w:vAlign w:val="bottom"/>
            <w:tcBorders>
              <w:bottom w:val="single" w:sz="8" w:color="E5E6E7"/>
            </w:tcBorders>
            <w:shd w:val="clear" w:color="auto" w:fill="E5E6E7"/>
          </w:tcPr>
          <w:p>
            <w:pPr>
              <w:spacing w:after="0"/>
              <w:rPr>
                <w:sz w:val="23"/>
                <w:szCs w:val="23"/>
                <w:color w:val="auto"/>
              </w:rPr>
            </w:pPr>
          </w:p>
        </w:tc>
        <w:tc>
          <w:tcPr>
            <w:tcW w:w="200" w:type="dxa"/>
            <w:vAlign w:val="bottom"/>
            <w:tcBorders>
              <w:bottom w:val="single" w:sz="8" w:color="454546"/>
            </w:tcBorders>
            <w:shd w:val="clear" w:color="auto" w:fill="E5E6E7"/>
          </w:tcPr>
          <w:p>
            <w:pPr>
              <w:spacing w:after="0"/>
              <w:rPr>
                <w:sz w:val="23"/>
                <w:szCs w:val="23"/>
                <w:color w:val="auto"/>
              </w:rPr>
            </w:pPr>
          </w:p>
        </w:tc>
        <w:tc>
          <w:tcPr>
            <w:tcW w:w="11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152,971,259</w:t>
            </w:r>
          </w:p>
        </w:tc>
        <w:tc>
          <w:tcPr>
            <w:tcW w:w="160" w:type="dxa"/>
            <w:vAlign w:val="bottom"/>
            <w:tcBorders>
              <w:bottom w:val="single" w:sz="8" w:color="E5E6E7"/>
            </w:tcBorders>
            <w:shd w:val="clear" w:color="auto" w:fill="E5E6E7"/>
          </w:tcPr>
          <w:p>
            <w:pPr>
              <w:spacing w:after="0"/>
              <w:rPr>
                <w:sz w:val="23"/>
                <w:szCs w:val="23"/>
                <w:color w:val="auto"/>
              </w:rPr>
            </w:pPr>
          </w:p>
        </w:tc>
        <w:tc>
          <w:tcPr>
            <w:tcW w:w="100" w:type="dxa"/>
            <w:vAlign w:val="bottom"/>
            <w:tcBorders>
              <w:bottom w:val="single" w:sz="8" w:color="E5E6E7"/>
            </w:tcBorders>
            <w:shd w:val="clear" w:color="auto" w:fill="E5E6E7"/>
          </w:tcPr>
          <w:p>
            <w:pPr>
              <w:spacing w:after="0"/>
              <w:rPr>
                <w:sz w:val="23"/>
                <w:szCs w:val="23"/>
                <w:color w:val="auto"/>
              </w:rPr>
            </w:pPr>
          </w:p>
        </w:tc>
        <w:tc>
          <w:tcPr>
            <w:tcW w:w="260" w:type="dxa"/>
            <w:vAlign w:val="bottom"/>
            <w:tcBorders>
              <w:bottom w:val="single" w:sz="8" w:color="454546"/>
            </w:tcBorders>
            <w:shd w:val="clear" w:color="auto" w:fill="E5E6E7"/>
          </w:tcPr>
          <w:p>
            <w:pPr>
              <w:spacing w:after="0"/>
              <w:rPr>
                <w:sz w:val="23"/>
                <w:szCs w:val="23"/>
                <w:color w:val="auto"/>
              </w:rPr>
            </w:pP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84,822,468</w:t>
            </w:r>
          </w:p>
        </w:tc>
        <w:tc>
          <w:tcPr>
            <w:tcW w:w="80" w:type="dxa"/>
            <w:vAlign w:val="bottom"/>
            <w:tcBorders>
              <w:bottom w:val="single" w:sz="8" w:color="E5E6E7"/>
            </w:tcBorders>
            <w:shd w:val="clear" w:color="auto" w:fill="E5E6E7"/>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114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0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111</w:t>
      </w:r>
    </w:p>
    <w:p>
      <w:pPr>
        <w:sectPr>
          <w:pgSz w:w="12240" w:h="15840" w:orient="portrait"/>
          <w:cols w:equalWidth="0" w:num="1">
            <w:col w:w="9360"/>
          </w:cols>
          <w:pgMar w:left="1440" w:top="1416" w:right="1440" w:bottom="175"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Statements of Stockholders’ Equity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 except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rPr>
              <w:t>Additional</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454546"/>
              </w:rPr>
              <w:t>Accumulated Other</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w w:val="98"/>
              </w:rPr>
              <w:t>Total</w:t>
            </w:r>
          </w:p>
        </w:tc>
      </w:tr>
      <w:tr>
        <w:trPr>
          <w:trHeight w:val="219"/>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tcBorders>
              <w:bottom w:val="single" w:sz="8" w:color="454546"/>
            </w:tcBorders>
            <w:gridSpan w:val="5"/>
          </w:tcPr>
          <w:p>
            <w:pPr>
              <w:jc w:val="right"/>
              <w:ind w:right="637"/>
              <w:spacing w:after="0"/>
              <w:rPr>
                <w:sz w:val="20"/>
                <w:szCs w:val="20"/>
                <w:color w:val="auto"/>
              </w:rPr>
            </w:pPr>
            <w:r>
              <w:rPr>
                <w:rFonts w:ascii="Times New Roman" w:cs="Times New Roman" w:eastAsia="Times New Roman" w:hAnsi="Times New Roman"/>
                <w:sz w:val="16"/>
                <w:szCs w:val="16"/>
                <w:b w:val="1"/>
                <w:bCs w:val="1"/>
                <w:color w:val="454546"/>
              </w:rPr>
              <w:t>Common Stock</w:t>
            </w:r>
          </w:p>
        </w:tc>
        <w:tc>
          <w:tcPr>
            <w:tcW w:w="300" w:type="dxa"/>
            <w:vAlign w:val="bottom"/>
            <w:tcBorders>
              <w:bottom w:val="single" w:sz="8" w:color="454546"/>
            </w:tcBorders>
          </w:tcPr>
          <w:p>
            <w:pPr>
              <w:spacing w:after="0"/>
              <w:rPr>
                <w:sz w:val="19"/>
                <w:szCs w:val="19"/>
                <w:color w:val="auto"/>
              </w:rPr>
            </w:pPr>
          </w:p>
        </w:tc>
        <w:tc>
          <w:tcPr>
            <w:tcW w:w="20" w:type="dxa"/>
            <w:vAlign w:val="bottom"/>
            <w:tcBorders>
              <w:bottom w:val="single" w:sz="8" w:color="454546"/>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rPr>
              <w:t>Paid-In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454546"/>
                <w:w w:val="99"/>
              </w:rPr>
              <w:t>Comprehensive</w:t>
            </w:r>
          </w:p>
        </w:tc>
        <w:tc>
          <w:tcPr>
            <w:tcW w:w="140" w:type="dxa"/>
            <w:vAlign w:val="bottom"/>
          </w:tcPr>
          <w:p>
            <w:pPr>
              <w:spacing w:after="0"/>
              <w:rPr>
                <w:sz w:val="19"/>
                <w:szCs w:val="19"/>
                <w:color w:val="auto"/>
              </w:rPr>
            </w:pPr>
          </w:p>
        </w:tc>
        <w:tc>
          <w:tcPr>
            <w:tcW w:w="152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454546"/>
                <w:w w:val="99"/>
              </w:rPr>
              <w:t>Accumulated</w:t>
            </w: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w w:val="98"/>
              </w:rPr>
              <w:t>Stockholders'</w:t>
            </w:r>
          </w:p>
        </w:tc>
      </w:tr>
      <w:tr>
        <w:trPr>
          <w:trHeight w:val="193"/>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454546"/>
              </w:rPr>
              <w:t>Amount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w w:val="98"/>
              </w:rPr>
              <w:t>Capital</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454546"/>
                <w:w w:val="99"/>
              </w:rPr>
              <w:t>Income (Loss)</w:t>
            </w:r>
          </w:p>
        </w:tc>
        <w:tc>
          <w:tcPr>
            <w:tcW w:w="140" w:type="dxa"/>
            <w:vAlign w:val="bottom"/>
          </w:tcPr>
          <w:p>
            <w:pPr>
              <w:spacing w:after="0"/>
              <w:rPr>
                <w:sz w:val="16"/>
                <w:szCs w:val="16"/>
                <w:color w:val="auto"/>
              </w:rPr>
            </w:pPr>
          </w:p>
        </w:tc>
        <w:tc>
          <w:tcPr>
            <w:tcW w:w="152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454546"/>
              </w:rPr>
              <w:t>Deficit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rPr>
              <w:t>Equity</w:t>
            </w:r>
          </w:p>
        </w:tc>
      </w:tr>
      <w:tr>
        <w:trPr>
          <w:trHeight w:val="193"/>
        </w:trPr>
        <w:tc>
          <w:tcPr>
            <w:tcW w:w="4860" w:type="dxa"/>
            <w:vAlign w:val="bottom"/>
            <w:tcBorders>
              <w:top w:val="single" w:sz="8" w:color="E5E6E7"/>
            </w:tcBorders>
            <w:gridSpan w:val="4"/>
            <w:shd w:val="clear" w:color="auto" w:fill="E5E6E7"/>
          </w:tcPr>
          <w:p>
            <w:pPr>
              <w:spacing w:after="0"/>
              <w:rPr>
                <w:sz w:val="20"/>
                <w:szCs w:val="20"/>
                <w:color w:val="auto"/>
              </w:rPr>
            </w:pPr>
            <w:r>
              <w:rPr>
                <w:rFonts w:ascii="Times New Roman" w:cs="Times New Roman" w:eastAsia="Times New Roman" w:hAnsi="Times New Roman"/>
                <w:sz w:val="16"/>
                <w:szCs w:val="16"/>
                <w:color w:val="454546"/>
              </w:rPr>
              <w:t>Balance as of December 31, 2023</w:t>
            </w:r>
          </w:p>
        </w:tc>
        <w:tc>
          <w:tcPr>
            <w:tcW w:w="132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68,330,342</w:t>
            </w:r>
          </w:p>
        </w:tc>
        <w:tc>
          <w:tcPr>
            <w:tcW w:w="2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1060" w:type="dxa"/>
            <w:vAlign w:val="bottom"/>
            <w:tcBorders>
              <w:top w:val="single" w:sz="8" w:color="454546"/>
            </w:tcBorders>
            <w:shd w:val="clear" w:color="auto" w:fill="E5E6E7"/>
          </w:tcPr>
          <w:p>
            <w:pPr>
              <w:jc w:val="right"/>
              <w:ind w:right="977"/>
              <w:spacing w:after="0"/>
              <w:rPr>
                <w:sz w:val="20"/>
                <w:szCs w:val="20"/>
                <w:color w:val="auto"/>
              </w:rPr>
            </w:pPr>
            <w:r>
              <w:rPr>
                <w:rFonts w:ascii="Times New Roman" w:cs="Times New Roman" w:eastAsia="Times New Roman" w:hAnsi="Times New Roman"/>
                <w:sz w:val="5"/>
                <w:szCs w:val="5"/>
                <w:color w:val="454546"/>
                <w:w w:val="78"/>
              </w:rPr>
              <w:t>$</w:t>
            </w:r>
          </w:p>
        </w:tc>
        <w:tc>
          <w:tcPr>
            <w:tcW w:w="30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7</w:t>
            </w:r>
          </w:p>
        </w:tc>
        <w:tc>
          <w:tcPr>
            <w:tcW w:w="20" w:type="dxa"/>
            <w:vAlign w:val="bottom"/>
            <w:tcBorders>
              <w:top w:val="single" w:sz="8" w:color="454546"/>
            </w:tcBorders>
            <w:shd w:val="clear" w:color="auto" w:fill="E5E6E7"/>
          </w:tcPr>
          <w:p>
            <w:pPr>
              <w:spacing w:after="0"/>
              <w:rPr>
                <w:sz w:val="16"/>
                <w:szCs w:val="16"/>
                <w:color w:val="auto"/>
              </w:rPr>
            </w:pPr>
          </w:p>
        </w:tc>
        <w:tc>
          <w:tcPr>
            <w:tcW w:w="2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160" w:type="dxa"/>
            <w:vAlign w:val="bottom"/>
            <w:tcBorders>
              <w:top w:val="single" w:sz="8" w:color="454546"/>
            </w:tcBorders>
            <w:shd w:val="clear" w:color="auto" w:fill="E5E6E7"/>
          </w:tcPr>
          <w:p>
            <w:pPr>
              <w:jc w:val="right"/>
              <w:ind w:right="95"/>
              <w:spacing w:after="0"/>
              <w:rPr>
                <w:sz w:val="20"/>
                <w:szCs w:val="20"/>
                <w:color w:val="auto"/>
              </w:rPr>
            </w:pPr>
            <w:r>
              <w:rPr>
                <w:rFonts w:ascii="Times New Roman" w:cs="Times New Roman" w:eastAsia="Times New Roman" w:hAnsi="Times New Roman"/>
                <w:sz w:val="5"/>
                <w:szCs w:val="5"/>
                <w:color w:val="454546"/>
                <w:w w:val="78"/>
              </w:rPr>
              <w:t>$</w:t>
            </w:r>
          </w:p>
        </w:tc>
        <w:tc>
          <w:tcPr>
            <w:tcW w:w="120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542,805</w:t>
            </w:r>
          </w:p>
        </w:tc>
        <w:tc>
          <w:tcPr>
            <w:tcW w:w="20" w:type="dxa"/>
            <w:vAlign w:val="bottom"/>
            <w:tcBorders>
              <w:top w:val="single" w:sz="8" w:color="454546"/>
            </w:tcBorders>
            <w:shd w:val="clear" w:color="auto" w:fill="E5E6E7"/>
          </w:tcPr>
          <w:p>
            <w:pPr>
              <w:spacing w:after="0"/>
              <w:rPr>
                <w:sz w:val="16"/>
                <w:szCs w:val="16"/>
                <w:color w:val="auto"/>
              </w:rPr>
            </w:pPr>
          </w:p>
        </w:tc>
        <w:tc>
          <w:tcPr>
            <w:tcW w:w="2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60" w:type="dxa"/>
            <w:vAlign w:val="bottom"/>
            <w:tcBorders>
              <w:top w:val="single" w:sz="8" w:color="454546"/>
            </w:tcBorders>
            <w:shd w:val="clear" w:color="auto" w:fill="E5E6E7"/>
          </w:tcPr>
          <w:p>
            <w:pPr>
              <w:spacing w:after="0"/>
              <w:rPr>
                <w:sz w:val="20"/>
                <w:szCs w:val="20"/>
                <w:color w:val="auto"/>
              </w:rPr>
            </w:pPr>
            <w:r>
              <w:rPr>
                <w:rFonts w:ascii="Times New Roman" w:cs="Times New Roman" w:eastAsia="Times New Roman" w:hAnsi="Times New Roman"/>
                <w:sz w:val="11"/>
                <w:szCs w:val="11"/>
                <w:color w:val="454546"/>
                <w:w w:val="71"/>
              </w:rPr>
              <w:t>$</w:t>
            </w:r>
          </w:p>
        </w:tc>
        <w:tc>
          <w:tcPr>
            <w:tcW w:w="1300" w:type="dxa"/>
            <w:vAlign w:val="bottom"/>
            <w:tcBorders>
              <w:top w:val="single" w:sz="8" w:color="454546"/>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(106)</w:t>
            </w:r>
          </w:p>
        </w:tc>
        <w:tc>
          <w:tcPr>
            <w:tcW w:w="2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140" w:type="dxa"/>
            <w:vAlign w:val="bottom"/>
            <w:tcBorders>
              <w:top w:val="single" w:sz="8" w:color="454546"/>
            </w:tcBorders>
            <w:shd w:val="clear" w:color="auto" w:fill="E5E6E7"/>
          </w:tcPr>
          <w:p>
            <w:pPr>
              <w:jc w:val="right"/>
              <w:ind w:right="25"/>
              <w:spacing w:after="0"/>
              <w:rPr>
                <w:sz w:val="20"/>
                <w:szCs w:val="20"/>
                <w:color w:val="auto"/>
              </w:rPr>
            </w:pPr>
            <w:r>
              <w:rPr>
                <w:rFonts w:ascii="Times New Roman" w:cs="Times New Roman" w:eastAsia="Times New Roman" w:hAnsi="Times New Roman"/>
                <w:sz w:val="11"/>
                <w:szCs w:val="11"/>
                <w:color w:val="454546"/>
                <w:w w:val="71"/>
              </w:rPr>
              <w:t>$</w:t>
            </w:r>
          </w:p>
        </w:tc>
        <w:tc>
          <w:tcPr>
            <w:tcW w:w="1240" w:type="dxa"/>
            <w:vAlign w:val="bottom"/>
            <w:tcBorders>
              <w:top w:val="single" w:sz="8" w:color="454546"/>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(403,282)</w:t>
            </w:r>
          </w:p>
        </w:tc>
        <w:tc>
          <w:tcPr>
            <w:tcW w:w="24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20" w:type="dxa"/>
            <w:vAlign w:val="bottom"/>
            <w:tcBorders>
              <w:top w:val="single" w:sz="8" w:color="E5E6E7"/>
            </w:tcBorders>
            <w:shd w:val="clear" w:color="auto" w:fill="E5E6E7"/>
          </w:tcPr>
          <w:p>
            <w:pPr>
              <w:spacing w:after="0"/>
              <w:rPr>
                <w:sz w:val="16"/>
                <w:szCs w:val="16"/>
                <w:color w:val="auto"/>
              </w:rPr>
            </w:pPr>
          </w:p>
        </w:tc>
        <w:tc>
          <w:tcPr>
            <w:tcW w:w="100" w:type="dxa"/>
            <w:vAlign w:val="bottom"/>
            <w:tcBorders>
              <w:top w:val="single" w:sz="8" w:color="454546"/>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54546"/>
                <w:w w:val="78"/>
              </w:rPr>
              <w:t>$</w:t>
            </w:r>
          </w:p>
        </w:tc>
        <w:tc>
          <w:tcPr>
            <w:tcW w:w="124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139,424</w:t>
            </w:r>
          </w:p>
        </w:tc>
        <w:tc>
          <w:tcPr>
            <w:tcW w:w="80" w:type="dxa"/>
            <w:vAlign w:val="bottom"/>
            <w:tcBorders>
              <w:top w:val="single" w:sz="8" w:color="E5E6E7"/>
            </w:tcBorders>
            <w:shd w:val="clear" w:color="auto" w:fill="E5E6E7"/>
          </w:tcPr>
          <w:p>
            <w:pPr>
              <w:spacing w:after="0"/>
              <w:rPr>
                <w:sz w:val="16"/>
                <w:szCs w:val="16"/>
                <w:color w:val="auto"/>
              </w:rPr>
            </w:pPr>
          </w:p>
        </w:tc>
      </w:tr>
      <w:tr>
        <w:trPr>
          <w:trHeight w:val="163"/>
        </w:trPr>
        <w:tc>
          <w:tcPr>
            <w:tcW w:w="4860" w:type="dxa"/>
            <w:vAlign w:val="bottom"/>
            <w:gridSpan w:val="4"/>
          </w:tcPr>
          <w:p>
            <w:pPr>
              <w:ind w:left="200"/>
              <w:spacing w:after="0" w:line="164" w:lineRule="exact"/>
              <w:rPr>
                <w:sz w:val="20"/>
                <w:szCs w:val="20"/>
                <w:color w:val="auto"/>
              </w:rPr>
            </w:pPr>
            <w:r>
              <w:rPr>
                <w:rFonts w:ascii="Times New Roman" w:cs="Times New Roman" w:eastAsia="Times New Roman" w:hAnsi="Times New Roman"/>
                <w:sz w:val="16"/>
                <w:szCs w:val="16"/>
                <w:color w:val="454546"/>
              </w:rPr>
              <w:t>Issuance of common stock and pre-funded warrants, net of issuance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costs of $3,236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8,888,890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46,761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8"/>
                <w:szCs w:val="18"/>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46,762</w:t>
            </w:r>
          </w:p>
        </w:tc>
        <w:tc>
          <w:tcPr>
            <w:tcW w:w="80" w:type="dxa"/>
            <w:vAlign w:val="bottom"/>
          </w:tcPr>
          <w:p>
            <w:pPr>
              <w:spacing w:after="0"/>
              <w:rPr>
                <w:sz w:val="18"/>
                <w:szCs w:val="18"/>
                <w:color w:val="auto"/>
              </w:rPr>
            </w:pPr>
          </w:p>
        </w:tc>
      </w:tr>
      <w:tr>
        <w:trPr>
          <w:trHeight w:val="166"/>
        </w:trPr>
        <w:tc>
          <w:tcPr>
            <w:tcW w:w="4860" w:type="dxa"/>
            <w:vAlign w:val="bottom"/>
            <w:gridSpan w:val="4"/>
            <w:shd w:val="clear" w:color="auto" w:fill="E5E6E7"/>
          </w:tcPr>
          <w:p>
            <w:pPr>
              <w:ind w:left="200"/>
              <w:spacing w:after="0" w:line="167" w:lineRule="exact"/>
              <w:rPr>
                <w:sz w:val="20"/>
                <w:szCs w:val="20"/>
                <w:color w:val="auto"/>
              </w:rPr>
            </w:pPr>
            <w:r>
              <w:rPr>
                <w:rFonts w:ascii="Times New Roman" w:cs="Times New Roman" w:eastAsia="Times New Roman" w:hAnsi="Times New Roman"/>
                <w:sz w:val="16"/>
                <w:szCs w:val="16"/>
                <w:color w:val="454546"/>
              </w:rPr>
              <w:t>Issuance of common stock pursuant to employee stock purchase</w:t>
            </w:r>
          </w:p>
        </w:tc>
        <w:tc>
          <w:tcPr>
            <w:tcW w:w="13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60" w:type="dxa"/>
            <w:vAlign w:val="bottom"/>
            <w:shd w:val="clear" w:color="auto" w:fill="E5E6E7"/>
          </w:tcPr>
          <w:p>
            <w:pPr>
              <w:spacing w:after="0"/>
              <w:rPr>
                <w:sz w:val="14"/>
                <w:szCs w:val="14"/>
                <w:color w:val="auto"/>
              </w:rPr>
            </w:pPr>
          </w:p>
        </w:tc>
        <w:tc>
          <w:tcPr>
            <w:tcW w:w="3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60" w:type="dxa"/>
            <w:vAlign w:val="bottom"/>
            <w:shd w:val="clear" w:color="auto" w:fill="E5E6E7"/>
          </w:tcPr>
          <w:p>
            <w:pPr>
              <w:spacing w:after="0"/>
              <w:rPr>
                <w:sz w:val="14"/>
                <w:szCs w:val="14"/>
                <w:color w:val="auto"/>
              </w:rPr>
            </w:pPr>
          </w:p>
        </w:tc>
        <w:tc>
          <w:tcPr>
            <w:tcW w:w="1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0" w:type="dxa"/>
            <w:vAlign w:val="bottom"/>
            <w:shd w:val="clear" w:color="auto" w:fill="E5E6E7"/>
          </w:tcPr>
          <w:p>
            <w:pPr>
              <w:spacing w:after="0"/>
              <w:rPr>
                <w:sz w:val="14"/>
                <w:szCs w:val="14"/>
                <w:color w:val="auto"/>
              </w:rPr>
            </w:pPr>
          </w:p>
        </w:tc>
        <w:tc>
          <w:tcPr>
            <w:tcW w:w="128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1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124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r>
      <w:tr>
        <w:trPr>
          <w:trHeight w:val="219"/>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plan</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423,620</w:t>
            </w: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866</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9"/>
                <w:szCs w:val="19"/>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9"/>
                <w:szCs w:val="19"/>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866</w:t>
            </w:r>
          </w:p>
        </w:tc>
        <w:tc>
          <w:tcPr>
            <w:tcW w:w="80" w:type="dxa"/>
            <w:vAlign w:val="bottom"/>
            <w:shd w:val="clear" w:color="auto" w:fill="E5E6E7"/>
          </w:tcPr>
          <w:p>
            <w:pPr>
              <w:spacing w:after="0"/>
              <w:rPr>
                <w:sz w:val="19"/>
                <w:szCs w:val="19"/>
                <w:color w:val="auto"/>
              </w:rPr>
            </w:pPr>
          </w:p>
        </w:tc>
      </w:tr>
      <w:tr>
        <w:trPr>
          <w:trHeight w:val="163"/>
        </w:trPr>
        <w:tc>
          <w:tcPr>
            <w:tcW w:w="4860" w:type="dxa"/>
            <w:vAlign w:val="bottom"/>
            <w:gridSpan w:val="4"/>
          </w:tcPr>
          <w:p>
            <w:pPr>
              <w:ind w:left="200"/>
              <w:spacing w:after="0" w:line="164" w:lineRule="exact"/>
              <w:rPr>
                <w:sz w:val="20"/>
                <w:szCs w:val="20"/>
                <w:color w:val="auto"/>
              </w:rPr>
            </w:pPr>
            <w:r>
              <w:rPr>
                <w:rFonts w:ascii="Times New Roman" w:cs="Times New Roman" w:eastAsia="Times New Roman" w:hAnsi="Times New Roman"/>
                <w:sz w:val="16"/>
                <w:szCs w:val="16"/>
                <w:color w:val="454546"/>
              </w:rPr>
              <w:t>Issuance of common stock upon exercise of stock options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vesting of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743,041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8"/>
                <w:szCs w:val="18"/>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113</w:t>
            </w:r>
          </w:p>
        </w:tc>
        <w:tc>
          <w:tcPr>
            <w:tcW w:w="80" w:type="dxa"/>
            <w:vAlign w:val="bottom"/>
          </w:tcPr>
          <w:p>
            <w:pPr>
              <w:spacing w:after="0"/>
              <w:rPr>
                <w:sz w:val="18"/>
                <w:szCs w:val="18"/>
                <w:color w:val="auto"/>
              </w:rPr>
            </w:pPr>
          </w:p>
        </w:tc>
      </w:tr>
      <w:tr>
        <w:trPr>
          <w:trHeight w:val="201"/>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Issuance of common stock upon exercise of pre-funded warrants</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8,156,447</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w:t>
            </w:r>
          </w:p>
        </w:tc>
        <w:tc>
          <w:tcPr>
            <w:tcW w:w="2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7"/>
                <w:szCs w:val="17"/>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7"/>
                <w:szCs w:val="17"/>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w:t>
            </w:r>
          </w:p>
        </w:tc>
        <w:tc>
          <w:tcPr>
            <w:tcW w:w="80" w:type="dxa"/>
            <w:vAlign w:val="bottom"/>
            <w:shd w:val="clear" w:color="auto" w:fill="E5E6E7"/>
          </w:tcPr>
          <w:p>
            <w:pPr>
              <w:spacing w:after="0"/>
              <w:rPr>
                <w:sz w:val="17"/>
                <w:szCs w:val="17"/>
                <w:color w:val="auto"/>
              </w:rPr>
            </w:pPr>
          </w:p>
        </w:tc>
      </w:tr>
      <w:tr>
        <w:trPr>
          <w:trHeight w:val="198"/>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Issuance of warrant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7"/>
                <w:szCs w:val="17"/>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175</w:t>
            </w:r>
          </w:p>
        </w:tc>
        <w:tc>
          <w:tcPr>
            <w:tcW w:w="80" w:type="dxa"/>
            <w:vAlign w:val="bottom"/>
          </w:tcPr>
          <w:p>
            <w:pPr>
              <w:spacing w:after="0"/>
              <w:rPr>
                <w:sz w:val="17"/>
                <w:szCs w:val="17"/>
                <w:color w:val="auto"/>
              </w:rPr>
            </w:pPr>
          </w:p>
        </w:tc>
      </w:tr>
      <w:tr>
        <w:trPr>
          <w:trHeight w:val="198"/>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Stock-based compensation</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16,501</w:t>
            </w:r>
          </w:p>
        </w:tc>
        <w:tc>
          <w:tcPr>
            <w:tcW w:w="2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7"/>
                <w:szCs w:val="17"/>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7"/>
                <w:szCs w:val="17"/>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16,501</w:t>
            </w:r>
          </w:p>
        </w:tc>
        <w:tc>
          <w:tcPr>
            <w:tcW w:w="80" w:type="dxa"/>
            <w:vAlign w:val="bottom"/>
            <w:shd w:val="clear" w:color="auto" w:fill="E5E6E7"/>
          </w:tcPr>
          <w:p>
            <w:pPr>
              <w:spacing w:after="0"/>
              <w:rPr>
                <w:sz w:val="17"/>
                <w:szCs w:val="17"/>
                <w:color w:val="auto"/>
              </w:rPr>
            </w:pPr>
          </w:p>
        </w:tc>
      </w:tr>
      <w:tr>
        <w:trPr>
          <w:trHeight w:val="198"/>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Other comprehensive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134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134</w:t>
            </w:r>
          </w:p>
        </w:tc>
        <w:tc>
          <w:tcPr>
            <w:tcW w:w="80" w:type="dxa"/>
            <w:vAlign w:val="bottom"/>
          </w:tcPr>
          <w:p>
            <w:pPr>
              <w:spacing w:after="0"/>
              <w:rPr>
                <w:sz w:val="17"/>
                <w:szCs w:val="17"/>
                <w:color w:val="auto"/>
              </w:rPr>
            </w:pPr>
          </w:p>
        </w:tc>
      </w:tr>
      <w:tr>
        <w:trPr>
          <w:trHeight w:val="198"/>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Net loss</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12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7"/>
                <w:szCs w:val="17"/>
                <w:color w:val="auto"/>
              </w:rPr>
            </w:pPr>
          </w:p>
        </w:tc>
        <w:tc>
          <w:tcPr>
            <w:tcW w:w="148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16"/>
                <w:szCs w:val="16"/>
                <w:color w:val="454546"/>
              </w:rPr>
              <w:t>(111,129)</w:t>
            </w: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1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(111,129)</w:t>
            </w:r>
          </w:p>
        </w:tc>
      </w:tr>
      <w:tr>
        <w:trPr>
          <w:trHeight w:val="193"/>
        </w:trPr>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454546"/>
              </w:rPr>
              <w:t>Balance as of December 31, 2024</w:t>
            </w:r>
          </w:p>
        </w:tc>
        <w:tc>
          <w:tcPr>
            <w:tcW w:w="20" w:type="dxa"/>
            <w:vAlign w:val="bottom"/>
            <w:tcBorders>
              <w:top w:val="single" w:sz="8" w:color="454546"/>
            </w:tcBorders>
          </w:tcPr>
          <w:p>
            <w:pPr>
              <w:spacing w:after="0"/>
              <w:rPr>
                <w:sz w:val="16"/>
                <w:szCs w:val="16"/>
                <w:color w:val="auto"/>
              </w:rPr>
            </w:pPr>
          </w:p>
        </w:tc>
        <w:tc>
          <w:tcPr>
            <w:tcW w:w="132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86,542,340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top w:val="single" w:sz="8" w:color="454546"/>
            </w:tcBorders>
            <w:gridSpan w:val="2"/>
          </w:tcPr>
          <w:p>
            <w:pPr>
              <w:jc w:val="right"/>
              <w:ind w:right="977"/>
              <w:spacing w:after="0"/>
              <w:rPr>
                <w:sz w:val="20"/>
                <w:szCs w:val="20"/>
                <w:color w:val="auto"/>
              </w:rPr>
            </w:pPr>
            <w:r>
              <w:rPr>
                <w:rFonts w:ascii="Times New Roman" w:cs="Times New Roman" w:eastAsia="Times New Roman" w:hAnsi="Times New Roman"/>
                <w:sz w:val="11"/>
                <w:szCs w:val="11"/>
                <w:color w:val="454546"/>
                <w:w w:val="71"/>
              </w:rPr>
              <w:t>$</w:t>
            </w:r>
          </w:p>
        </w:tc>
        <w:tc>
          <w:tcPr>
            <w:tcW w:w="30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454546"/>
            </w:tcBorders>
            <w:gridSpan w:val="2"/>
          </w:tcPr>
          <w:p>
            <w:pPr>
              <w:jc w:val="right"/>
              <w:ind w:right="95"/>
              <w:spacing w:after="0"/>
              <w:rPr>
                <w:sz w:val="20"/>
                <w:szCs w:val="20"/>
                <w:color w:val="auto"/>
              </w:rPr>
            </w:pPr>
            <w:r>
              <w:rPr>
                <w:rFonts w:ascii="Times New Roman" w:cs="Times New Roman" w:eastAsia="Times New Roman" w:hAnsi="Times New Roman"/>
                <w:sz w:val="11"/>
                <w:szCs w:val="11"/>
                <w:color w:val="454546"/>
                <w:w w:val="71"/>
              </w:rPr>
              <w:t>$</w:t>
            </w:r>
          </w:p>
        </w:tc>
        <w:tc>
          <w:tcPr>
            <w:tcW w:w="120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607,229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454546"/>
            </w:tcBorders>
            <w:gridSpan w:val="2"/>
          </w:tcPr>
          <w:p>
            <w:pPr>
              <w:spacing w:after="0"/>
              <w:rPr>
                <w:sz w:val="20"/>
                <w:szCs w:val="20"/>
                <w:color w:val="auto"/>
              </w:rPr>
            </w:pPr>
            <w:r>
              <w:rPr>
                <w:rFonts w:ascii="Times New Roman" w:cs="Times New Roman" w:eastAsia="Times New Roman" w:hAnsi="Times New Roman"/>
                <w:sz w:val="16"/>
                <w:szCs w:val="16"/>
                <w:color w:val="454546"/>
                <w:w w:val="74"/>
              </w:rPr>
              <w:t>$</w:t>
            </w:r>
          </w:p>
        </w:tc>
        <w:tc>
          <w:tcPr>
            <w:tcW w:w="128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28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454546"/>
            </w:tcBorders>
          </w:tcPr>
          <w:p>
            <w:pPr>
              <w:spacing w:after="0"/>
              <w:rPr>
                <w:sz w:val="16"/>
                <w:szCs w:val="16"/>
                <w:color w:val="auto"/>
              </w:rPr>
            </w:pPr>
          </w:p>
        </w:tc>
        <w:tc>
          <w:tcPr>
            <w:tcW w:w="140" w:type="dxa"/>
            <w:vAlign w:val="bottom"/>
            <w:tcBorders>
              <w:top w:val="single" w:sz="8" w:color="454546"/>
            </w:tcBorders>
          </w:tcPr>
          <w:p>
            <w:pPr>
              <w:jc w:val="right"/>
              <w:ind w:right="25"/>
              <w:spacing w:after="0"/>
              <w:rPr>
                <w:sz w:val="20"/>
                <w:szCs w:val="20"/>
                <w:color w:val="auto"/>
              </w:rPr>
            </w:pPr>
            <w:r>
              <w:rPr>
                <w:rFonts w:ascii="Times New Roman" w:cs="Times New Roman" w:eastAsia="Times New Roman" w:hAnsi="Times New Roman"/>
                <w:sz w:val="11"/>
                <w:szCs w:val="11"/>
                <w:color w:val="454546"/>
                <w:w w:val="71"/>
              </w:rPr>
              <w:t>$</w:t>
            </w:r>
          </w:p>
        </w:tc>
        <w:tc>
          <w:tcPr>
            <w:tcW w:w="122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(514,411)</w:t>
            </w:r>
          </w:p>
        </w:tc>
        <w:tc>
          <w:tcPr>
            <w:tcW w:w="2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454546"/>
            </w:tcBorders>
          </w:tcPr>
          <w:p>
            <w:pPr>
              <w:spacing w:after="0"/>
              <w:rPr>
                <w:sz w:val="16"/>
                <w:szCs w:val="16"/>
                <w:color w:val="auto"/>
              </w:rPr>
            </w:pPr>
          </w:p>
        </w:tc>
        <w:tc>
          <w:tcPr>
            <w:tcW w:w="100" w:type="dxa"/>
            <w:vAlign w:val="bottom"/>
            <w:tcBorders>
              <w:top w:val="single" w:sz="8" w:color="454546"/>
            </w:tcBorders>
          </w:tcPr>
          <w:p>
            <w:pPr>
              <w:jc w:val="right"/>
              <w:ind w:right="35"/>
              <w:spacing w:after="0"/>
              <w:rPr>
                <w:sz w:val="20"/>
                <w:szCs w:val="20"/>
                <w:color w:val="auto"/>
              </w:rPr>
            </w:pPr>
            <w:r>
              <w:rPr>
                <w:rFonts w:ascii="Times New Roman" w:cs="Times New Roman" w:eastAsia="Times New Roman" w:hAnsi="Times New Roman"/>
                <w:sz w:val="5"/>
                <w:szCs w:val="5"/>
                <w:color w:val="454546"/>
                <w:w w:val="78"/>
              </w:rPr>
              <w:t>$</w:t>
            </w:r>
          </w:p>
        </w:tc>
        <w:tc>
          <w:tcPr>
            <w:tcW w:w="124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92,854</w:t>
            </w:r>
          </w:p>
        </w:tc>
        <w:tc>
          <w:tcPr>
            <w:tcW w:w="80" w:type="dxa"/>
            <w:vAlign w:val="bottom"/>
          </w:tcPr>
          <w:p>
            <w:pPr>
              <w:spacing w:after="0"/>
              <w:rPr>
                <w:sz w:val="16"/>
                <w:szCs w:val="16"/>
                <w:color w:val="auto"/>
              </w:rPr>
            </w:pPr>
          </w:p>
        </w:tc>
      </w:tr>
      <w:tr>
        <w:trPr>
          <w:trHeight w:val="163"/>
        </w:trPr>
        <w:tc>
          <w:tcPr>
            <w:tcW w:w="4860" w:type="dxa"/>
            <w:vAlign w:val="bottom"/>
            <w:gridSpan w:val="4"/>
            <w:shd w:val="clear" w:color="auto" w:fill="E5E6E7"/>
          </w:tcPr>
          <w:p>
            <w:pPr>
              <w:ind w:left="200"/>
              <w:spacing w:after="0" w:line="164" w:lineRule="exact"/>
              <w:rPr>
                <w:sz w:val="20"/>
                <w:szCs w:val="20"/>
                <w:color w:val="auto"/>
              </w:rPr>
            </w:pPr>
            <w:r>
              <w:rPr>
                <w:rFonts w:ascii="Times New Roman" w:cs="Times New Roman" w:eastAsia="Times New Roman" w:hAnsi="Times New Roman"/>
                <w:sz w:val="16"/>
                <w:szCs w:val="16"/>
                <w:color w:val="454546"/>
              </w:rPr>
              <w:t>Issuance of common stock and warrants in follow-on offering, net of</w:t>
            </w:r>
          </w:p>
        </w:tc>
        <w:tc>
          <w:tcPr>
            <w:tcW w:w="13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60" w:type="dxa"/>
            <w:vAlign w:val="bottom"/>
            <w:shd w:val="clear" w:color="auto" w:fill="E5E6E7"/>
          </w:tcPr>
          <w:p>
            <w:pPr>
              <w:spacing w:after="0"/>
              <w:rPr>
                <w:sz w:val="14"/>
                <w:szCs w:val="14"/>
                <w:color w:val="auto"/>
              </w:rPr>
            </w:pPr>
          </w:p>
        </w:tc>
        <w:tc>
          <w:tcPr>
            <w:tcW w:w="3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60" w:type="dxa"/>
            <w:vAlign w:val="bottom"/>
            <w:shd w:val="clear" w:color="auto" w:fill="E5E6E7"/>
          </w:tcPr>
          <w:p>
            <w:pPr>
              <w:spacing w:after="0"/>
              <w:rPr>
                <w:sz w:val="14"/>
                <w:szCs w:val="14"/>
                <w:color w:val="auto"/>
              </w:rPr>
            </w:pPr>
          </w:p>
        </w:tc>
        <w:tc>
          <w:tcPr>
            <w:tcW w:w="1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0" w:type="dxa"/>
            <w:vAlign w:val="bottom"/>
            <w:shd w:val="clear" w:color="auto" w:fill="E5E6E7"/>
          </w:tcPr>
          <w:p>
            <w:pPr>
              <w:spacing w:after="0"/>
              <w:rPr>
                <w:sz w:val="14"/>
                <w:szCs w:val="14"/>
                <w:color w:val="auto"/>
              </w:rPr>
            </w:pPr>
          </w:p>
        </w:tc>
        <w:tc>
          <w:tcPr>
            <w:tcW w:w="128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1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124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r>
      <w:tr>
        <w:trPr>
          <w:trHeight w:val="219"/>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issuance costs of $7,850</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125,000,000</w:t>
            </w: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3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13</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104,637</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9"/>
                <w:szCs w:val="19"/>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9"/>
                <w:szCs w:val="19"/>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104,650</w:t>
            </w:r>
          </w:p>
        </w:tc>
        <w:tc>
          <w:tcPr>
            <w:tcW w:w="80" w:type="dxa"/>
            <w:vAlign w:val="bottom"/>
            <w:shd w:val="clear" w:color="auto" w:fill="E5E6E7"/>
          </w:tcPr>
          <w:p>
            <w:pPr>
              <w:spacing w:after="0"/>
              <w:rPr>
                <w:sz w:val="19"/>
                <w:szCs w:val="19"/>
                <w:color w:val="auto"/>
              </w:rPr>
            </w:pPr>
          </w:p>
        </w:tc>
      </w:tr>
      <w:tr>
        <w:trPr>
          <w:trHeight w:val="163"/>
        </w:trPr>
        <w:tc>
          <w:tcPr>
            <w:tcW w:w="4860" w:type="dxa"/>
            <w:vAlign w:val="bottom"/>
            <w:gridSpan w:val="4"/>
          </w:tcPr>
          <w:p>
            <w:pPr>
              <w:ind w:left="200"/>
              <w:spacing w:after="0" w:line="164" w:lineRule="exact"/>
              <w:rPr>
                <w:sz w:val="20"/>
                <w:szCs w:val="20"/>
                <w:color w:val="auto"/>
              </w:rPr>
            </w:pPr>
            <w:r>
              <w:rPr>
                <w:rFonts w:ascii="Times New Roman" w:cs="Times New Roman" w:eastAsia="Times New Roman" w:hAnsi="Times New Roman"/>
                <w:sz w:val="16"/>
                <w:szCs w:val="16"/>
                <w:color w:val="454546"/>
              </w:rPr>
              <w:t>Issuance of common stock pursuant to employee stock purchase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190,483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8"/>
                <w:szCs w:val="18"/>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112</w:t>
            </w:r>
          </w:p>
        </w:tc>
        <w:tc>
          <w:tcPr>
            <w:tcW w:w="80" w:type="dxa"/>
            <w:vAlign w:val="bottom"/>
          </w:tcPr>
          <w:p>
            <w:pPr>
              <w:spacing w:after="0"/>
              <w:rPr>
                <w:sz w:val="18"/>
                <w:szCs w:val="18"/>
                <w:color w:val="auto"/>
              </w:rPr>
            </w:pPr>
          </w:p>
        </w:tc>
      </w:tr>
      <w:tr>
        <w:trPr>
          <w:trHeight w:val="166"/>
        </w:trPr>
        <w:tc>
          <w:tcPr>
            <w:tcW w:w="4860" w:type="dxa"/>
            <w:vAlign w:val="bottom"/>
            <w:gridSpan w:val="4"/>
            <w:shd w:val="clear" w:color="auto" w:fill="E5E6E7"/>
          </w:tcPr>
          <w:p>
            <w:pPr>
              <w:ind w:left="200"/>
              <w:spacing w:after="0" w:line="167" w:lineRule="exact"/>
              <w:rPr>
                <w:sz w:val="20"/>
                <w:szCs w:val="20"/>
                <w:color w:val="auto"/>
              </w:rPr>
            </w:pPr>
            <w:r>
              <w:rPr>
                <w:rFonts w:ascii="Times New Roman" w:cs="Times New Roman" w:eastAsia="Times New Roman" w:hAnsi="Times New Roman"/>
                <w:sz w:val="16"/>
                <w:szCs w:val="16"/>
                <w:color w:val="454546"/>
              </w:rPr>
              <w:t>Issuance of common stock upon exercise of stock options and</w:t>
            </w:r>
          </w:p>
        </w:tc>
        <w:tc>
          <w:tcPr>
            <w:tcW w:w="13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60" w:type="dxa"/>
            <w:vAlign w:val="bottom"/>
            <w:shd w:val="clear" w:color="auto" w:fill="E5E6E7"/>
          </w:tcPr>
          <w:p>
            <w:pPr>
              <w:spacing w:after="0"/>
              <w:rPr>
                <w:sz w:val="14"/>
                <w:szCs w:val="14"/>
                <w:color w:val="auto"/>
              </w:rPr>
            </w:pPr>
          </w:p>
        </w:tc>
        <w:tc>
          <w:tcPr>
            <w:tcW w:w="3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60" w:type="dxa"/>
            <w:vAlign w:val="bottom"/>
            <w:shd w:val="clear" w:color="auto" w:fill="E5E6E7"/>
          </w:tcPr>
          <w:p>
            <w:pPr>
              <w:spacing w:after="0"/>
              <w:rPr>
                <w:sz w:val="14"/>
                <w:szCs w:val="14"/>
                <w:color w:val="auto"/>
              </w:rPr>
            </w:pPr>
          </w:p>
        </w:tc>
        <w:tc>
          <w:tcPr>
            <w:tcW w:w="120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0" w:type="dxa"/>
            <w:vAlign w:val="bottom"/>
            <w:shd w:val="clear" w:color="auto" w:fill="E5E6E7"/>
          </w:tcPr>
          <w:p>
            <w:pPr>
              <w:spacing w:after="0"/>
              <w:rPr>
                <w:sz w:val="14"/>
                <w:szCs w:val="14"/>
                <w:color w:val="auto"/>
              </w:rPr>
            </w:pPr>
          </w:p>
        </w:tc>
        <w:tc>
          <w:tcPr>
            <w:tcW w:w="128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40" w:type="dxa"/>
            <w:vAlign w:val="bottom"/>
            <w:shd w:val="clear" w:color="auto" w:fill="E5E6E7"/>
          </w:tcPr>
          <w:p>
            <w:pPr>
              <w:spacing w:after="0"/>
              <w:rPr>
                <w:sz w:val="14"/>
                <w:szCs w:val="14"/>
                <w:color w:val="auto"/>
              </w:rPr>
            </w:pPr>
          </w:p>
        </w:tc>
        <w:tc>
          <w:tcPr>
            <w:tcW w:w="12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1240" w:type="dxa"/>
            <w:vAlign w:val="bottom"/>
            <w:shd w:val="clear" w:color="auto" w:fill="E5E6E7"/>
          </w:tcPr>
          <w:p>
            <w:pPr>
              <w:spacing w:after="0"/>
              <w:rPr>
                <w:sz w:val="14"/>
                <w:szCs w:val="14"/>
                <w:color w:val="auto"/>
              </w:rPr>
            </w:pPr>
          </w:p>
        </w:tc>
        <w:tc>
          <w:tcPr>
            <w:tcW w:w="80" w:type="dxa"/>
            <w:vAlign w:val="bottom"/>
            <w:shd w:val="clear" w:color="auto" w:fill="E5E6E7"/>
          </w:tcPr>
          <w:p>
            <w:pPr>
              <w:spacing w:after="0"/>
              <w:rPr>
                <w:sz w:val="14"/>
                <w:szCs w:val="14"/>
                <w:color w:val="auto"/>
              </w:rPr>
            </w:pPr>
          </w:p>
        </w:tc>
      </w:tr>
      <w:tr>
        <w:trPr>
          <w:trHeight w:val="219"/>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vesting of restricted stock units</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936,144</w:t>
            </w: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27</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9"/>
                <w:szCs w:val="19"/>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9"/>
                <w:szCs w:val="19"/>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27</w:t>
            </w:r>
          </w:p>
        </w:tc>
        <w:tc>
          <w:tcPr>
            <w:tcW w:w="80" w:type="dxa"/>
            <w:vAlign w:val="bottom"/>
            <w:shd w:val="clear" w:color="auto" w:fill="E5E6E7"/>
          </w:tcPr>
          <w:p>
            <w:pPr>
              <w:spacing w:after="0"/>
              <w:rPr>
                <w:sz w:val="19"/>
                <w:szCs w:val="19"/>
                <w:color w:val="auto"/>
              </w:rPr>
            </w:pPr>
          </w:p>
        </w:tc>
      </w:tr>
      <w:tr>
        <w:trPr>
          <w:trHeight w:val="163"/>
        </w:trPr>
        <w:tc>
          <w:tcPr>
            <w:tcW w:w="4860" w:type="dxa"/>
            <w:vAlign w:val="bottom"/>
            <w:gridSpan w:val="4"/>
          </w:tcPr>
          <w:p>
            <w:pPr>
              <w:ind w:left="200"/>
              <w:spacing w:after="0" w:line="164" w:lineRule="exact"/>
              <w:rPr>
                <w:sz w:val="20"/>
                <w:szCs w:val="20"/>
                <w:color w:val="auto"/>
              </w:rPr>
            </w:pPr>
            <w:r>
              <w:rPr>
                <w:rFonts w:ascii="Times New Roman" w:cs="Times New Roman" w:eastAsia="Times New Roman" w:hAnsi="Times New Roman"/>
                <w:sz w:val="16"/>
                <w:szCs w:val="16"/>
                <w:color w:val="454546"/>
              </w:rPr>
              <w:t>Issuance of common stock in connection with at-the market sales,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net of issuance costs of $280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822,566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8"/>
                <w:szCs w:val="18"/>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912</w:t>
            </w:r>
          </w:p>
        </w:tc>
        <w:tc>
          <w:tcPr>
            <w:tcW w:w="80" w:type="dxa"/>
            <w:vAlign w:val="bottom"/>
          </w:tcPr>
          <w:p>
            <w:pPr>
              <w:spacing w:after="0"/>
              <w:rPr>
                <w:sz w:val="18"/>
                <w:szCs w:val="18"/>
                <w:color w:val="auto"/>
              </w:rPr>
            </w:pPr>
          </w:p>
        </w:tc>
      </w:tr>
      <w:tr>
        <w:trPr>
          <w:trHeight w:val="201"/>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Issuance of common stock upon exercise of warrants</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3,268,750</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2,289</w:t>
            </w:r>
          </w:p>
        </w:tc>
        <w:tc>
          <w:tcPr>
            <w:tcW w:w="2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540" w:type="dxa"/>
            <w:vAlign w:val="bottom"/>
            <w:gridSpan w:val="4"/>
            <w:shd w:val="clear" w:color="auto" w:fill="E5E6E7"/>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shd w:val="clear" w:color="auto" w:fill="E5E6E7"/>
          </w:tcPr>
          <w:p>
            <w:pPr>
              <w:spacing w:after="0"/>
              <w:rPr>
                <w:sz w:val="17"/>
                <w:szCs w:val="17"/>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7"/>
                <w:szCs w:val="17"/>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2,289</w:t>
            </w:r>
          </w:p>
        </w:tc>
        <w:tc>
          <w:tcPr>
            <w:tcW w:w="80" w:type="dxa"/>
            <w:vAlign w:val="bottom"/>
            <w:shd w:val="clear" w:color="auto" w:fill="E5E6E7"/>
          </w:tcPr>
          <w:p>
            <w:pPr>
              <w:spacing w:after="0"/>
              <w:rPr>
                <w:sz w:val="17"/>
                <w:szCs w:val="17"/>
                <w:color w:val="auto"/>
              </w:rPr>
            </w:pPr>
          </w:p>
        </w:tc>
      </w:tr>
      <w:tr>
        <w:trPr>
          <w:trHeight w:val="198"/>
        </w:trPr>
        <w:tc>
          <w:tcPr>
            <w:tcW w:w="48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454546"/>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13,046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454546"/>
              </w:rPr>
              <w:t>—</w:t>
            </w:r>
          </w:p>
        </w:tc>
        <w:tc>
          <w:tcPr>
            <w:tcW w:w="140" w:type="dxa"/>
            <w:vAlign w:val="bottom"/>
          </w:tcPr>
          <w:p>
            <w:pPr>
              <w:spacing w:after="0"/>
              <w:rPr>
                <w:sz w:val="17"/>
                <w:szCs w:val="17"/>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13,046</w:t>
            </w:r>
          </w:p>
        </w:tc>
        <w:tc>
          <w:tcPr>
            <w:tcW w:w="80" w:type="dxa"/>
            <w:vAlign w:val="bottom"/>
          </w:tcPr>
          <w:p>
            <w:pPr>
              <w:spacing w:after="0"/>
              <w:rPr>
                <w:sz w:val="17"/>
                <w:szCs w:val="17"/>
                <w:color w:val="auto"/>
              </w:rPr>
            </w:pPr>
          </w:p>
        </w:tc>
      </w:tr>
      <w:tr>
        <w:trPr>
          <w:trHeight w:val="198"/>
        </w:trPr>
        <w:tc>
          <w:tcPr>
            <w:tcW w:w="486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Other comprehensive loss</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12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1520" w:type="dxa"/>
            <w:vAlign w:val="bottom"/>
            <w:gridSpan w:val="3"/>
            <w:shd w:val="clear" w:color="auto" w:fill="E5E6E7"/>
          </w:tcPr>
          <w:p>
            <w:pPr>
              <w:jc w:val="right"/>
              <w:ind w:right="200"/>
              <w:spacing w:after="0"/>
              <w:rPr>
                <w:sz w:val="20"/>
                <w:szCs w:val="20"/>
                <w:color w:val="auto"/>
              </w:rPr>
            </w:pPr>
            <w:r>
              <w:rPr>
                <w:rFonts w:ascii="Times New Roman" w:cs="Times New Roman" w:eastAsia="Times New Roman" w:hAnsi="Times New Roman"/>
                <w:sz w:val="16"/>
                <w:szCs w:val="16"/>
                <w:color w:val="454546"/>
              </w:rPr>
              <w:t>(28)</w:t>
            </w:r>
          </w:p>
        </w:tc>
        <w:tc>
          <w:tcPr>
            <w:tcW w:w="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1520" w:type="dxa"/>
            <w:vAlign w:val="bottom"/>
            <w:gridSpan w:val="5"/>
            <w:shd w:val="clear" w:color="auto" w:fill="E5E6E7"/>
          </w:tcPr>
          <w:p>
            <w:pPr>
              <w:jc w:val="right"/>
              <w:ind w:right="300"/>
              <w:spacing w:after="0"/>
              <w:rPr>
                <w:sz w:val="20"/>
                <w:szCs w:val="20"/>
                <w:color w:val="auto"/>
              </w:rPr>
            </w:pPr>
            <w:r>
              <w:rPr>
                <w:rFonts w:ascii="Times New Roman" w:cs="Times New Roman" w:eastAsia="Times New Roman" w:hAnsi="Times New Roman"/>
                <w:sz w:val="16"/>
                <w:szCs w:val="16"/>
                <w:color w:val="454546"/>
              </w:rPr>
              <w:t>—</w:t>
            </w:r>
          </w:p>
        </w:tc>
        <w:tc>
          <w:tcPr>
            <w:tcW w:w="100" w:type="dxa"/>
            <w:vAlign w:val="bottom"/>
            <w:shd w:val="clear" w:color="auto" w:fill="E5E6E7"/>
          </w:tcPr>
          <w:p>
            <w:pPr>
              <w:spacing w:after="0"/>
              <w:rPr>
                <w:sz w:val="17"/>
                <w:szCs w:val="17"/>
                <w:color w:val="auto"/>
              </w:rPr>
            </w:pPr>
          </w:p>
        </w:tc>
        <w:tc>
          <w:tcPr>
            <w:tcW w:w="13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6"/>
                <w:szCs w:val="16"/>
                <w:color w:val="454546"/>
              </w:rPr>
              <w:t>(28)</w:t>
            </w:r>
          </w:p>
        </w:tc>
      </w:tr>
      <w:tr>
        <w:trPr>
          <w:trHeight w:val="198"/>
        </w:trPr>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454546"/>
              </w:rPr>
              <w:t>Net loss</w:t>
            </w:r>
          </w:p>
        </w:tc>
        <w:tc>
          <w:tcPr>
            <w:tcW w:w="40" w:type="dxa"/>
            <w:vAlign w:val="bottom"/>
            <w:gridSpan w:val="2"/>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454546"/>
              </w:rPr>
              <w:t>(90,597)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(90,597)</w:t>
            </w:r>
          </w:p>
        </w:tc>
      </w:tr>
      <w:tr>
        <w:trPr>
          <w:trHeight w:val="213"/>
        </w:trPr>
        <w:tc>
          <w:tcPr>
            <w:tcW w:w="4820" w:type="dxa"/>
            <w:vAlign w:val="bottom"/>
            <w:tcBorders>
              <w:top w:val="single" w:sz="8" w:color="E5E6E7"/>
            </w:tcBorders>
            <w:gridSpan w:val="2"/>
            <w:shd w:val="clear" w:color="auto" w:fill="E5E6E7"/>
          </w:tcPr>
          <w:p>
            <w:pPr>
              <w:spacing w:after="0"/>
              <w:rPr>
                <w:sz w:val="20"/>
                <w:szCs w:val="20"/>
                <w:color w:val="auto"/>
              </w:rPr>
            </w:pPr>
            <w:r>
              <w:rPr>
                <w:rFonts w:ascii="Times New Roman" w:cs="Times New Roman" w:eastAsia="Times New Roman" w:hAnsi="Times New Roman"/>
                <w:sz w:val="16"/>
                <w:szCs w:val="16"/>
                <w:color w:val="454546"/>
              </w:rPr>
              <w:t>Balance as of December 31, 2025</w:t>
            </w:r>
          </w:p>
        </w:tc>
        <w:tc>
          <w:tcPr>
            <w:tcW w:w="40" w:type="dxa"/>
            <w:vAlign w:val="bottom"/>
            <w:tcBorders>
              <w:top w:val="single" w:sz="8" w:color="454546"/>
            </w:tcBorders>
            <w:gridSpan w:val="2"/>
            <w:shd w:val="clear" w:color="auto" w:fill="E5E6E7"/>
          </w:tcPr>
          <w:p>
            <w:pPr>
              <w:spacing w:after="0"/>
              <w:rPr>
                <w:sz w:val="18"/>
                <w:szCs w:val="18"/>
                <w:color w:val="auto"/>
              </w:rPr>
            </w:pPr>
          </w:p>
        </w:tc>
        <w:tc>
          <w:tcPr>
            <w:tcW w:w="132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216,760,283</w:t>
            </w:r>
          </w:p>
        </w:tc>
        <w:tc>
          <w:tcPr>
            <w:tcW w:w="220" w:type="dxa"/>
            <w:vAlign w:val="bottom"/>
            <w:tcBorders>
              <w:top w:val="single" w:sz="8" w:color="E5E6E7"/>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1060" w:type="dxa"/>
            <w:vAlign w:val="bottom"/>
            <w:tcBorders>
              <w:top w:val="single" w:sz="8" w:color="454546"/>
            </w:tcBorders>
            <w:shd w:val="clear" w:color="auto" w:fill="E5E6E7"/>
          </w:tcPr>
          <w:p>
            <w:pPr>
              <w:jc w:val="right"/>
              <w:ind w:right="977"/>
              <w:spacing w:after="0"/>
              <w:rPr>
                <w:sz w:val="20"/>
                <w:szCs w:val="20"/>
                <w:color w:val="auto"/>
              </w:rPr>
            </w:pPr>
            <w:r>
              <w:rPr>
                <w:rFonts w:ascii="Times New Roman" w:cs="Times New Roman" w:eastAsia="Times New Roman" w:hAnsi="Times New Roman"/>
                <w:sz w:val="5"/>
                <w:szCs w:val="5"/>
                <w:color w:val="454546"/>
                <w:w w:val="78"/>
              </w:rPr>
              <w:t>$</w:t>
            </w:r>
          </w:p>
        </w:tc>
        <w:tc>
          <w:tcPr>
            <w:tcW w:w="30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21</w:t>
            </w:r>
          </w:p>
        </w:tc>
        <w:tc>
          <w:tcPr>
            <w:tcW w:w="20" w:type="dxa"/>
            <w:vAlign w:val="bottom"/>
            <w:shd w:val="clear" w:color="auto" w:fill="E5E6E7"/>
          </w:tcPr>
          <w:p>
            <w:pPr>
              <w:spacing w:after="0"/>
              <w:rPr>
                <w:sz w:val="18"/>
                <w:szCs w:val="18"/>
                <w:color w:val="auto"/>
              </w:rPr>
            </w:pPr>
          </w:p>
        </w:tc>
        <w:tc>
          <w:tcPr>
            <w:tcW w:w="220" w:type="dxa"/>
            <w:vAlign w:val="bottom"/>
            <w:tcBorders>
              <w:top w:val="single" w:sz="8" w:color="E5E6E7"/>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160" w:type="dxa"/>
            <w:vAlign w:val="bottom"/>
            <w:tcBorders>
              <w:top w:val="single" w:sz="8" w:color="454546"/>
            </w:tcBorders>
            <w:shd w:val="clear" w:color="auto" w:fill="E5E6E7"/>
          </w:tcPr>
          <w:p>
            <w:pPr>
              <w:jc w:val="right"/>
              <w:ind w:right="95"/>
              <w:spacing w:after="0"/>
              <w:rPr>
                <w:sz w:val="20"/>
                <w:szCs w:val="20"/>
                <w:color w:val="auto"/>
              </w:rPr>
            </w:pPr>
            <w:r>
              <w:rPr>
                <w:rFonts w:ascii="Times New Roman" w:cs="Times New Roman" w:eastAsia="Times New Roman" w:hAnsi="Times New Roman"/>
                <w:sz w:val="5"/>
                <w:szCs w:val="5"/>
                <w:color w:val="454546"/>
                <w:w w:val="78"/>
              </w:rPr>
              <w:t>$</w:t>
            </w:r>
          </w:p>
        </w:tc>
        <w:tc>
          <w:tcPr>
            <w:tcW w:w="120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728,252</w:t>
            </w:r>
          </w:p>
        </w:tc>
        <w:tc>
          <w:tcPr>
            <w:tcW w:w="20" w:type="dxa"/>
            <w:vAlign w:val="bottom"/>
            <w:shd w:val="clear" w:color="auto" w:fill="E5E6E7"/>
          </w:tcPr>
          <w:p>
            <w:pPr>
              <w:spacing w:after="0"/>
              <w:rPr>
                <w:sz w:val="18"/>
                <w:szCs w:val="18"/>
                <w:color w:val="auto"/>
              </w:rPr>
            </w:pPr>
          </w:p>
        </w:tc>
        <w:tc>
          <w:tcPr>
            <w:tcW w:w="220" w:type="dxa"/>
            <w:vAlign w:val="bottom"/>
            <w:tcBorders>
              <w:top w:val="single" w:sz="8" w:color="E5E6E7"/>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60" w:type="dxa"/>
            <w:vAlign w:val="bottom"/>
            <w:tcBorders>
              <w:top w:val="single" w:sz="8" w:color="454546"/>
            </w:tcBorders>
            <w:shd w:val="clear" w:color="auto" w:fill="E5E6E7"/>
          </w:tcPr>
          <w:p>
            <w:pPr>
              <w:spacing w:after="0"/>
              <w:rPr>
                <w:sz w:val="20"/>
                <w:szCs w:val="20"/>
                <w:color w:val="auto"/>
              </w:rPr>
            </w:pPr>
            <w:r>
              <w:rPr>
                <w:rFonts w:ascii="Times New Roman" w:cs="Times New Roman" w:eastAsia="Times New Roman" w:hAnsi="Times New Roman"/>
                <w:sz w:val="11"/>
                <w:szCs w:val="11"/>
                <w:color w:val="454546"/>
                <w:w w:val="71"/>
              </w:rPr>
              <w:t>$</w:t>
            </w:r>
          </w:p>
        </w:tc>
        <w:tc>
          <w:tcPr>
            <w:tcW w:w="128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20" w:type="dxa"/>
            <w:vAlign w:val="bottom"/>
            <w:shd w:val="clear" w:color="auto" w:fill="E5E6E7"/>
          </w:tcPr>
          <w:p>
            <w:pPr>
              <w:spacing w:after="0"/>
              <w:rPr>
                <w:sz w:val="18"/>
                <w:szCs w:val="18"/>
                <w:color w:val="auto"/>
              </w:rPr>
            </w:pPr>
          </w:p>
        </w:tc>
        <w:tc>
          <w:tcPr>
            <w:tcW w:w="220" w:type="dxa"/>
            <w:vAlign w:val="bottom"/>
            <w:tcBorders>
              <w:top w:val="single" w:sz="8" w:color="E5E6E7"/>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140" w:type="dxa"/>
            <w:vAlign w:val="bottom"/>
            <w:tcBorders>
              <w:top w:val="single" w:sz="8" w:color="454546"/>
            </w:tcBorders>
            <w:shd w:val="clear" w:color="auto" w:fill="E5E6E7"/>
          </w:tcPr>
          <w:p>
            <w:pPr>
              <w:jc w:val="right"/>
              <w:ind w:right="25"/>
              <w:spacing w:after="0"/>
              <w:rPr>
                <w:sz w:val="20"/>
                <w:szCs w:val="20"/>
                <w:color w:val="auto"/>
              </w:rPr>
            </w:pPr>
            <w:r>
              <w:rPr>
                <w:rFonts w:ascii="Times New Roman" w:cs="Times New Roman" w:eastAsia="Times New Roman" w:hAnsi="Times New Roman"/>
                <w:sz w:val="11"/>
                <w:szCs w:val="11"/>
                <w:color w:val="454546"/>
                <w:w w:val="71"/>
              </w:rPr>
              <w:t>$</w:t>
            </w:r>
          </w:p>
        </w:tc>
        <w:tc>
          <w:tcPr>
            <w:tcW w:w="122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(605,008)</w:t>
            </w:r>
          </w:p>
        </w:tc>
        <w:tc>
          <w:tcPr>
            <w:tcW w:w="20" w:type="dxa"/>
            <w:vAlign w:val="bottom"/>
            <w:shd w:val="clear" w:color="auto" w:fill="E5E6E7"/>
          </w:tcPr>
          <w:p>
            <w:pPr>
              <w:spacing w:after="0"/>
              <w:rPr>
                <w:sz w:val="18"/>
                <w:szCs w:val="18"/>
                <w:color w:val="auto"/>
              </w:rPr>
            </w:pPr>
          </w:p>
        </w:tc>
        <w:tc>
          <w:tcPr>
            <w:tcW w:w="240" w:type="dxa"/>
            <w:vAlign w:val="bottom"/>
            <w:tcBorders>
              <w:top w:val="single" w:sz="8" w:color="E5E6E7"/>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20" w:type="dxa"/>
            <w:vAlign w:val="bottom"/>
            <w:tcBorders>
              <w:top w:val="single" w:sz="8" w:color="454546"/>
            </w:tcBorders>
            <w:shd w:val="clear" w:color="auto" w:fill="E5E6E7"/>
          </w:tcPr>
          <w:p>
            <w:pPr>
              <w:spacing w:after="0"/>
              <w:rPr>
                <w:sz w:val="18"/>
                <w:szCs w:val="18"/>
                <w:color w:val="auto"/>
              </w:rPr>
            </w:pPr>
          </w:p>
        </w:tc>
        <w:tc>
          <w:tcPr>
            <w:tcW w:w="100" w:type="dxa"/>
            <w:vAlign w:val="bottom"/>
            <w:tcBorders>
              <w:top w:val="single" w:sz="8" w:color="454546"/>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54546"/>
                <w:w w:val="78"/>
              </w:rPr>
              <w:t>$</w:t>
            </w:r>
          </w:p>
        </w:tc>
        <w:tc>
          <w:tcPr>
            <w:tcW w:w="124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123,265</w:t>
            </w:r>
          </w:p>
        </w:tc>
        <w:tc>
          <w:tcPr>
            <w:tcW w:w="80" w:type="dxa"/>
            <w:vAlign w:val="bottom"/>
            <w:tcBorders>
              <w:top w:val="single" w:sz="8" w:color="E5E6E7"/>
            </w:tcBorders>
            <w:shd w:val="clear" w:color="auto" w:fill="E5E6E7"/>
          </w:tcPr>
          <w:p>
            <w:pPr>
              <w:spacing w:after="0"/>
              <w:rPr>
                <w:sz w:val="18"/>
                <w:szCs w:val="18"/>
                <w:color w:val="auto"/>
              </w:rPr>
            </w:pPr>
          </w:p>
        </w:tc>
      </w:tr>
      <w:tr>
        <w:trPr>
          <w:trHeight w:val="20"/>
        </w:trPr>
        <w:tc>
          <w:tcPr>
            <w:tcW w:w="480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132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1060" w:type="dxa"/>
            <w:vAlign w:val="bottom"/>
            <w:tcBorders>
              <w:top w:val="single" w:sz="8" w:color="454546"/>
              <w:bottom w:val="single" w:sz="8" w:color="454546"/>
            </w:tcBorders>
          </w:tcPr>
          <w:p>
            <w:pPr>
              <w:spacing w:after="0" w:line="20" w:lineRule="exact"/>
              <w:rPr>
                <w:sz w:val="1"/>
                <w:szCs w:val="1"/>
                <w:color w:val="auto"/>
              </w:rPr>
            </w:pPr>
          </w:p>
        </w:tc>
        <w:tc>
          <w:tcPr>
            <w:tcW w:w="30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22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160" w:type="dxa"/>
            <w:vAlign w:val="bottom"/>
            <w:tcBorders>
              <w:top w:val="single" w:sz="8" w:color="454546"/>
              <w:bottom w:val="single" w:sz="8" w:color="454546"/>
            </w:tcBorders>
          </w:tcPr>
          <w:p>
            <w:pPr>
              <w:spacing w:after="0" w:line="20" w:lineRule="exact"/>
              <w:rPr>
                <w:sz w:val="1"/>
                <w:szCs w:val="1"/>
                <w:color w:val="auto"/>
              </w:rPr>
            </w:pPr>
          </w:p>
        </w:tc>
        <w:tc>
          <w:tcPr>
            <w:tcW w:w="120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22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454546"/>
              <w:bottom w:val="single" w:sz="8" w:color="454546"/>
            </w:tcBorders>
          </w:tcPr>
          <w:p>
            <w:pPr>
              <w:spacing w:after="0" w:line="20" w:lineRule="exact"/>
              <w:rPr>
                <w:sz w:val="1"/>
                <w:szCs w:val="1"/>
                <w:color w:val="auto"/>
              </w:rPr>
            </w:pPr>
          </w:p>
        </w:tc>
        <w:tc>
          <w:tcPr>
            <w:tcW w:w="128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22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140" w:type="dxa"/>
            <w:vAlign w:val="bottom"/>
            <w:tcBorders>
              <w:top w:val="single" w:sz="8" w:color="454546"/>
              <w:bottom w:val="single" w:sz="8" w:color="454546"/>
            </w:tcBorders>
          </w:tcPr>
          <w:p>
            <w:pPr>
              <w:spacing w:after="0" w:line="20" w:lineRule="exact"/>
              <w:rPr>
                <w:sz w:val="1"/>
                <w:szCs w:val="1"/>
                <w:color w:val="auto"/>
              </w:rPr>
            </w:pPr>
          </w:p>
        </w:tc>
        <w:tc>
          <w:tcPr>
            <w:tcW w:w="12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240" w:type="dxa"/>
            <w:vAlign w:val="bottom"/>
            <w:tcBorders>
              <w:top w:val="single" w:sz="8" w:color="E5E6E7"/>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100" w:type="dxa"/>
            <w:vAlign w:val="bottom"/>
            <w:tcBorders>
              <w:top w:val="single" w:sz="8" w:color="454546"/>
              <w:bottom w:val="single" w:sz="8" w:color="454546"/>
            </w:tcBorders>
          </w:tcPr>
          <w:p>
            <w:pPr>
              <w:spacing w:after="0" w:line="20" w:lineRule="exact"/>
              <w:rPr>
                <w:sz w:val="1"/>
                <w:szCs w:val="1"/>
                <w:color w:val="auto"/>
              </w:rPr>
            </w:pPr>
          </w:p>
        </w:tc>
        <w:tc>
          <w:tcPr>
            <w:tcW w:w="12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5E6E7"/>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5840" w:h="12240" w:orient="landscape"/>
          <w:cols w:equalWidth="0" w:num="1">
            <w:col w:w="14400"/>
          </w:cols>
          <w:pgMar w:left="720" w:top="1180" w:right="72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112</w:t>
      </w:r>
    </w:p>
    <w:p>
      <w:pPr>
        <w:sectPr>
          <w:pgSz w:w="15840" w:h="12240" w:orient="landscape"/>
          <w:cols w:equalWidth="0" w:num="1">
            <w:col w:w="14400"/>
          </w:cols>
          <w:pgMar w:left="720" w:top="1180" w:right="720" w:bottom="207" w:gutter="0" w:footer="0" w:header="0"/>
          <w:type w:val="continuous"/>
        </w:sectPr>
      </w:pPr>
    </w:p>
    <w:bookmarkStart w:id="114" w:name="page115"/>
    <w:bookmarkEnd w:id="114"/>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454546"/>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0" w:type="dxa"/>
            <w:vAlign w:val="bottom"/>
          </w:tcPr>
          <w:p>
            <w:pPr>
              <w:spacing w:after="0"/>
              <w:rPr>
                <w:sz w:val="1"/>
                <w:szCs w:val="1"/>
                <w:color w:val="auto"/>
              </w:rPr>
            </w:pPr>
          </w:p>
        </w:tc>
      </w:tr>
      <w:tr>
        <w:trPr>
          <w:trHeight w:val="193"/>
        </w:trPr>
        <w:tc>
          <w:tcPr>
            <w:tcW w:w="6240" w:type="dxa"/>
            <w:vAlign w:val="bottom"/>
            <w:tcBorders>
              <w:bottom w:val="single" w:sz="8" w:color="E5E6E7"/>
            </w:tcBorders>
          </w:tcPr>
          <w:p>
            <w:pPr>
              <w:spacing w:after="0"/>
              <w:rPr>
                <w:sz w:val="16"/>
                <w:szCs w:val="16"/>
                <w:color w:val="auto"/>
              </w:rPr>
            </w:pPr>
          </w:p>
        </w:tc>
        <w:tc>
          <w:tcPr>
            <w:tcW w:w="100" w:type="dxa"/>
            <w:vAlign w:val="bottom"/>
            <w:tcBorders>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60" w:type="dxa"/>
            <w:vAlign w:val="bottom"/>
            <w:tcBorders>
              <w:top w:val="single" w:sz="8" w:color="454546"/>
              <w:bottom w:val="single" w:sz="8" w:color="454546"/>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60" w:type="dxa"/>
            <w:vAlign w:val="bottom"/>
            <w:tcBorders>
              <w:top w:val="single" w:sz="8" w:color="454546"/>
              <w:bottom w:val="single" w:sz="8" w:color="E5E6E7"/>
            </w:tcBorders>
          </w:tcPr>
          <w:p>
            <w:pPr>
              <w:spacing w:after="0"/>
              <w:rPr>
                <w:sz w:val="16"/>
                <w:szCs w:val="16"/>
                <w:color w:val="auto"/>
              </w:rPr>
            </w:pPr>
          </w:p>
        </w:tc>
        <w:tc>
          <w:tcPr>
            <w:tcW w:w="300" w:type="dxa"/>
            <w:vAlign w:val="bottom"/>
            <w:tcBorders>
              <w:top w:val="single" w:sz="8" w:color="454546"/>
              <w:bottom w:val="single" w:sz="8" w:color="454546"/>
            </w:tcBorders>
          </w:tcPr>
          <w:p>
            <w:pPr>
              <w:spacing w:after="0"/>
              <w:rPr>
                <w:sz w:val="16"/>
                <w:szCs w:val="16"/>
                <w:color w:val="auto"/>
              </w:rPr>
            </w:pPr>
          </w:p>
        </w:tc>
        <w:tc>
          <w:tcPr>
            <w:tcW w:w="1060" w:type="dxa"/>
            <w:vAlign w:val="bottom"/>
            <w:tcBorders>
              <w:top w:val="single" w:sz="8" w:color="454546"/>
              <w:bottom w:val="single" w:sz="8" w:color="454546"/>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4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b w:val="1"/>
                <w:bCs w:val="1"/>
                <w:color w:val="454546"/>
              </w:rPr>
              <w:t>Cash flows from operating activities:</w:t>
            </w:r>
          </w:p>
        </w:tc>
        <w:tc>
          <w:tcPr>
            <w:tcW w:w="100" w:type="dxa"/>
            <w:vAlign w:val="bottom"/>
            <w:shd w:val="clear" w:color="auto" w:fill="E5E6E7"/>
          </w:tcPr>
          <w:p>
            <w:pPr>
              <w:spacing w:after="0"/>
              <w:rPr>
                <w:sz w:val="16"/>
                <w:szCs w:val="16"/>
                <w:color w:val="auto"/>
              </w:rPr>
            </w:pPr>
          </w:p>
        </w:tc>
        <w:tc>
          <w:tcPr>
            <w:tcW w:w="280" w:type="dxa"/>
            <w:vAlign w:val="bottom"/>
            <w:shd w:val="clear" w:color="auto" w:fill="E5E6E7"/>
          </w:tcPr>
          <w:p>
            <w:pPr>
              <w:spacing w:after="0"/>
              <w:rPr>
                <w:sz w:val="16"/>
                <w:szCs w:val="16"/>
                <w:color w:val="auto"/>
              </w:rPr>
            </w:pPr>
          </w:p>
        </w:tc>
        <w:tc>
          <w:tcPr>
            <w:tcW w:w="1060" w:type="dxa"/>
            <w:vAlign w:val="bottom"/>
            <w:shd w:val="clear" w:color="auto" w:fill="E5E6E7"/>
          </w:tcPr>
          <w:p>
            <w:pPr>
              <w:spacing w:after="0"/>
              <w:rPr>
                <w:sz w:val="16"/>
                <w:szCs w:val="16"/>
                <w:color w:val="auto"/>
              </w:rPr>
            </w:pPr>
          </w:p>
        </w:tc>
        <w:tc>
          <w:tcPr>
            <w:tcW w:w="260" w:type="dxa"/>
            <w:vAlign w:val="bottom"/>
            <w:shd w:val="clear" w:color="auto" w:fill="E5E6E7"/>
          </w:tcPr>
          <w:p>
            <w:pPr>
              <w:spacing w:after="0"/>
              <w:rPr>
                <w:sz w:val="16"/>
                <w:szCs w:val="16"/>
                <w:color w:val="auto"/>
              </w:rPr>
            </w:pPr>
          </w:p>
        </w:tc>
        <w:tc>
          <w:tcPr>
            <w:tcW w:w="300" w:type="dxa"/>
            <w:vAlign w:val="bottom"/>
            <w:shd w:val="clear" w:color="auto" w:fill="E5E6E7"/>
          </w:tcPr>
          <w:p>
            <w:pPr>
              <w:spacing w:after="0"/>
              <w:rPr>
                <w:sz w:val="16"/>
                <w:szCs w:val="16"/>
                <w:color w:val="auto"/>
              </w:rPr>
            </w:pPr>
          </w:p>
        </w:tc>
        <w:tc>
          <w:tcPr>
            <w:tcW w:w="1060" w:type="dxa"/>
            <w:vAlign w:val="bottom"/>
            <w:shd w:val="clear" w:color="auto" w:fill="E5E6E7"/>
          </w:tcPr>
          <w:p>
            <w:pPr>
              <w:spacing w:after="0"/>
              <w:rPr>
                <w:sz w:val="16"/>
                <w:szCs w:val="16"/>
                <w:color w:val="auto"/>
              </w:rPr>
            </w:pPr>
          </w:p>
        </w:tc>
        <w:tc>
          <w:tcPr>
            <w:tcW w:w="60" w:type="dxa"/>
            <w:vAlign w:val="bottom"/>
            <w:shd w:val="clear" w:color="auto" w:fill="E5E6E7"/>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454546"/>
              </w:rPr>
              <w:t>Net loss</w:t>
            </w:r>
          </w:p>
        </w:tc>
        <w:tc>
          <w:tcPr>
            <w:tcW w:w="100" w:type="dxa"/>
            <w:vAlign w:val="bottom"/>
          </w:tcPr>
          <w:p>
            <w:pPr>
              <w:spacing w:after="0"/>
              <w:rPr>
                <w:sz w:val="17"/>
                <w:szCs w:val="17"/>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(90,597)</w:t>
            </w:r>
          </w:p>
        </w:tc>
        <w:tc>
          <w:tcPr>
            <w:tcW w:w="26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(111,129)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color w:val="454546"/>
              </w:rPr>
              <w:t>Adjustments to reconcile net loss to net cash used in operating activities: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Depreciation and amortization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8,436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Amortization (accretion) of premium (discount) on marketable securities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411</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1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(184)</w:t>
            </w: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Stock-based compensation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13,046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16,501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Non-cash operating lease expense</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2,473</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3,391</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Other</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423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Changes in operating assets and liabilities: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6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400"/>
              <w:spacing w:after="0"/>
              <w:rPr>
                <w:sz w:val="20"/>
                <w:szCs w:val="20"/>
                <w:color w:val="auto"/>
              </w:rPr>
            </w:pPr>
            <w:r>
              <w:rPr>
                <w:rFonts w:ascii="Times New Roman" w:cs="Times New Roman" w:eastAsia="Times New Roman" w:hAnsi="Times New Roman"/>
                <w:sz w:val="16"/>
                <w:szCs w:val="16"/>
                <w:color w:val="454546"/>
              </w:rPr>
              <w:t>Prepaid expenses and other current assets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547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6"/>
                <w:szCs w:val="16"/>
                <w:color w:val="454546"/>
              </w:rPr>
              <w:t>Other noncurrent assets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571</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656</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400"/>
              <w:spacing w:after="0"/>
              <w:rPr>
                <w:sz w:val="20"/>
                <w:szCs w:val="20"/>
                <w:color w:val="auto"/>
              </w:rPr>
            </w:pPr>
            <w:r>
              <w:rPr>
                <w:rFonts w:ascii="Times New Roman" w:cs="Times New Roman" w:eastAsia="Times New Roman" w:hAnsi="Times New Roman"/>
                <w:sz w:val="16"/>
                <w:szCs w:val="16"/>
                <w:color w:val="454546"/>
              </w:rPr>
              <w:t>Accounts payable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54546"/>
              </w:rPr>
              <w:t>(1,430)</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(581)</w:t>
            </w: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6"/>
                <w:szCs w:val="16"/>
                <w:color w:val="454546"/>
              </w:rPr>
              <w:t>Accrued and other current liabilities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532</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1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(4,745)</w:t>
            </w:r>
          </w:p>
        </w:tc>
        <w:tc>
          <w:tcPr>
            <w:tcW w:w="0" w:type="dxa"/>
            <w:vAlign w:val="bottom"/>
          </w:tcPr>
          <w:p>
            <w:pPr>
              <w:spacing w:after="0"/>
              <w:rPr>
                <w:sz w:val="1"/>
                <w:szCs w:val="1"/>
                <w:color w:val="auto"/>
              </w:rPr>
            </w:pPr>
          </w:p>
        </w:tc>
      </w:tr>
      <w:tr>
        <w:trPr>
          <w:trHeight w:val="198"/>
        </w:trPr>
        <w:tc>
          <w:tcPr>
            <w:tcW w:w="6240" w:type="dxa"/>
            <w:vAlign w:val="bottom"/>
          </w:tcPr>
          <w:p>
            <w:pPr>
              <w:ind w:left="400"/>
              <w:spacing w:after="0"/>
              <w:rPr>
                <w:sz w:val="20"/>
                <w:szCs w:val="20"/>
                <w:color w:val="auto"/>
              </w:rPr>
            </w:pPr>
            <w:r>
              <w:rPr>
                <w:rFonts w:ascii="Times New Roman" w:cs="Times New Roman" w:eastAsia="Times New Roman" w:hAnsi="Times New Roman"/>
                <w:sz w:val="16"/>
                <w:szCs w:val="16"/>
                <w:color w:val="454546"/>
              </w:rPr>
              <w:t>Operating lease liabilities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454546"/>
              </w:rPr>
              <w:t>(2,778)</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(4,118)</w:t>
            </w:r>
          </w:p>
        </w:tc>
        <w:tc>
          <w:tcPr>
            <w:tcW w:w="0" w:type="dxa"/>
            <w:vAlign w:val="bottom"/>
          </w:tcPr>
          <w:p>
            <w:pPr>
              <w:spacing w:after="0"/>
              <w:rPr>
                <w:sz w:val="1"/>
                <w:szCs w:val="1"/>
                <w:color w:val="auto"/>
              </w:rPr>
            </w:pPr>
          </w:p>
        </w:tc>
      </w:tr>
      <w:tr>
        <w:trPr>
          <w:trHeight w:val="218"/>
        </w:trPr>
        <w:tc>
          <w:tcPr>
            <w:tcW w:w="624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6"/>
                <w:szCs w:val="16"/>
                <w:color w:val="454546"/>
              </w:rPr>
              <w:t>Other noncurrent liabilities</w:t>
            </w: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102</w:t>
            </w:r>
          </w:p>
        </w:tc>
        <w:tc>
          <w:tcPr>
            <w:tcW w:w="260" w:type="dxa"/>
            <w:vAlign w:val="bottom"/>
            <w:shd w:val="clear" w:color="auto" w:fill="E5E6E7"/>
          </w:tcPr>
          <w:p>
            <w:pPr>
              <w:spacing w:after="0"/>
              <w:rPr>
                <w:sz w:val="18"/>
                <w:szCs w:val="18"/>
                <w:color w:val="auto"/>
              </w:rPr>
            </w:pPr>
          </w:p>
        </w:tc>
        <w:tc>
          <w:tcPr>
            <w:tcW w:w="300" w:type="dxa"/>
            <w:vAlign w:val="bottom"/>
            <w:shd w:val="clear" w:color="auto" w:fill="E5E6E7"/>
          </w:tcPr>
          <w:p>
            <w:pPr>
              <w:spacing w:after="0"/>
              <w:rPr>
                <w:sz w:val="18"/>
                <w:szCs w:val="18"/>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173"/>
        </w:trPr>
        <w:tc>
          <w:tcPr>
            <w:tcW w:w="6240" w:type="dxa"/>
            <w:vAlign w:val="bottom"/>
            <w:tcBorders>
              <w:top w:val="single" w:sz="8" w:color="E5E6E7"/>
              <w:bottom w:val="single" w:sz="8" w:color="E5E6E7"/>
            </w:tcBorders>
          </w:tcPr>
          <w:p>
            <w:pPr>
              <w:ind w:left="500"/>
              <w:spacing w:after="0" w:line="173" w:lineRule="exact"/>
              <w:rPr>
                <w:sz w:val="20"/>
                <w:szCs w:val="20"/>
                <w:color w:val="auto"/>
              </w:rPr>
            </w:pPr>
            <w:r>
              <w:rPr>
                <w:rFonts w:ascii="Times New Roman" w:cs="Times New Roman" w:eastAsia="Times New Roman" w:hAnsi="Times New Roman"/>
                <w:sz w:val="16"/>
                <w:szCs w:val="16"/>
                <w:color w:val="454546"/>
              </w:rPr>
              <w:t>Net cash used in operating activities</w:t>
            </w:r>
          </w:p>
        </w:tc>
        <w:tc>
          <w:tcPr>
            <w:tcW w:w="100" w:type="dxa"/>
            <w:vAlign w:val="bottom"/>
            <w:tcBorders>
              <w:top w:val="single" w:sz="8" w:color="E5E6E7"/>
              <w:bottom w:val="single" w:sz="8" w:color="E5E6E7"/>
            </w:tcBorders>
          </w:tcPr>
          <w:p>
            <w:pPr>
              <w:spacing w:after="0"/>
              <w:rPr>
                <w:sz w:val="15"/>
                <w:szCs w:val="15"/>
                <w:color w:val="auto"/>
              </w:rPr>
            </w:pPr>
          </w:p>
        </w:tc>
        <w:tc>
          <w:tcPr>
            <w:tcW w:w="280" w:type="dxa"/>
            <w:vAlign w:val="bottom"/>
            <w:tcBorders>
              <w:top w:val="single" w:sz="8" w:color="454546"/>
              <w:bottom w:val="single" w:sz="8" w:color="454546"/>
            </w:tcBorders>
          </w:tcPr>
          <w:p>
            <w:pPr>
              <w:spacing w:after="0"/>
              <w:rPr>
                <w:sz w:val="15"/>
                <w:szCs w:val="15"/>
                <w:color w:val="auto"/>
              </w:rPr>
            </w:pPr>
          </w:p>
        </w:tc>
        <w:tc>
          <w:tcPr>
            <w:tcW w:w="1060" w:type="dxa"/>
            <w:vAlign w:val="bottom"/>
            <w:tcBorders>
              <w:top w:val="single" w:sz="8" w:color="454546"/>
              <w:bottom w:val="single" w:sz="8" w:color="454546"/>
            </w:tcBorders>
          </w:tcPr>
          <w:p>
            <w:pPr>
              <w:jc w:val="right"/>
              <w:spacing w:after="0" w:line="173" w:lineRule="exact"/>
              <w:rPr>
                <w:sz w:val="20"/>
                <w:szCs w:val="20"/>
                <w:color w:val="auto"/>
              </w:rPr>
            </w:pPr>
            <w:r>
              <w:rPr>
                <w:rFonts w:ascii="Times New Roman" w:cs="Times New Roman" w:eastAsia="Times New Roman" w:hAnsi="Times New Roman"/>
                <w:sz w:val="16"/>
                <w:szCs w:val="16"/>
                <w:color w:val="454546"/>
              </w:rPr>
              <w:t>(68,264)</w:t>
            </w:r>
          </w:p>
        </w:tc>
        <w:tc>
          <w:tcPr>
            <w:tcW w:w="260" w:type="dxa"/>
            <w:vAlign w:val="bottom"/>
            <w:tcBorders>
              <w:top w:val="single" w:sz="8" w:color="E5E6E7"/>
              <w:bottom w:val="single" w:sz="8" w:color="E5E6E7"/>
            </w:tcBorders>
          </w:tcPr>
          <w:p>
            <w:pPr>
              <w:spacing w:after="0"/>
              <w:rPr>
                <w:sz w:val="15"/>
                <w:szCs w:val="15"/>
                <w:color w:val="auto"/>
              </w:rPr>
            </w:pPr>
          </w:p>
        </w:tc>
        <w:tc>
          <w:tcPr>
            <w:tcW w:w="300" w:type="dxa"/>
            <w:vAlign w:val="bottom"/>
            <w:tcBorders>
              <w:top w:val="single" w:sz="8" w:color="454546"/>
              <w:bottom w:val="single" w:sz="8" w:color="454546"/>
            </w:tcBorders>
          </w:tcPr>
          <w:p>
            <w:pPr>
              <w:spacing w:after="0"/>
              <w:rPr>
                <w:sz w:val="15"/>
                <w:szCs w:val="15"/>
                <w:color w:val="auto"/>
              </w:rPr>
            </w:pPr>
          </w:p>
        </w:tc>
        <w:tc>
          <w:tcPr>
            <w:tcW w:w="1060" w:type="dxa"/>
            <w:vAlign w:val="bottom"/>
            <w:tcBorders>
              <w:top w:val="single" w:sz="8" w:color="454546"/>
              <w:bottom w:val="single" w:sz="8" w:color="454546"/>
            </w:tcBorders>
          </w:tcPr>
          <w:p>
            <w:pPr>
              <w:jc w:val="right"/>
              <w:spacing w:after="0" w:line="173" w:lineRule="exact"/>
              <w:rPr>
                <w:sz w:val="20"/>
                <w:szCs w:val="20"/>
                <w:color w:val="auto"/>
              </w:rPr>
            </w:pPr>
            <w:r>
              <w:rPr>
                <w:rFonts w:ascii="Times New Roman" w:cs="Times New Roman" w:eastAsia="Times New Roman" w:hAnsi="Times New Roman"/>
                <w:sz w:val="16"/>
                <w:szCs w:val="16"/>
                <w:color w:val="454546"/>
              </w:rPr>
              <w:t>(90,501)</w:t>
            </w:r>
          </w:p>
        </w:tc>
        <w:tc>
          <w:tcPr>
            <w:tcW w:w="60" w:type="dxa"/>
            <w:vAlign w:val="bottom"/>
            <w:tcBorders>
              <w:top w:val="single" w:sz="8" w:color="E5E6E7"/>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4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b w:val="1"/>
                <w:bCs w:val="1"/>
                <w:color w:val="454546"/>
              </w:rPr>
              <w:t>Cash flows from investing activities:</w:t>
            </w:r>
          </w:p>
        </w:tc>
        <w:tc>
          <w:tcPr>
            <w:tcW w:w="100" w:type="dxa"/>
            <w:vAlign w:val="bottom"/>
            <w:shd w:val="clear" w:color="auto" w:fill="E5E6E7"/>
          </w:tcPr>
          <w:p>
            <w:pPr>
              <w:spacing w:after="0"/>
              <w:rPr>
                <w:sz w:val="16"/>
                <w:szCs w:val="16"/>
                <w:color w:val="auto"/>
              </w:rPr>
            </w:pPr>
          </w:p>
        </w:tc>
        <w:tc>
          <w:tcPr>
            <w:tcW w:w="280" w:type="dxa"/>
            <w:vAlign w:val="bottom"/>
            <w:shd w:val="clear" w:color="auto" w:fill="E5E6E7"/>
          </w:tcPr>
          <w:p>
            <w:pPr>
              <w:spacing w:after="0"/>
              <w:rPr>
                <w:sz w:val="16"/>
                <w:szCs w:val="16"/>
                <w:color w:val="auto"/>
              </w:rPr>
            </w:pPr>
          </w:p>
        </w:tc>
        <w:tc>
          <w:tcPr>
            <w:tcW w:w="1060" w:type="dxa"/>
            <w:vAlign w:val="bottom"/>
            <w:shd w:val="clear" w:color="auto" w:fill="E5E6E7"/>
          </w:tcPr>
          <w:p>
            <w:pPr>
              <w:spacing w:after="0"/>
              <w:rPr>
                <w:sz w:val="16"/>
                <w:szCs w:val="16"/>
                <w:color w:val="auto"/>
              </w:rPr>
            </w:pPr>
          </w:p>
        </w:tc>
        <w:tc>
          <w:tcPr>
            <w:tcW w:w="260" w:type="dxa"/>
            <w:vAlign w:val="bottom"/>
            <w:shd w:val="clear" w:color="auto" w:fill="E5E6E7"/>
          </w:tcPr>
          <w:p>
            <w:pPr>
              <w:spacing w:after="0"/>
              <w:rPr>
                <w:sz w:val="16"/>
                <w:szCs w:val="16"/>
                <w:color w:val="auto"/>
              </w:rPr>
            </w:pPr>
          </w:p>
        </w:tc>
        <w:tc>
          <w:tcPr>
            <w:tcW w:w="300" w:type="dxa"/>
            <w:vAlign w:val="bottom"/>
            <w:shd w:val="clear" w:color="auto" w:fill="E5E6E7"/>
          </w:tcPr>
          <w:p>
            <w:pPr>
              <w:spacing w:after="0"/>
              <w:rPr>
                <w:sz w:val="16"/>
                <w:szCs w:val="16"/>
                <w:color w:val="auto"/>
              </w:rPr>
            </w:pPr>
          </w:p>
        </w:tc>
        <w:tc>
          <w:tcPr>
            <w:tcW w:w="1060" w:type="dxa"/>
            <w:vAlign w:val="bottom"/>
            <w:shd w:val="clear" w:color="auto" w:fill="E5E6E7"/>
          </w:tcPr>
          <w:p>
            <w:pPr>
              <w:spacing w:after="0"/>
              <w:rPr>
                <w:sz w:val="16"/>
                <w:szCs w:val="16"/>
                <w:color w:val="auto"/>
              </w:rPr>
            </w:pPr>
          </w:p>
        </w:tc>
        <w:tc>
          <w:tcPr>
            <w:tcW w:w="60" w:type="dxa"/>
            <w:vAlign w:val="bottom"/>
            <w:shd w:val="clear" w:color="auto" w:fill="E5E6E7"/>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Purchases of property and equipment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(618)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Purchases of marketable securities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320" w:type="dxa"/>
            <w:vAlign w:val="bottom"/>
            <w:gridSpan w:val="2"/>
            <w:shd w:val="clear" w:color="auto" w:fill="E5E6E7"/>
          </w:tcPr>
          <w:p>
            <w:pPr>
              <w:jc w:val="right"/>
              <w:ind w:right="260"/>
              <w:spacing w:after="0"/>
              <w:rPr>
                <w:sz w:val="20"/>
                <w:szCs w:val="20"/>
                <w:color w:val="auto"/>
              </w:rPr>
            </w:pPr>
            <w:r>
              <w:rPr>
                <w:rFonts w:ascii="Times New Roman" w:cs="Times New Roman" w:eastAsia="Times New Roman" w:hAnsi="Times New Roman"/>
                <w:sz w:val="16"/>
                <w:szCs w:val="16"/>
                <w:color w:val="454546"/>
              </w:rPr>
              <w:t>—</w:t>
            </w:r>
          </w:p>
        </w:tc>
        <w:tc>
          <w:tcPr>
            <w:tcW w:w="300" w:type="dxa"/>
            <w:vAlign w:val="bottom"/>
            <w:shd w:val="clear" w:color="auto" w:fill="E5E6E7"/>
          </w:tcPr>
          <w:p>
            <w:pPr>
              <w:spacing w:after="0"/>
              <w:rPr>
                <w:sz w:val="17"/>
                <w:szCs w:val="17"/>
                <w:color w:val="auto"/>
              </w:rPr>
            </w:pPr>
          </w:p>
        </w:tc>
        <w:tc>
          <w:tcPr>
            <w:tcW w:w="11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(87,069)</w:t>
            </w: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Proceeds from sales of marketable securities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10,958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7,997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Proceeds from maturities of marketable securities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45,743</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81,211</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Other</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454546"/>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Borders>
              <w:top w:val="single" w:sz="8" w:color="E5E6E7"/>
              <w:bottom w:val="single" w:sz="8" w:color="E5E6E7"/>
            </w:tcBorders>
            <w:shd w:val="clear" w:color="auto" w:fill="E5E6E7"/>
          </w:tcPr>
          <w:p>
            <w:pPr>
              <w:ind w:left="500"/>
              <w:spacing w:after="0"/>
              <w:rPr>
                <w:sz w:val="20"/>
                <w:szCs w:val="20"/>
                <w:color w:val="auto"/>
              </w:rPr>
            </w:pPr>
            <w:r>
              <w:rPr>
                <w:rFonts w:ascii="Times New Roman" w:cs="Times New Roman" w:eastAsia="Times New Roman" w:hAnsi="Times New Roman"/>
                <w:sz w:val="16"/>
                <w:szCs w:val="16"/>
                <w:color w:val="454546"/>
              </w:rPr>
              <w:t>Net cash provided by investing activities</w:t>
            </w:r>
          </w:p>
        </w:tc>
        <w:tc>
          <w:tcPr>
            <w:tcW w:w="100" w:type="dxa"/>
            <w:vAlign w:val="bottom"/>
            <w:tcBorders>
              <w:top w:val="single" w:sz="8" w:color="E5E6E7"/>
              <w:bottom w:val="single" w:sz="8" w:color="E5E6E7"/>
            </w:tcBorders>
            <w:shd w:val="clear" w:color="auto" w:fill="E5E6E7"/>
          </w:tcPr>
          <w:p>
            <w:pPr>
              <w:spacing w:after="0"/>
              <w:rPr>
                <w:sz w:val="18"/>
                <w:szCs w:val="18"/>
                <w:color w:val="auto"/>
              </w:rPr>
            </w:pPr>
          </w:p>
        </w:tc>
        <w:tc>
          <w:tcPr>
            <w:tcW w:w="280" w:type="dxa"/>
            <w:vAlign w:val="bottom"/>
            <w:tcBorders>
              <w:top w:val="single" w:sz="8" w:color="454546"/>
              <w:bottom w:val="single" w:sz="8" w:color="454546"/>
            </w:tcBorders>
            <w:shd w:val="clear" w:color="auto" w:fill="E5E6E7"/>
          </w:tcPr>
          <w:p>
            <w:pPr>
              <w:spacing w:after="0"/>
              <w:rPr>
                <w:sz w:val="18"/>
                <w:szCs w:val="18"/>
                <w:color w:val="auto"/>
              </w:rPr>
            </w:pPr>
          </w:p>
        </w:tc>
        <w:tc>
          <w:tcPr>
            <w:tcW w:w="106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56,083</w:t>
            </w:r>
          </w:p>
        </w:tc>
        <w:tc>
          <w:tcPr>
            <w:tcW w:w="260" w:type="dxa"/>
            <w:vAlign w:val="bottom"/>
            <w:tcBorders>
              <w:top w:val="single" w:sz="8" w:color="E5E6E7"/>
              <w:bottom w:val="single" w:sz="8" w:color="E5E6E7"/>
            </w:tcBorders>
            <w:shd w:val="clear" w:color="auto" w:fill="E5E6E7"/>
          </w:tcPr>
          <w:p>
            <w:pPr>
              <w:spacing w:after="0"/>
              <w:rPr>
                <w:sz w:val="18"/>
                <w:szCs w:val="18"/>
                <w:color w:val="auto"/>
              </w:rPr>
            </w:pPr>
          </w:p>
        </w:tc>
        <w:tc>
          <w:tcPr>
            <w:tcW w:w="300" w:type="dxa"/>
            <w:vAlign w:val="bottom"/>
            <w:tcBorders>
              <w:top w:val="single" w:sz="8" w:color="454546"/>
              <w:bottom w:val="single" w:sz="8" w:color="454546"/>
            </w:tcBorders>
            <w:shd w:val="clear" w:color="auto" w:fill="E5E6E7"/>
          </w:tcPr>
          <w:p>
            <w:pPr>
              <w:spacing w:after="0"/>
              <w:rPr>
                <w:sz w:val="18"/>
                <w:szCs w:val="18"/>
                <w:color w:val="auto"/>
              </w:rPr>
            </w:pPr>
          </w:p>
        </w:tc>
        <w:tc>
          <w:tcPr>
            <w:tcW w:w="106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1,131</w:t>
            </w:r>
          </w:p>
        </w:tc>
        <w:tc>
          <w:tcPr>
            <w:tcW w:w="60" w:type="dxa"/>
            <w:vAlign w:val="bottom"/>
            <w:tcBorders>
              <w:top w:val="single" w:sz="8" w:color="E5E6E7"/>
              <w:bottom w:val="single" w:sz="8" w:color="E5E6E7"/>
            </w:tcBorders>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4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454546"/>
              </w:rPr>
              <w:t>Cash flows from financing activities: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shd w:val="clear" w:color="auto" w:fill="E5E6E7"/>
          </w:tcPr>
          <w:p>
            <w:pPr>
              <w:ind w:left="200"/>
              <w:spacing w:after="0" w:line="183" w:lineRule="exact"/>
              <w:rPr>
                <w:sz w:val="20"/>
                <w:szCs w:val="20"/>
                <w:color w:val="auto"/>
              </w:rPr>
            </w:pPr>
            <w:r>
              <w:rPr>
                <w:rFonts w:ascii="Times New Roman" w:cs="Times New Roman" w:eastAsia="Times New Roman" w:hAnsi="Times New Roman"/>
                <w:sz w:val="16"/>
                <w:szCs w:val="16"/>
                <w:color w:val="454546"/>
              </w:rPr>
              <w:t>Proceeds from issuance of common stock, pre-funded warrants, and warrants in follow-on</w:t>
            </w: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60" w:type="dxa"/>
            <w:vAlign w:val="bottom"/>
            <w:shd w:val="clear" w:color="auto" w:fill="E5E6E7"/>
          </w:tcPr>
          <w:p>
            <w:pPr>
              <w:spacing w:after="0"/>
              <w:rPr>
                <w:sz w:val="15"/>
                <w:szCs w:val="15"/>
                <w:color w:val="auto"/>
              </w:rPr>
            </w:pPr>
          </w:p>
        </w:tc>
        <w:tc>
          <w:tcPr>
            <w:tcW w:w="26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6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offering, net of issuance costs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105,065</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46,762</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Proceeds from exercise of stock options and employee stock purchase plan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Proceeds from exercise of warrants</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2,289</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Proceeds from exercise of prefunded warrants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454546"/>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Proceeds from at-the-market sales, net of issuance costs</w:t>
            </w: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912</w:t>
            </w:r>
          </w:p>
        </w:tc>
        <w:tc>
          <w:tcPr>
            <w:tcW w:w="260" w:type="dxa"/>
            <w:vAlign w:val="bottom"/>
            <w:shd w:val="clear" w:color="auto" w:fill="E5E6E7"/>
          </w:tcPr>
          <w:p>
            <w:pPr>
              <w:spacing w:after="0"/>
              <w:rPr>
                <w:sz w:val="18"/>
                <w:szCs w:val="18"/>
                <w:color w:val="auto"/>
              </w:rPr>
            </w:pPr>
          </w:p>
        </w:tc>
        <w:tc>
          <w:tcPr>
            <w:tcW w:w="300" w:type="dxa"/>
            <w:vAlign w:val="bottom"/>
            <w:shd w:val="clear" w:color="auto" w:fill="E5E6E7"/>
          </w:tcPr>
          <w:p>
            <w:pPr>
              <w:spacing w:after="0"/>
              <w:rPr>
                <w:sz w:val="18"/>
                <w:szCs w:val="18"/>
                <w:color w:val="auto"/>
              </w:rPr>
            </w:pPr>
          </w:p>
        </w:tc>
        <w:tc>
          <w:tcPr>
            <w:tcW w:w="11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173"/>
        </w:trPr>
        <w:tc>
          <w:tcPr>
            <w:tcW w:w="6240" w:type="dxa"/>
            <w:vAlign w:val="bottom"/>
            <w:tcBorders>
              <w:top w:val="single" w:sz="8" w:color="E5E6E7"/>
              <w:bottom w:val="single" w:sz="8" w:color="E5E6E7"/>
            </w:tcBorders>
          </w:tcPr>
          <w:p>
            <w:pPr>
              <w:ind w:left="500"/>
              <w:spacing w:after="0" w:line="173" w:lineRule="exact"/>
              <w:rPr>
                <w:sz w:val="20"/>
                <w:szCs w:val="20"/>
                <w:color w:val="auto"/>
              </w:rPr>
            </w:pPr>
            <w:r>
              <w:rPr>
                <w:rFonts w:ascii="Times New Roman" w:cs="Times New Roman" w:eastAsia="Times New Roman" w:hAnsi="Times New Roman"/>
                <w:sz w:val="16"/>
                <w:szCs w:val="16"/>
                <w:color w:val="454546"/>
              </w:rPr>
              <w:t>Net cash provided by financing activities</w:t>
            </w:r>
          </w:p>
        </w:tc>
        <w:tc>
          <w:tcPr>
            <w:tcW w:w="100" w:type="dxa"/>
            <w:vAlign w:val="bottom"/>
            <w:tcBorders>
              <w:top w:val="single" w:sz="8" w:color="E5E6E7"/>
              <w:bottom w:val="single" w:sz="8" w:color="E5E6E7"/>
            </w:tcBorders>
          </w:tcPr>
          <w:p>
            <w:pPr>
              <w:spacing w:after="0"/>
              <w:rPr>
                <w:sz w:val="15"/>
                <w:szCs w:val="15"/>
                <w:color w:val="auto"/>
              </w:rPr>
            </w:pPr>
          </w:p>
        </w:tc>
        <w:tc>
          <w:tcPr>
            <w:tcW w:w="280" w:type="dxa"/>
            <w:vAlign w:val="bottom"/>
            <w:tcBorders>
              <w:top w:val="single" w:sz="8" w:color="454546"/>
              <w:bottom w:val="single" w:sz="8" w:color="454546"/>
            </w:tcBorders>
          </w:tcPr>
          <w:p>
            <w:pPr>
              <w:spacing w:after="0"/>
              <w:rPr>
                <w:sz w:val="15"/>
                <w:szCs w:val="15"/>
                <w:color w:val="auto"/>
              </w:rPr>
            </w:pPr>
          </w:p>
        </w:tc>
        <w:tc>
          <w:tcPr>
            <w:tcW w:w="1060" w:type="dxa"/>
            <w:vAlign w:val="bottom"/>
            <w:tcBorders>
              <w:top w:val="single" w:sz="8" w:color="454546"/>
              <w:bottom w:val="single" w:sz="8" w:color="454546"/>
            </w:tcBorders>
          </w:tcPr>
          <w:p>
            <w:pPr>
              <w:jc w:val="right"/>
              <w:spacing w:after="0" w:line="173" w:lineRule="exact"/>
              <w:rPr>
                <w:sz w:val="20"/>
                <w:szCs w:val="20"/>
                <w:color w:val="auto"/>
              </w:rPr>
            </w:pPr>
            <w:r>
              <w:rPr>
                <w:rFonts w:ascii="Times New Roman" w:cs="Times New Roman" w:eastAsia="Times New Roman" w:hAnsi="Times New Roman"/>
                <w:sz w:val="16"/>
                <w:szCs w:val="16"/>
                <w:color w:val="454546"/>
              </w:rPr>
              <w:t>108,405</w:t>
            </w:r>
          </w:p>
        </w:tc>
        <w:tc>
          <w:tcPr>
            <w:tcW w:w="260" w:type="dxa"/>
            <w:vAlign w:val="bottom"/>
            <w:tcBorders>
              <w:top w:val="single" w:sz="8" w:color="E5E6E7"/>
              <w:bottom w:val="single" w:sz="8" w:color="E5E6E7"/>
            </w:tcBorders>
          </w:tcPr>
          <w:p>
            <w:pPr>
              <w:spacing w:after="0"/>
              <w:rPr>
                <w:sz w:val="15"/>
                <w:szCs w:val="15"/>
                <w:color w:val="auto"/>
              </w:rPr>
            </w:pPr>
          </w:p>
        </w:tc>
        <w:tc>
          <w:tcPr>
            <w:tcW w:w="300" w:type="dxa"/>
            <w:vAlign w:val="bottom"/>
            <w:tcBorders>
              <w:top w:val="single" w:sz="8" w:color="454546"/>
              <w:bottom w:val="single" w:sz="8" w:color="454546"/>
            </w:tcBorders>
          </w:tcPr>
          <w:p>
            <w:pPr>
              <w:spacing w:after="0"/>
              <w:rPr>
                <w:sz w:val="15"/>
                <w:szCs w:val="15"/>
                <w:color w:val="auto"/>
              </w:rPr>
            </w:pPr>
          </w:p>
        </w:tc>
        <w:tc>
          <w:tcPr>
            <w:tcW w:w="1060" w:type="dxa"/>
            <w:vAlign w:val="bottom"/>
            <w:tcBorders>
              <w:top w:val="single" w:sz="8" w:color="454546"/>
              <w:bottom w:val="single" w:sz="8" w:color="454546"/>
            </w:tcBorders>
          </w:tcPr>
          <w:p>
            <w:pPr>
              <w:jc w:val="right"/>
              <w:spacing w:after="0" w:line="173" w:lineRule="exact"/>
              <w:rPr>
                <w:sz w:val="20"/>
                <w:szCs w:val="20"/>
                <w:color w:val="auto"/>
              </w:rPr>
            </w:pPr>
            <w:r>
              <w:rPr>
                <w:rFonts w:ascii="Times New Roman" w:cs="Times New Roman" w:eastAsia="Times New Roman" w:hAnsi="Times New Roman"/>
                <w:sz w:val="16"/>
                <w:szCs w:val="16"/>
                <w:color w:val="454546"/>
              </w:rPr>
              <w:t>47,749</w:t>
            </w:r>
          </w:p>
        </w:tc>
        <w:tc>
          <w:tcPr>
            <w:tcW w:w="60" w:type="dxa"/>
            <w:vAlign w:val="bottom"/>
            <w:tcBorders>
              <w:top w:val="single" w:sz="8" w:color="E5E6E7"/>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4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color w:val="454546"/>
              </w:rPr>
              <w:t>Net change in cash, cash equivalents and restricted cash</w:t>
            </w:r>
          </w:p>
        </w:tc>
        <w:tc>
          <w:tcPr>
            <w:tcW w:w="100" w:type="dxa"/>
            <w:vAlign w:val="bottom"/>
            <w:shd w:val="clear" w:color="auto" w:fill="E5E6E7"/>
          </w:tcPr>
          <w:p>
            <w:pPr>
              <w:spacing w:after="0"/>
              <w:rPr>
                <w:sz w:val="16"/>
                <w:szCs w:val="16"/>
                <w:color w:val="auto"/>
              </w:rPr>
            </w:pPr>
          </w:p>
        </w:tc>
        <w:tc>
          <w:tcPr>
            <w:tcW w:w="280" w:type="dxa"/>
            <w:vAlign w:val="bottom"/>
            <w:shd w:val="clear" w:color="auto" w:fill="E5E6E7"/>
          </w:tcPr>
          <w:p>
            <w:pPr>
              <w:spacing w:after="0"/>
              <w:rPr>
                <w:sz w:val="16"/>
                <w:szCs w:val="16"/>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96,224</w:t>
            </w:r>
          </w:p>
        </w:tc>
        <w:tc>
          <w:tcPr>
            <w:tcW w:w="260" w:type="dxa"/>
            <w:vAlign w:val="bottom"/>
            <w:shd w:val="clear" w:color="auto" w:fill="E5E6E7"/>
          </w:tcPr>
          <w:p>
            <w:pPr>
              <w:spacing w:after="0"/>
              <w:rPr>
                <w:sz w:val="16"/>
                <w:szCs w:val="16"/>
                <w:color w:val="auto"/>
              </w:rPr>
            </w:pPr>
          </w:p>
        </w:tc>
        <w:tc>
          <w:tcPr>
            <w:tcW w:w="300" w:type="dxa"/>
            <w:vAlign w:val="bottom"/>
            <w:shd w:val="clear" w:color="auto" w:fill="E5E6E7"/>
          </w:tcPr>
          <w:p>
            <w:pPr>
              <w:spacing w:after="0"/>
              <w:rPr>
                <w:sz w:val="16"/>
                <w:szCs w:val="16"/>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(41,621</w:t>
            </w:r>
          </w:p>
        </w:tc>
        <w:tc>
          <w:tcPr>
            <w:tcW w:w="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8"/>
                <w:szCs w:val="8"/>
                <w:color w:val="454546"/>
                <w:w w:val="73"/>
                <w:shd w:val="clear" w:color="auto" w:fill="E5E6E7"/>
              </w:rPr>
              <w:t>)</w:t>
            </w:r>
          </w:p>
        </w:tc>
        <w:tc>
          <w:tcPr>
            <w:tcW w:w="0" w:type="dxa"/>
            <w:vAlign w:val="bottom"/>
          </w:tcPr>
          <w:p>
            <w:pPr>
              <w:spacing w:after="0"/>
              <w:rPr>
                <w:sz w:val="1"/>
                <w:szCs w:val="1"/>
                <w:color w:val="auto"/>
              </w:rPr>
            </w:pPr>
          </w:p>
        </w:tc>
      </w:tr>
      <w:tr>
        <w:trPr>
          <w:trHeight w:val="198"/>
        </w:trPr>
        <w:tc>
          <w:tcPr>
            <w:tcW w:w="62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6"/>
                <w:szCs w:val="16"/>
                <w:color w:val="454546"/>
              </w:rPr>
              <w:t>Cash and cash equivalents and restricted cash at beginning of period</w:t>
            </w:r>
          </w:p>
        </w:tc>
        <w:tc>
          <w:tcPr>
            <w:tcW w:w="100" w:type="dxa"/>
            <w:vAlign w:val="bottom"/>
            <w:tcBorders>
              <w:bottom w:val="single" w:sz="8" w:color="E5E6E7"/>
            </w:tcBorders>
          </w:tcPr>
          <w:p>
            <w:pPr>
              <w:spacing w:after="0"/>
              <w:rPr>
                <w:sz w:val="17"/>
                <w:szCs w:val="17"/>
                <w:color w:val="auto"/>
              </w:rPr>
            </w:pPr>
          </w:p>
        </w:tc>
        <w:tc>
          <w:tcPr>
            <w:tcW w:w="280" w:type="dxa"/>
            <w:vAlign w:val="bottom"/>
            <w:tcBorders>
              <w:bottom w:val="single" w:sz="8" w:color="454546"/>
            </w:tcBorders>
          </w:tcPr>
          <w:p>
            <w:pPr>
              <w:spacing w:after="0"/>
              <w:rPr>
                <w:sz w:val="17"/>
                <w:szCs w:val="17"/>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4,742</w:t>
            </w:r>
          </w:p>
        </w:tc>
        <w:tc>
          <w:tcPr>
            <w:tcW w:w="260" w:type="dxa"/>
            <w:vAlign w:val="bottom"/>
            <w:tcBorders>
              <w:bottom w:val="single" w:sz="8" w:color="E5E6E7"/>
            </w:tcBorders>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46,363</w:t>
            </w:r>
          </w:p>
        </w:tc>
        <w:tc>
          <w:tcPr>
            <w:tcW w:w="60" w:type="dxa"/>
            <w:vAlign w:val="bottom"/>
            <w:tcBorders>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16"/>
                <w:szCs w:val="16"/>
                <w:color w:val="454546"/>
              </w:rPr>
              <w:t>Cash and cash equivalents and restricted cash at end of period</w:t>
            </w:r>
          </w:p>
        </w:tc>
        <w:tc>
          <w:tcPr>
            <w:tcW w:w="100" w:type="dxa"/>
            <w:vAlign w:val="bottom"/>
            <w:tcBorders>
              <w:bottom w:val="single" w:sz="8" w:color="E5E6E7"/>
            </w:tcBorders>
            <w:shd w:val="clear" w:color="auto" w:fill="E5E6E7"/>
          </w:tcPr>
          <w:p>
            <w:pPr>
              <w:spacing w:after="0"/>
              <w:rPr>
                <w:sz w:val="18"/>
                <w:szCs w:val="18"/>
                <w:color w:val="auto"/>
              </w:rPr>
            </w:pPr>
          </w:p>
        </w:tc>
        <w:tc>
          <w:tcPr>
            <w:tcW w:w="280" w:type="dxa"/>
            <w:vAlign w:val="bottom"/>
            <w:tcBorders>
              <w:bottom w:val="single" w:sz="8" w:color="454546"/>
            </w:tcBorders>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100,966</w:t>
            </w:r>
          </w:p>
        </w:tc>
        <w:tc>
          <w:tcPr>
            <w:tcW w:w="260" w:type="dxa"/>
            <w:vAlign w:val="bottom"/>
            <w:tcBorders>
              <w:bottom w:val="single" w:sz="8" w:color="E5E6E7"/>
            </w:tcBorders>
            <w:shd w:val="clear" w:color="auto" w:fill="E5E6E7"/>
          </w:tcPr>
          <w:p>
            <w:pPr>
              <w:spacing w:after="0"/>
              <w:rPr>
                <w:sz w:val="18"/>
                <w:szCs w:val="18"/>
                <w:color w:val="auto"/>
              </w:rPr>
            </w:pPr>
          </w:p>
        </w:tc>
        <w:tc>
          <w:tcPr>
            <w:tcW w:w="300" w:type="dxa"/>
            <w:vAlign w:val="bottom"/>
            <w:tcBorders>
              <w:bottom w:val="single" w:sz="8" w:color="454546"/>
            </w:tcBorders>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4,742</w:t>
            </w:r>
          </w:p>
        </w:tc>
        <w:tc>
          <w:tcPr>
            <w:tcW w:w="60" w:type="dxa"/>
            <w:vAlign w:val="bottom"/>
            <w:tcBorders>
              <w:bottom w:val="single" w:sz="8" w:color="E5E6E7"/>
            </w:tcBorders>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Components of cash, cash equivalents and restricted cash:</w:t>
            </w:r>
          </w:p>
        </w:tc>
        <w:tc>
          <w:tcPr>
            <w:tcW w:w="1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spacing w:after="0"/>
              <w:rPr>
                <w:sz w:val="20"/>
                <w:szCs w:val="20"/>
                <w:color w:val="auto"/>
              </w:rPr>
            </w:pPr>
            <w:r>
              <w:rPr>
                <w:rFonts w:ascii="Times New Roman" w:cs="Times New Roman" w:eastAsia="Times New Roman" w:hAnsi="Times New Roman"/>
                <w:sz w:val="16"/>
                <w:szCs w:val="16"/>
                <w:color w:val="454546"/>
              </w:rPr>
              <w:t>Cash and cash equivalents</w:t>
            </w:r>
          </w:p>
        </w:tc>
        <w:tc>
          <w:tcPr>
            <w:tcW w:w="3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100,547</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4,323</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6"/>
                <w:szCs w:val="16"/>
                <w:color w:val="454546"/>
              </w:rPr>
              <w:t>Restricted cash included in other noncurrent assets</w:t>
            </w:r>
          </w:p>
        </w:tc>
        <w:tc>
          <w:tcPr>
            <w:tcW w:w="100" w:type="dxa"/>
            <w:vAlign w:val="bottom"/>
            <w:tcBorders>
              <w:bottom w:val="single" w:sz="8" w:color="E5E6E7"/>
            </w:tcBorders>
          </w:tcPr>
          <w:p>
            <w:pPr>
              <w:spacing w:after="0"/>
              <w:rPr>
                <w:sz w:val="17"/>
                <w:szCs w:val="17"/>
                <w:color w:val="auto"/>
              </w:rPr>
            </w:pPr>
          </w:p>
        </w:tc>
        <w:tc>
          <w:tcPr>
            <w:tcW w:w="280" w:type="dxa"/>
            <w:vAlign w:val="bottom"/>
            <w:tcBorders>
              <w:bottom w:val="single" w:sz="8" w:color="454546"/>
            </w:tcBorders>
          </w:tcPr>
          <w:p>
            <w:pPr>
              <w:spacing w:after="0"/>
              <w:rPr>
                <w:sz w:val="17"/>
                <w:szCs w:val="17"/>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419</w:t>
            </w:r>
          </w:p>
        </w:tc>
        <w:tc>
          <w:tcPr>
            <w:tcW w:w="260" w:type="dxa"/>
            <w:vAlign w:val="bottom"/>
            <w:tcBorders>
              <w:bottom w:val="single" w:sz="8" w:color="E5E6E7"/>
            </w:tcBorders>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419</w:t>
            </w:r>
          </w:p>
        </w:tc>
        <w:tc>
          <w:tcPr>
            <w:tcW w:w="60" w:type="dxa"/>
            <w:vAlign w:val="bottom"/>
            <w:tcBorders>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16"/>
                <w:szCs w:val="16"/>
                <w:color w:val="454546"/>
              </w:rPr>
              <w:t>Cash, cash equivalents and restricted cash</w:t>
            </w:r>
          </w:p>
        </w:tc>
        <w:tc>
          <w:tcPr>
            <w:tcW w:w="100" w:type="dxa"/>
            <w:vAlign w:val="bottom"/>
            <w:tcBorders>
              <w:bottom w:val="single" w:sz="8" w:color="E5E6E7"/>
            </w:tcBorders>
            <w:shd w:val="clear" w:color="auto" w:fill="E5E6E7"/>
          </w:tcPr>
          <w:p>
            <w:pPr>
              <w:spacing w:after="0"/>
              <w:rPr>
                <w:sz w:val="18"/>
                <w:szCs w:val="18"/>
                <w:color w:val="auto"/>
              </w:rPr>
            </w:pPr>
          </w:p>
        </w:tc>
        <w:tc>
          <w:tcPr>
            <w:tcW w:w="280" w:type="dxa"/>
            <w:vAlign w:val="bottom"/>
            <w:tcBorders>
              <w:bottom w:val="single" w:sz="8" w:color="454546"/>
            </w:tcBorders>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100,966</w:t>
            </w:r>
          </w:p>
        </w:tc>
        <w:tc>
          <w:tcPr>
            <w:tcW w:w="260" w:type="dxa"/>
            <w:vAlign w:val="bottom"/>
            <w:tcBorders>
              <w:bottom w:val="single" w:sz="8" w:color="E5E6E7"/>
            </w:tcBorders>
            <w:shd w:val="clear" w:color="auto" w:fill="E5E6E7"/>
          </w:tcPr>
          <w:p>
            <w:pPr>
              <w:spacing w:after="0"/>
              <w:rPr>
                <w:sz w:val="18"/>
                <w:szCs w:val="18"/>
                <w:color w:val="auto"/>
              </w:rPr>
            </w:pPr>
          </w:p>
        </w:tc>
        <w:tc>
          <w:tcPr>
            <w:tcW w:w="300" w:type="dxa"/>
            <w:vAlign w:val="bottom"/>
            <w:tcBorders>
              <w:bottom w:val="single" w:sz="8" w:color="454546"/>
            </w:tcBorders>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4,742</w:t>
            </w:r>
          </w:p>
        </w:tc>
        <w:tc>
          <w:tcPr>
            <w:tcW w:w="60" w:type="dxa"/>
            <w:vAlign w:val="bottom"/>
            <w:tcBorders>
              <w:bottom w:val="single" w:sz="8" w:color="E5E6E7"/>
            </w:tcBorders>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Supplemental disclosure of non-cash investing and financing activities:</w:t>
            </w:r>
          </w:p>
        </w:tc>
        <w:tc>
          <w:tcPr>
            <w:tcW w:w="1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40" w:type="dxa"/>
            <w:vAlign w:val="bottom"/>
            <w:shd w:val="clear" w:color="auto" w:fill="E5E6E7"/>
          </w:tcPr>
          <w:p>
            <w:pPr>
              <w:ind w:left="200"/>
              <w:spacing w:after="0" w:line="183" w:lineRule="exact"/>
              <w:rPr>
                <w:sz w:val="20"/>
                <w:szCs w:val="20"/>
                <w:color w:val="auto"/>
              </w:rPr>
            </w:pPr>
            <w:r>
              <w:rPr>
                <w:rFonts w:ascii="Times New Roman" w:cs="Times New Roman" w:eastAsia="Times New Roman" w:hAnsi="Times New Roman"/>
                <w:sz w:val="16"/>
                <w:szCs w:val="16"/>
                <w:color w:val="454546"/>
              </w:rPr>
              <w:t>Property and equipment included in accounts payable and accrued and other current</w:t>
            </w:r>
          </w:p>
        </w:tc>
        <w:tc>
          <w:tcPr>
            <w:tcW w:w="100" w:type="dxa"/>
            <w:vAlign w:val="bottom"/>
            <w:shd w:val="clear" w:color="auto" w:fill="E5E6E7"/>
          </w:tcPr>
          <w:p>
            <w:pPr>
              <w:spacing w:after="0"/>
              <w:rPr>
                <w:sz w:val="15"/>
                <w:szCs w:val="15"/>
                <w:color w:val="auto"/>
              </w:rPr>
            </w:pPr>
          </w:p>
        </w:tc>
        <w:tc>
          <w:tcPr>
            <w:tcW w:w="280" w:type="dxa"/>
            <w:vAlign w:val="bottom"/>
            <w:shd w:val="clear" w:color="auto" w:fill="E5E6E7"/>
          </w:tcPr>
          <w:p>
            <w:pPr>
              <w:spacing w:after="0"/>
              <w:rPr>
                <w:sz w:val="15"/>
                <w:szCs w:val="15"/>
                <w:color w:val="auto"/>
              </w:rPr>
            </w:pPr>
          </w:p>
        </w:tc>
        <w:tc>
          <w:tcPr>
            <w:tcW w:w="1060" w:type="dxa"/>
            <w:vAlign w:val="bottom"/>
            <w:shd w:val="clear" w:color="auto" w:fill="E5E6E7"/>
          </w:tcPr>
          <w:p>
            <w:pPr>
              <w:spacing w:after="0"/>
              <w:rPr>
                <w:sz w:val="15"/>
                <w:szCs w:val="15"/>
                <w:color w:val="auto"/>
              </w:rPr>
            </w:pPr>
          </w:p>
        </w:tc>
        <w:tc>
          <w:tcPr>
            <w:tcW w:w="260" w:type="dxa"/>
            <w:vAlign w:val="bottom"/>
            <w:shd w:val="clear" w:color="auto" w:fill="E5E6E7"/>
          </w:tcPr>
          <w:p>
            <w:pPr>
              <w:spacing w:after="0"/>
              <w:rPr>
                <w:sz w:val="15"/>
                <w:szCs w:val="15"/>
                <w:color w:val="auto"/>
              </w:rPr>
            </w:pPr>
          </w:p>
        </w:tc>
        <w:tc>
          <w:tcPr>
            <w:tcW w:w="300" w:type="dxa"/>
            <w:vAlign w:val="bottom"/>
            <w:shd w:val="clear" w:color="auto" w:fill="E5E6E7"/>
          </w:tcPr>
          <w:p>
            <w:pPr>
              <w:spacing w:after="0"/>
              <w:rPr>
                <w:sz w:val="15"/>
                <w:szCs w:val="15"/>
                <w:color w:val="auto"/>
              </w:rPr>
            </w:pPr>
          </w:p>
        </w:tc>
        <w:tc>
          <w:tcPr>
            <w:tcW w:w="1060" w:type="dxa"/>
            <w:vAlign w:val="bottom"/>
            <w:shd w:val="clear" w:color="auto" w:fill="E5E6E7"/>
          </w:tcPr>
          <w:p>
            <w:pPr>
              <w:spacing w:after="0"/>
              <w:rPr>
                <w:sz w:val="15"/>
                <w:szCs w:val="15"/>
                <w:color w:val="auto"/>
              </w:rPr>
            </w:pPr>
          </w:p>
        </w:tc>
        <w:tc>
          <w:tcPr>
            <w:tcW w:w="60" w:type="dxa"/>
            <w:vAlign w:val="bottom"/>
            <w:shd w:val="clear" w:color="auto" w:fill="E5E6E7"/>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liabilities</w:t>
            </w:r>
          </w:p>
        </w:tc>
        <w:tc>
          <w:tcPr>
            <w:tcW w:w="3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60</w:t>
            </w:r>
          </w:p>
        </w:tc>
        <w:tc>
          <w:tcPr>
            <w:tcW w:w="260" w:type="dxa"/>
            <w:vAlign w:val="bottom"/>
            <w:shd w:val="clear" w:color="auto" w:fill="E5E6E7"/>
          </w:tcPr>
          <w:p>
            <w:pPr>
              <w:spacing w:after="0"/>
              <w:rPr>
                <w:sz w:val="17"/>
                <w:szCs w:val="17"/>
                <w:color w:val="auto"/>
              </w:rPr>
            </w:pPr>
          </w:p>
        </w:tc>
        <w:tc>
          <w:tcPr>
            <w:tcW w:w="30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358</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454546"/>
              </w:rPr>
              <w:t>Offering cost included in accounts payable and accrued expenses and other current liabilities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415</w:t>
            </w:r>
          </w:p>
        </w:tc>
        <w:tc>
          <w:tcPr>
            <w:tcW w:w="26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198"/>
        </w:trPr>
        <w:tc>
          <w:tcPr>
            <w:tcW w:w="62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6"/>
                <w:szCs w:val="16"/>
                <w:color w:val="454546"/>
              </w:rPr>
              <w:t>Issuance of warrant in connection with Loan Agreement</w:t>
            </w:r>
          </w:p>
        </w:tc>
        <w:tc>
          <w:tcPr>
            <w:tcW w:w="3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320" w:type="dxa"/>
            <w:vAlign w:val="bottom"/>
            <w:gridSpan w:val="2"/>
            <w:shd w:val="clear" w:color="auto" w:fill="E5E6E7"/>
          </w:tcPr>
          <w:p>
            <w:pPr>
              <w:jc w:val="right"/>
              <w:ind w:right="260"/>
              <w:spacing w:after="0"/>
              <w:rPr>
                <w:sz w:val="20"/>
                <w:szCs w:val="20"/>
                <w:color w:val="auto"/>
              </w:rPr>
            </w:pPr>
            <w:r>
              <w:rPr>
                <w:rFonts w:ascii="Times New Roman" w:cs="Times New Roman" w:eastAsia="Times New Roman" w:hAnsi="Times New Roman"/>
                <w:sz w:val="16"/>
                <w:szCs w:val="16"/>
                <w:color w:val="454546"/>
              </w:rPr>
              <w:t>—</w:t>
            </w:r>
          </w:p>
        </w:tc>
        <w:tc>
          <w:tcPr>
            <w:tcW w:w="30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16"/>
                <w:szCs w:val="16"/>
                <w:color w:val="454546"/>
                <w:w w:val="74"/>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rPr>
              <w:t>175</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454546"/>
        </w:rPr>
        <w:t>The accompanying notes are an integral part of these financial statements.</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113</w:t>
      </w:r>
    </w:p>
    <w:p>
      <w:pPr>
        <w:sectPr>
          <w:pgSz w:w="12240" w:h="15840" w:orient="portrait"/>
          <w:cols w:equalWidth="0" w:num="1">
            <w:col w:w="9360"/>
          </w:cols>
          <w:pgMar w:left="1440" w:top="1440" w:right="1440" w:bottom="175" w:gutter="0" w:footer="0" w:header="0"/>
          <w:type w:val="continuous"/>
        </w:sectPr>
      </w:pPr>
    </w:p>
    <w:bookmarkStart w:id="115" w:name="page116"/>
    <w:bookmarkEnd w:id="115"/>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TENAYA THERAPEUTICS,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Notes to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 Organization and Description of the Business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Description of the Business</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 and other relatively rare cardio/metabolic indications such as Duchenne muscular dystrophy.</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Liquidity</w:t>
      </w:r>
    </w:p>
    <w:p>
      <w:pPr>
        <w:spacing w:after="0" w:line="12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The Company has incurred net losses since inception and expects such losses to continue in the future as it conducts research and development activities. As of December 31, 2025, the Company had an accumulated deficit of $605.0 million. The Company incurred a net loss of $90.6 million and $111.1 million during the years ended December 31, 2025 and 2024, respectively. The Company had $100.5 million of cash, cash equivalents and investments in marketable securities as of December 31, 2025.</w:t>
      </w:r>
    </w:p>
    <w:p>
      <w:pPr>
        <w:spacing w:after="0" w:line="77"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454546"/>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December 31, 2025 will be sufficient to fund the Company’s operations for at least the next twelve months following the date these financial statements are filed with the Securities and Exchange Commission (SEC).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2. Summary of Significant Accounting Policies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Basis of Presentation</w:t>
      </w:r>
    </w:p>
    <w:p>
      <w:pPr>
        <w:spacing w:after="0" w:line="120"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The accompanying financial statements have been prepared in accordance with accounting principles generally accepted in the United States of America (GAAP).</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Use of Estimates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valuation of equity-based awards and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Fair Value Measurements</w:t>
      </w:r>
    </w:p>
    <w:p>
      <w:pPr>
        <w:spacing w:after="0" w:line="12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Fair value is defined as the price that would be received to sell an asset or paid to transfer a liability (an exit price) in an orderly transaction between market participants at the reporting date. The accounting guidance</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114</w:t>
      </w:r>
    </w:p>
    <w:p>
      <w:pPr>
        <w:sectPr>
          <w:pgSz w:w="12240" w:h="15840" w:orient="portrait"/>
          <w:cols w:equalWidth="0" w:num="1">
            <w:col w:w="9360"/>
          </w:cols>
          <w:pgMar w:left="1440" w:top="1440" w:right="1440" w:bottom="175" w:gutter="0" w:footer="0" w:header="0"/>
          <w:type w:val="continuous"/>
        </w:sectPr>
      </w:pPr>
    </w:p>
    <w:bookmarkStart w:id="116" w:name="page117"/>
    <w:bookmarkEnd w:id="116"/>
    <w:p>
      <w:pPr>
        <w:ind w:right="260"/>
        <w:spacing w:after="0" w:line="277" w:lineRule="auto"/>
        <w:rPr>
          <w:sz w:val="20"/>
          <w:szCs w:val="20"/>
          <w:color w:val="auto"/>
        </w:rPr>
      </w:pPr>
      <w:r>
        <w:rPr>
          <w:rFonts w:ascii="Times New Roman" w:cs="Times New Roman" w:eastAsia="Times New Roman" w:hAnsi="Times New Roman"/>
          <w:sz w:val="20"/>
          <w:szCs w:val="20"/>
          <w:color w:val="454546"/>
        </w:rPr>
        <w:t>establishes a three-tiered hierarchy, which prioritizes the inputs used in the valuation methodologies in measuring fair value as follows:</w:t>
      </w:r>
    </w:p>
    <w:p>
      <w:pPr>
        <w:spacing w:after="0" w:line="49"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Level 1 - Inputs are unadjusted, quoted prices in active markets for identical assets or liabilities at the measurement date.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The Company’s cash and cash equivalents, prepaid expenses and other current assets, accounts payable and accrued expenses and other current liabilities approximate their fair value due to their short-term nature.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Concentrations of Credit Risk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Financial instruments that potentially subject the Company to concentration of risk consist principally of cash, cash equivalents and marketable securities. The Company maintains deposits in cash and cash equivalents in federally insured financial institutions that it believes have high credit quality. Such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Risks and Uncertainties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The Company is subject to certain risks including, but not limited to, the ability to obtain future financing, possible failure of ongoing and future clinical trials, the need to obtain regulatory approvals for its product candidates, the need to successfully commercialize and gain market acceptance of the Company’s product candidates, competitive developments, protection of proprietary technology, the ability to make milestone, royalty or other payments due under licensing agreements, and the Company’s ability to attract and retain employees necessary to support its business plan.</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Segment Information</w:t>
      </w:r>
    </w:p>
    <w:p>
      <w:pPr>
        <w:spacing w:after="0" w:line="12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The Company views its operations and manages its business as one operating segment, which is the business of discovering and developing potential treatments that address the underlying drivers of heart disease. The Company’s long-lived assets are located in the United States.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Cash and Cash Equivalents</w:t>
      </w:r>
    </w:p>
    <w:p>
      <w:pPr>
        <w:spacing w:after="0" w:line="120"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454546"/>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Restricted Cash</w:t>
      </w:r>
    </w:p>
    <w:p>
      <w:pPr>
        <w:spacing w:after="0" w:line="12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454546"/>
        </w:rPr>
        <w:t>The restricted cash primarily represents the security deposit for the Company’s operating lease in South San Francisco, California. The security deposit is in the form of a letter of credit secured by restricted cash.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115</w:t>
      </w:r>
    </w:p>
    <w:p>
      <w:pPr>
        <w:sectPr>
          <w:pgSz w:w="12240" w:h="15840" w:orient="portrait"/>
          <w:cols w:equalWidth="0" w:num="1">
            <w:col w:w="9360"/>
          </w:cols>
          <w:pgMar w:left="1440" w:top="1420" w:right="1440" w:bottom="175" w:gutter="0" w:footer="0" w:header="0"/>
          <w:type w:val="continuous"/>
        </w:sectPr>
      </w:pPr>
    </w:p>
    <w:bookmarkStart w:id="117" w:name="page118"/>
    <w:bookmarkEnd w:id="117"/>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Marketable Securities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net. The cost of securities sold is based on the specific-identification method. Interest earned on marketable securities is included in interest income.</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Property and Equipment, Net</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454546"/>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Upon retirement or sale, the cost of disposed assets and their related accumulated depreciation are removed from the balance sheets. Any resulting gains or losses on dispositions of property and equipment are included as a component of other income, net, within the Company’s statements of operations and comprehensive loss. Repair and maintenance costs, which are not considered improvements and do not extend the useful life of property and equipment, are expensed as incurred.</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Impairment for Long-Lived Assets</w:t>
      </w:r>
    </w:p>
    <w:p>
      <w:pPr>
        <w:spacing w:after="0" w:line="12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454546"/>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Leases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The Company determines if an arrangement is a lease at inception. 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86"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454546"/>
        </w:rPr>
        <w:t>The Company’s non-lease components are primarily related to property taxes, insurance, and common area maintenance, which vary based on future outcomes, and are recognized as rent expense when incurred.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116</w:t>
      </w:r>
    </w:p>
    <w:p>
      <w:pPr>
        <w:sectPr>
          <w:pgSz w:w="12240" w:h="15840" w:orient="portrait"/>
          <w:cols w:equalWidth="0" w:num="1">
            <w:col w:w="9360"/>
          </w:cols>
          <w:pgMar w:left="1440" w:top="1420" w:right="1440" w:bottom="175" w:gutter="0" w:footer="0" w:header="0"/>
          <w:type w:val="continuous"/>
        </w:sectPr>
      </w:pPr>
    </w:p>
    <w:bookmarkStart w:id="118" w:name="page119"/>
    <w:bookmarkEnd w:id="118"/>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Expenses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Research and development costs are expensed as incurred. Research and development expenses include, among others, consulting fees, salaries, benefits, travel, stock-based compensation, laboratory supplies and other non-capital equipment utilized for in-house research, allocated facilities and overhead costs, fees related to licensing agreements, fees paid to contract research organizations that conduct research and development activities on the Company’s behalf and costs related to compliance with regulatory requirements.</w:t>
      </w:r>
    </w:p>
    <w:p>
      <w:pPr>
        <w:spacing w:after="0" w:line="77" w:lineRule="exact"/>
        <w:rPr>
          <w:sz w:val="20"/>
          <w:szCs w:val="20"/>
          <w:color w:val="auto"/>
        </w:rPr>
      </w:pPr>
    </w:p>
    <w:p>
      <w:pPr>
        <w:jc w:val="both"/>
        <w:ind w:right="660" w:firstLine="490"/>
        <w:spacing w:after="0" w:line="277" w:lineRule="auto"/>
        <w:rPr>
          <w:sz w:val="20"/>
          <w:szCs w:val="20"/>
          <w:color w:val="auto"/>
        </w:rPr>
      </w:pPr>
      <w:r>
        <w:rPr>
          <w:rFonts w:ascii="Times New Roman" w:cs="Times New Roman" w:eastAsia="Times New Roman" w:hAnsi="Times New Roman"/>
          <w:sz w:val="20"/>
          <w:szCs w:val="20"/>
          <w:color w:val="454546"/>
        </w:rPr>
        <w:t>Goods or services incurred for research and development activities that have not yet been invoiced are recorded as liabilities within accrued expenses and other current liabilities on the Company’s balance sheets.</w:t>
      </w:r>
    </w:p>
    <w:p>
      <w:pPr>
        <w:spacing w:after="0" w:line="49"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454546"/>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8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454546"/>
        </w:rPr>
        <w:t>Non-refundable advance payments for goods or services to be rendered as part of future research and development activities are capitalized on the Company’s balance sheets until the goods or services are received.</w:t>
      </w:r>
    </w:p>
    <w:p>
      <w:pPr>
        <w:spacing w:after="0" w:line="49"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454546"/>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454546"/>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77"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The fair value of restricted stock awards is determined on the date of grant based on the estimated fair value of the Company’s common stock on that date.</w:t>
      </w:r>
    </w:p>
    <w:p>
      <w:pPr>
        <w:spacing w:after="0" w:line="49"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For purposes of determining the estimated fair value of options granted to employees and nonemployees, the Company uses the Black-Scholes option pricing model. See </w:t>
      </w:r>
      <w:r>
        <w:rPr>
          <w:rFonts w:ascii="Times New Roman" w:cs="Times New Roman" w:eastAsia="Times New Roman" w:hAnsi="Times New Roman"/>
          <w:sz w:val="20"/>
          <w:szCs w:val="20"/>
          <w:i w:val="1"/>
          <w:iCs w:val="1"/>
          <w:color w:val="454546"/>
        </w:rPr>
        <w:t>Note 8</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Stock-Based Compensation</w:t>
      </w:r>
      <w:r>
        <w:rPr>
          <w:rFonts w:ascii="Times New Roman" w:cs="Times New Roman" w:eastAsia="Times New Roman" w:hAnsi="Times New Roman"/>
          <w:sz w:val="20"/>
          <w:szCs w:val="20"/>
          <w:color w:val="454546"/>
        </w:rPr>
        <w:t xml:space="preserve"> to the Company's financial statements for the specific assumptions used in applying the Black-Scholes valuation model.</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Income Taxes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A valuation allowance is recorded for deferred tax assets if it is more likely than not that some portion or all of the deferred tax assets will not be realized. As of December 31, 2025 and 2024, the Company has recorded a full valuation allowance on its net deferred tax assets.</w:t>
      </w:r>
    </w:p>
    <w:p>
      <w:pPr>
        <w:spacing w:after="0" w:line="6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Tax benefits related to uncertain tax positions are recognized when it is more likely than not that a tax position will be sustained during an audit. Interest and penalties, if any, related to unrecognized tax benefits are included within the provision for income tax.</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Net Loss Per Share</w:t>
      </w:r>
    </w:p>
    <w:p>
      <w:pPr>
        <w:spacing w:after="0" w:line="120"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Basic net loss per share is calculated by dividing the net loss by the weighted-average number of shares of the Company’s common stock outstanding for the period, without consideration for potential dilutive shares of common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117</w:t>
      </w:r>
    </w:p>
    <w:p>
      <w:pPr>
        <w:sectPr>
          <w:pgSz w:w="12240" w:h="15840" w:orient="portrait"/>
          <w:cols w:equalWidth="0" w:num="1">
            <w:col w:w="9360"/>
          </w:cols>
          <w:pgMar w:left="1440" w:top="1420" w:right="1440" w:bottom="175" w:gutter="0" w:footer="0" w:header="0"/>
          <w:type w:val="continuous"/>
        </w:sectPr>
      </w:pPr>
    </w:p>
    <w:bookmarkStart w:id="119" w:name="page120"/>
    <w:bookmarkEnd w:id="119"/>
    <w:p>
      <w:pPr>
        <w:ind w:right="180"/>
        <w:spacing w:after="0" w:line="277" w:lineRule="auto"/>
        <w:rPr>
          <w:sz w:val="20"/>
          <w:szCs w:val="20"/>
          <w:color w:val="auto"/>
        </w:rPr>
      </w:pPr>
      <w:r>
        <w:rPr>
          <w:rFonts w:ascii="Times New Roman" w:cs="Times New Roman" w:eastAsia="Times New Roman" w:hAnsi="Times New Roman"/>
          <w:sz w:val="20"/>
          <w:szCs w:val="20"/>
          <w:color w:val="454546"/>
        </w:rPr>
        <w:t>stock. As the Company is in a loss position for the periods presented, diluted net loss per share is the same as basic net loss per share, since the effects of potentially dilutive securities are antidilutive.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CIRM Grant</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 xml:space="preserve">In February 2025, the Company announced it was awarded an $8 million grant from the California Institute for Regenerative Medicine (CIRM) to support the clinical trial of TN-401. The award is payable to the Company upon achievement of certain clinical milestones.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the Company will co-fund the research project with CIRM and the amount of the Company's co-funding requirement is predetermined as a part of the award. The Company accounts for the grant under Accounting Standards Codification (ASC) 450-30, </w:t>
      </w:r>
      <w:r>
        <w:rPr>
          <w:rFonts w:ascii="Times New Roman" w:cs="Times New Roman" w:eastAsia="Times New Roman" w:hAnsi="Times New Roman"/>
          <w:sz w:val="20"/>
          <w:szCs w:val="20"/>
          <w:i w:val="1"/>
          <w:iCs w:val="1"/>
          <w:color w:val="454546"/>
        </w:rPr>
        <w:t>Gain</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Contingencies</w:t>
      </w:r>
      <w:r>
        <w:rPr>
          <w:rFonts w:ascii="Times New Roman" w:cs="Times New Roman" w:eastAsia="Times New Roman" w:hAnsi="Times New Roman"/>
          <w:sz w:val="20"/>
          <w:szCs w:val="20"/>
          <w:color w:val="454546"/>
        </w:rPr>
        <w:t>, and records the funds against the research and development expenses as the milestones are achieved.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For the year ended December 31, 2025, the Company recognized $2.5 million as a reduction of research and development expenses in connection with the grant.</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Emerging Growth Company Status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Recently Adopted Accounting Standards</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In December 2023, the Financial Accounting Standards Board (FASB) issued Accounting Standard Update (ASU) No. 2023-09, </w:t>
      </w:r>
      <w:r>
        <w:rPr>
          <w:rFonts w:ascii="Times New Roman" w:cs="Times New Roman" w:eastAsia="Times New Roman" w:hAnsi="Times New Roman"/>
          <w:sz w:val="20"/>
          <w:szCs w:val="20"/>
          <w:i w:val="1"/>
          <w:iCs w:val="1"/>
          <w:color w:val="454546"/>
        </w:rPr>
        <w:t>Income Taxes (Topic 740): Improvements to Income Tax Disclosures</w:t>
      </w:r>
      <w:r>
        <w:rPr>
          <w:rFonts w:ascii="Times New Roman" w:cs="Times New Roman" w:eastAsia="Times New Roman" w:hAnsi="Times New Roman"/>
          <w:sz w:val="20"/>
          <w:szCs w:val="20"/>
          <w:color w:val="454546"/>
        </w:rPr>
        <w:t xml:space="preserve"> (ASU 2023-09), which requires disaggregated information about a reporting entity’s effective tax rate reconciliation as well as information on income taxes paid. ASU 2023-09 is effective for annual periods beginning after December 15, 2024. The Company adopted this ASU on a prospective basis for the year ended December 31, 2025. The adoption of ASU 2023-09 did not have any effect on the Company's financial statements but resulted in expanded income tax disclosures. See </w:t>
      </w:r>
      <w:r>
        <w:rPr>
          <w:rFonts w:ascii="Times New Roman" w:cs="Times New Roman" w:eastAsia="Times New Roman" w:hAnsi="Times New Roman"/>
          <w:sz w:val="20"/>
          <w:szCs w:val="20"/>
          <w:i w:val="1"/>
          <w:iCs w:val="1"/>
          <w:color w:val="454546"/>
        </w:rPr>
        <w:t>Note 9</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Income Taxes</w:t>
      </w:r>
      <w:r>
        <w:rPr>
          <w:rFonts w:ascii="Times New Roman" w:cs="Times New Roman" w:eastAsia="Times New Roman" w:hAnsi="Times New Roman"/>
          <w:sz w:val="20"/>
          <w:szCs w:val="20"/>
          <w:color w:val="454546"/>
        </w:rPr>
        <w:t xml:space="preserve"> to Company's financial statements for the related disclosure.</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Recently Issued Accounting Pronouncements Not Yet Adopted</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In December 2025, the FASB issued ASU No. 2025-10, Government Grants </w:t>
      </w:r>
      <w:r>
        <w:rPr>
          <w:rFonts w:ascii="Times New Roman" w:cs="Times New Roman" w:eastAsia="Times New Roman" w:hAnsi="Times New Roman"/>
          <w:sz w:val="20"/>
          <w:szCs w:val="20"/>
          <w:i w:val="1"/>
          <w:iCs w:val="1"/>
          <w:color w:val="454546"/>
        </w:rPr>
        <w:t>(Topic 832): Accounting for</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Government Grants Received by Business Entities </w:t>
      </w:r>
      <w:r>
        <w:rPr>
          <w:rFonts w:ascii="Times New Roman" w:cs="Times New Roman" w:eastAsia="Times New Roman" w:hAnsi="Times New Roman"/>
          <w:sz w:val="20"/>
          <w:szCs w:val="20"/>
          <w:color w:val="454546"/>
        </w:rPr>
        <w:t>(ASU 2025-10), which adds guidance to Accounting Standards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Codification (ASC) 832 on the recognition, measurement, and presentation of government grants. The guidance establishes a framework for accounting for government grants, including grants related to assets and grants related to income. ASU 2025-10 is effective for the Company for annual periods beginning after December 15, 2028, and interim periods within those annual periods. Early adoption is permitted. The Company is evaluating the impact of this standard on its financial statements and related disclosures.</w:t>
      </w:r>
    </w:p>
    <w:p>
      <w:pPr>
        <w:spacing w:after="0" w:line="8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In July 2025, the FASB issued ASU No. 2025-05, </w:t>
      </w:r>
      <w:r>
        <w:rPr>
          <w:rFonts w:ascii="Times New Roman" w:cs="Times New Roman" w:eastAsia="Times New Roman" w:hAnsi="Times New Roman"/>
          <w:sz w:val="20"/>
          <w:szCs w:val="20"/>
          <w:i w:val="1"/>
          <w:iCs w:val="1"/>
          <w:color w:val="454546"/>
        </w:rPr>
        <w:t>Financial Instruments—Credit Losses (Topic 326):</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Measurement of Credit Losses for Accounts Receivable and Contract Assets </w:t>
      </w:r>
      <w:r>
        <w:rPr>
          <w:rFonts w:ascii="Times New Roman" w:cs="Times New Roman" w:eastAsia="Times New Roman" w:hAnsi="Times New Roman"/>
          <w:sz w:val="20"/>
          <w:szCs w:val="20"/>
          <w:color w:val="454546"/>
        </w:rPr>
        <w:t>(ASU 2025-05), which provides a</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Early adoption is permitted. The Company is evaluating the impact of this standard on its financial statements and related disclosures.</w:t>
      </w:r>
    </w:p>
    <w:p>
      <w:pPr>
        <w:spacing w:after="0" w:line="80" w:lineRule="exact"/>
        <w:rPr>
          <w:sz w:val="20"/>
          <w:szCs w:val="20"/>
          <w:color w:val="auto"/>
        </w:rPr>
      </w:pPr>
    </w:p>
    <w:p>
      <w:pPr>
        <w:jc w:val="center"/>
        <w:ind w:right="520"/>
        <w:spacing w:after="0" w:line="305" w:lineRule="auto"/>
        <w:rPr>
          <w:sz w:val="20"/>
          <w:szCs w:val="20"/>
          <w:color w:val="auto"/>
        </w:rPr>
      </w:pPr>
      <w:r>
        <w:rPr>
          <w:rFonts w:ascii="Times New Roman" w:cs="Times New Roman" w:eastAsia="Times New Roman" w:hAnsi="Times New Roman"/>
          <w:sz w:val="19"/>
          <w:szCs w:val="19"/>
          <w:color w:val="454546"/>
        </w:rPr>
        <w:t xml:space="preserve">In November 2024, the FASB issued ASU No. 2024-03, </w:t>
      </w:r>
      <w:r>
        <w:rPr>
          <w:rFonts w:ascii="Times New Roman" w:cs="Times New Roman" w:eastAsia="Times New Roman" w:hAnsi="Times New Roman"/>
          <w:sz w:val="19"/>
          <w:szCs w:val="19"/>
          <w:i w:val="1"/>
          <w:iCs w:val="1"/>
          <w:color w:val="454546"/>
        </w:rPr>
        <w:t>Income Statement (Topic 220): Reporting</w:t>
      </w:r>
      <w:r>
        <w:rPr>
          <w:rFonts w:ascii="Times New Roman" w:cs="Times New Roman" w:eastAsia="Times New Roman" w:hAnsi="Times New Roman"/>
          <w:sz w:val="19"/>
          <w:szCs w:val="19"/>
          <w:color w:val="454546"/>
        </w:rPr>
        <w:t xml:space="preserve"> </w:t>
      </w:r>
      <w:r>
        <w:rPr>
          <w:rFonts w:ascii="Times New Roman" w:cs="Times New Roman" w:eastAsia="Times New Roman" w:hAnsi="Times New Roman"/>
          <w:sz w:val="19"/>
          <w:szCs w:val="19"/>
          <w:i w:val="1"/>
          <w:iCs w:val="1"/>
          <w:color w:val="454546"/>
        </w:rPr>
        <w:t>Comprehensive Income - Expense Disaggregation Disclosures, Disaggregation of Income Statement Expenses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118</w:t>
      </w:r>
    </w:p>
    <w:p>
      <w:pPr>
        <w:sectPr>
          <w:pgSz w:w="12240" w:h="15840" w:orient="portrait"/>
          <w:cols w:equalWidth="0" w:num="1">
            <w:col w:w="9360"/>
          </w:cols>
          <w:pgMar w:left="1440" w:top="1420" w:right="1440" w:bottom="175" w:gutter="0" w:footer="0" w:header="0"/>
          <w:type w:val="continuous"/>
        </w:sectPr>
      </w:pPr>
    </w:p>
    <w:bookmarkStart w:id="120" w:name="page121"/>
    <w:bookmarkEnd w:id="120"/>
    <w:p>
      <w:pPr>
        <w:ind w:right="60"/>
        <w:spacing w:after="0" w:line="249" w:lineRule="auto"/>
        <w:rPr>
          <w:sz w:val="20"/>
          <w:szCs w:val="20"/>
          <w:color w:val="auto"/>
        </w:rPr>
      </w:pPr>
      <w:r>
        <w:rPr>
          <w:rFonts w:ascii="Times New Roman" w:cs="Times New Roman" w:eastAsia="Times New Roman" w:hAnsi="Times New Roman"/>
          <w:sz w:val="20"/>
          <w:szCs w:val="20"/>
          <w:color w:val="454546"/>
        </w:rPr>
        <w:t>(ASU 2024- 03), which requires public companies to disclose, in interim and 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3. Balance Sheet Components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Property and Equipment, Net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Property and equipment, net, consists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1720" w:type="dxa"/>
            <w:vAlign w:val="bottom"/>
            <w:tcBorders>
              <w:bottom w:val="single" w:sz="8" w:color="454546"/>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92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340" w:type="dxa"/>
            <w:vAlign w:val="bottom"/>
          </w:tcPr>
          <w:p>
            <w:pPr>
              <w:spacing w:after="0"/>
              <w:rPr>
                <w:sz w:val="16"/>
                <w:szCs w:val="16"/>
                <w:color w:val="auto"/>
              </w:rPr>
            </w:pPr>
          </w:p>
        </w:tc>
        <w:tc>
          <w:tcPr>
            <w:tcW w:w="300" w:type="dxa"/>
            <w:vAlign w:val="bottom"/>
            <w:tcBorders>
              <w:bottom w:val="single" w:sz="8" w:color="454546"/>
            </w:tcBorders>
          </w:tcPr>
          <w:p>
            <w:pPr>
              <w:spacing w:after="0"/>
              <w:rPr>
                <w:sz w:val="16"/>
                <w:szCs w:val="16"/>
                <w:color w:val="auto"/>
              </w:rPr>
            </w:pPr>
          </w:p>
        </w:tc>
        <w:tc>
          <w:tcPr>
            <w:tcW w:w="1040" w:type="dxa"/>
            <w:vAlign w:val="bottom"/>
            <w:tcBorders>
              <w:bottom w:val="single" w:sz="8" w:color="454546"/>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60" w:type="dxa"/>
            <w:vAlign w:val="bottom"/>
          </w:tcPr>
          <w:p>
            <w:pPr>
              <w:spacing w:after="0"/>
              <w:rPr>
                <w:sz w:val="16"/>
                <w:szCs w:val="16"/>
                <w:color w:val="auto"/>
              </w:rPr>
            </w:pPr>
          </w:p>
        </w:tc>
        <w:tc>
          <w:tcPr>
            <w:tcW w:w="420" w:type="dxa"/>
            <w:vAlign w:val="bottom"/>
            <w:tcBorders>
              <w:bottom w:val="single" w:sz="8" w:color="454546"/>
            </w:tcBorders>
          </w:tcPr>
          <w:p>
            <w:pPr>
              <w:spacing w:after="0"/>
              <w:rPr>
                <w:sz w:val="16"/>
                <w:szCs w:val="16"/>
                <w:color w:val="auto"/>
              </w:rPr>
            </w:pPr>
          </w:p>
        </w:tc>
        <w:tc>
          <w:tcPr>
            <w:tcW w:w="920" w:type="dxa"/>
            <w:vAlign w:val="bottom"/>
            <w:tcBorders>
              <w:bottom w:val="single" w:sz="8" w:color="454546"/>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Pr>
          <w:p>
            <w:pPr>
              <w:spacing w:after="0"/>
              <w:rPr>
                <w:sz w:val="16"/>
                <w:szCs w:val="16"/>
                <w:color w:val="auto"/>
              </w:rPr>
            </w:pPr>
          </w:p>
        </w:tc>
      </w:tr>
      <w:tr>
        <w:trPr>
          <w:trHeight w:val="193"/>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454546"/>
              </w:rPr>
              <w:t>(In</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82"/>
              </w:rPr>
              <w:t>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Leasehold improvements</w:t>
            </w: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26,244</w:t>
            </w:r>
          </w:p>
        </w:tc>
        <w:tc>
          <w:tcPr>
            <w:tcW w:w="260" w:type="dxa"/>
            <w:vAlign w:val="bottom"/>
            <w:shd w:val="clear" w:color="auto" w:fill="E5E6E7"/>
          </w:tcPr>
          <w:p>
            <w:pPr>
              <w:spacing w:after="0"/>
              <w:rPr>
                <w:sz w:val="21"/>
                <w:szCs w:val="21"/>
                <w:color w:val="auto"/>
              </w:rPr>
            </w:pPr>
          </w:p>
        </w:tc>
        <w:tc>
          <w:tcPr>
            <w:tcW w:w="420" w:type="dxa"/>
            <w:vAlign w:val="bottom"/>
            <w:shd w:val="clear" w:color="auto" w:fill="E5E6E7"/>
          </w:tcPr>
          <w:p>
            <w:pPr>
              <w:jc w:val="center"/>
              <w:ind w:right="220"/>
              <w:spacing w:after="0"/>
              <w:rPr>
                <w:sz w:val="20"/>
                <w:szCs w:val="20"/>
                <w:color w:val="auto"/>
              </w:rPr>
            </w:pPr>
            <w:r>
              <w:rPr>
                <w:rFonts w:ascii="Times New Roman" w:cs="Times New Roman" w:eastAsia="Times New Roman" w:hAnsi="Times New Roman"/>
                <w:sz w:val="20"/>
                <w:szCs w:val="20"/>
                <w:color w:val="454546"/>
                <w:w w:val="99"/>
              </w:rPr>
              <w: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26,159</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454546"/>
              </w:rPr>
              <w:t>Manufacturing equipment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19,485</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17,738</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Laboratory equipment</w:t>
            </w:r>
          </w:p>
        </w:tc>
        <w:tc>
          <w:tcPr>
            <w:tcW w:w="3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19,014</w:t>
            </w:r>
          </w:p>
        </w:tc>
        <w:tc>
          <w:tcPr>
            <w:tcW w:w="260" w:type="dxa"/>
            <w:vAlign w:val="bottom"/>
            <w:shd w:val="clear" w:color="auto" w:fill="E5E6E7"/>
          </w:tcPr>
          <w:p>
            <w:pPr>
              <w:spacing w:after="0"/>
              <w:rPr>
                <w:sz w:val="21"/>
                <w:szCs w:val="21"/>
                <w:color w:val="auto"/>
              </w:rPr>
            </w:pPr>
          </w:p>
        </w:tc>
        <w:tc>
          <w:tcPr>
            <w:tcW w:w="420" w:type="dxa"/>
            <w:vAlign w:val="bottom"/>
            <w:shd w:val="clear" w:color="auto" w:fill="E5E6E7"/>
          </w:tcPr>
          <w:p>
            <w:pPr>
              <w:spacing w:after="0"/>
              <w:rPr>
                <w:sz w:val="21"/>
                <w:szCs w:val="21"/>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19,770</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454546"/>
              </w:rPr>
              <w:t>Computer equipment and software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1,893</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1,664</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Furniture and fixtures</w:t>
            </w:r>
          </w:p>
        </w:tc>
        <w:tc>
          <w:tcPr>
            <w:tcW w:w="3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902</w:t>
            </w:r>
          </w:p>
        </w:tc>
        <w:tc>
          <w:tcPr>
            <w:tcW w:w="260" w:type="dxa"/>
            <w:vAlign w:val="bottom"/>
            <w:shd w:val="clear" w:color="auto" w:fill="E5E6E7"/>
          </w:tcPr>
          <w:p>
            <w:pPr>
              <w:spacing w:after="0"/>
              <w:rPr>
                <w:sz w:val="21"/>
                <w:szCs w:val="21"/>
                <w:color w:val="auto"/>
              </w:rPr>
            </w:pPr>
          </w:p>
        </w:tc>
        <w:tc>
          <w:tcPr>
            <w:tcW w:w="420" w:type="dxa"/>
            <w:vAlign w:val="bottom"/>
            <w:shd w:val="clear" w:color="auto" w:fill="E5E6E7"/>
          </w:tcPr>
          <w:p>
            <w:pPr>
              <w:spacing w:after="0"/>
              <w:rPr>
                <w:sz w:val="21"/>
                <w:szCs w:val="21"/>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902</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Construction in progress</w:t>
            </w:r>
          </w:p>
        </w:tc>
        <w:tc>
          <w:tcPr>
            <w:tcW w:w="300" w:type="dxa"/>
            <w:vAlign w:val="bottom"/>
            <w:tcBorders>
              <w:bottom w:val="single" w:sz="8" w:color="454546"/>
            </w:tcBorders>
          </w:tcPr>
          <w:p>
            <w:pPr>
              <w:spacing w:after="0"/>
              <w:rPr>
                <w:sz w:val="21"/>
                <w:szCs w:val="21"/>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67</w:t>
            </w:r>
          </w:p>
        </w:tc>
        <w:tc>
          <w:tcPr>
            <w:tcW w:w="260" w:type="dxa"/>
            <w:vAlign w:val="bottom"/>
            <w:tcBorders>
              <w:bottom w:val="single" w:sz="8" w:color="E5E6E7"/>
            </w:tcBorders>
          </w:tcPr>
          <w:p>
            <w:pPr>
              <w:spacing w:after="0"/>
              <w:rPr>
                <w:sz w:val="21"/>
                <w:szCs w:val="21"/>
                <w:color w:val="auto"/>
              </w:rPr>
            </w:pPr>
          </w:p>
        </w:tc>
        <w:tc>
          <w:tcPr>
            <w:tcW w:w="420" w:type="dxa"/>
            <w:vAlign w:val="bottom"/>
            <w:tcBorders>
              <w:bottom w:val="single" w:sz="8" w:color="454546"/>
            </w:tcBorders>
          </w:tcPr>
          <w:p>
            <w:pPr>
              <w:spacing w:after="0"/>
              <w:rPr>
                <w:sz w:val="21"/>
                <w:szCs w:val="21"/>
                <w:color w:val="auto"/>
              </w:rPr>
            </w:pPr>
          </w:p>
        </w:tc>
        <w:tc>
          <w:tcPr>
            <w:tcW w:w="9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1,915</w:t>
            </w:r>
          </w:p>
        </w:tc>
        <w:tc>
          <w:tcPr>
            <w:tcW w:w="80" w:type="dxa"/>
            <w:vAlign w:val="bottom"/>
            <w:tcBorders>
              <w:bottom w:val="single" w:sz="8" w:color="E5E6E7"/>
            </w:tcBorders>
          </w:tcPr>
          <w:p>
            <w:pPr>
              <w:spacing w:after="0"/>
              <w:rPr>
                <w:sz w:val="21"/>
                <w:szCs w:val="21"/>
                <w:color w:val="auto"/>
              </w:rPr>
            </w:pPr>
          </w:p>
        </w:tc>
      </w:tr>
      <w:tr>
        <w:trPr>
          <w:trHeight w:val="239"/>
        </w:trPr>
        <w:tc>
          <w:tcPr>
            <w:tcW w:w="63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Total property and equipment</w:t>
            </w: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67,605</w:t>
            </w:r>
          </w:p>
        </w:tc>
        <w:tc>
          <w:tcPr>
            <w:tcW w:w="260" w:type="dxa"/>
            <w:vAlign w:val="bottom"/>
            <w:shd w:val="clear" w:color="auto" w:fill="E5E6E7"/>
          </w:tcPr>
          <w:p>
            <w:pPr>
              <w:spacing w:after="0"/>
              <w:rPr>
                <w:sz w:val="20"/>
                <w:szCs w:val="20"/>
                <w:color w:val="auto"/>
              </w:rPr>
            </w:pPr>
          </w:p>
        </w:tc>
        <w:tc>
          <w:tcPr>
            <w:tcW w:w="420" w:type="dxa"/>
            <w:vAlign w:val="bottom"/>
            <w:shd w:val="clear" w:color="auto" w:fill="E5E6E7"/>
          </w:tcPr>
          <w:p>
            <w:pPr>
              <w:jc w:val="center"/>
              <w:ind w:right="220"/>
              <w:spacing w:after="0"/>
              <w:rPr>
                <w:sz w:val="20"/>
                <w:szCs w:val="20"/>
                <w:color w:val="auto"/>
              </w:rPr>
            </w:pPr>
            <w:r>
              <w:rPr>
                <w:rFonts w:ascii="Times New Roman" w:cs="Times New Roman" w:eastAsia="Times New Roman" w:hAnsi="Times New Roman"/>
                <w:sz w:val="20"/>
                <w:szCs w:val="20"/>
                <w:color w:val="454546"/>
                <w:w w:val="99"/>
              </w:rPr>
              <w: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68,148</w:t>
            </w:r>
          </w:p>
        </w:tc>
        <w:tc>
          <w:tcPr>
            <w:tcW w:w="80" w:type="dxa"/>
            <w:vAlign w:val="bottom"/>
            <w:shd w:val="clear" w:color="auto" w:fill="E5E6E7"/>
          </w:tcPr>
          <w:p>
            <w:pPr>
              <w:spacing w:after="0"/>
              <w:rPr>
                <w:sz w:val="20"/>
                <w:szCs w:val="20"/>
                <w:color w:val="auto"/>
              </w:rPr>
            </w:pPr>
          </w:p>
        </w:tc>
      </w:tr>
      <w:tr>
        <w:trPr>
          <w:trHeight w:val="244"/>
        </w:trPr>
        <w:tc>
          <w:tcPr>
            <w:tcW w:w="63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Less: accumulated depreciation and amortization</w:t>
            </w:r>
          </w:p>
        </w:tc>
        <w:tc>
          <w:tcPr>
            <w:tcW w:w="300" w:type="dxa"/>
            <w:vAlign w:val="bottom"/>
            <w:tcBorders>
              <w:bottom w:val="single" w:sz="8" w:color="454546"/>
            </w:tcBorders>
          </w:tcPr>
          <w:p>
            <w:pPr>
              <w:spacing w:after="0"/>
              <w:rPr>
                <w:sz w:val="21"/>
                <w:szCs w:val="21"/>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(39,933)</w:t>
            </w:r>
          </w:p>
        </w:tc>
        <w:tc>
          <w:tcPr>
            <w:tcW w:w="260" w:type="dxa"/>
            <w:vAlign w:val="bottom"/>
            <w:tcBorders>
              <w:bottom w:val="single" w:sz="8" w:color="E5E6E7"/>
            </w:tcBorders>
          </w:tcPr>
          <w:p>
            <w:pPr>
              <w:spacing w:after="0"/>
              <w:rPr>
                <w:sz w:val="21"/>
                <w:szCs w:val="21"/>
                <w:color w:val="auto"/>
              </w:rPr>
            </w:pPr>
          </w:p>
        </w:tc>
        <w:tc>
          <w:tcPr>
            <w:tcW w:w="420" w:type="dxa"/>
            <w:vAlign w:val="bottom"/>
            <w:tcBorders>
              <w:bottom w:val="single" w:sz="8" w:color="454546"/>
            </w:tcBorders>
          </w:tcPr>
          <w:p>
            <w:pPr>
              <w:spacing w:after="0"/>
              <w:rPr>
                <w:sz w:val="21"/>
                <w:szCs w:val="21"/>
                <w:color w:val="auto"/>
              </w:rPr>
            </w:pPr>
          </w:p>
        </w:tc>
        <w:tc>
          <w:tcPr>
            <w:tcW w:w="9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(32,290)</w:t>
            </w:r>
          </w:p>
        </w:tc>
        <w:tc>
          <w:tcPr>
            <w:tcW w:w="80" w:type="dxa"/>
            <w:vAlign w:val="bottom"/>
            <w:tcBorders>
              <w:bottom w:val="single" w:sz="8" w:color="E5E6E7"/>
            </w:tcBorders>
          </w:tcPr>
          <w:p>
            <w:pPr>
              <w:spacing w:after="0"/>
              <w:rPr>
                <w:sz w:val="21"/>
                <w:szCs w:val="21"/>
                <w:color w:val="auto"/>
              </w:rPr>
            </w:pPr>
          </w:p>
        </w:tc>
      </w:tr>
      <w:tr>
        <w:trPr>
          <w:trHeight w:val="259"/>
        </w:trPr>
        <w:tc>
          <w:tcPr>
            <w:tcW w:w="6340" w:type="dxa"/>
            <w:vAlign w:val="bottom"/>
            <w:tcBorders>
              <w:bottom w:val="single" w:sz="8" w:color="E5E6E7"/>
            </w:tcBorders>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Total property and equipment, net</w:t>
            </w:r>
          </w:p>
        </w:tc>
        <w:tc>
          <w:tcPr>
            <w:tcW w:w="300" w:type="dxa"/>
            <w:vAlign w:val="bottom"/>
            <w:tcBorders>
              <w:bottom w:val="single" w:sz="8" w:color="454546"/>
            </w:tcBorders>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27,672</w:t>
            </w:r>
          </w:p>
        </w:tc>
        <w:tc>
          <w:tcPr>
            <w:tcW w:w="260" w:type="dxa"/>
            <w:vAlign w:val="bottom"/>
            <w:tcBorders>
              <w:bottom w:val="single" w:sz="8" w:color="E5E6E7"/>
            </w:tcBorders>
            <w:shd w:val="clear" w:color="auto" w:fill="E5E6E7"/>
          </w:tcPr>
          <w:p>
            <w:pPr>
              <w:spacing w:after="0"/>
              <w:rPr>
                <w:sz w:val="22"/>
                <w:szCs w:val="22"/>
                <w:color w:val="auto"/>
              </w:rPr>
            </w:pPr>
          </w:p>
        </w:tc>
        <w:tc>
          <w:tcPr>
            <w:tcW w:w="420" w:type="dxa"/>
            <w:vAlign w:val="bottom"/>
            <w:tcBorders>
              <w:bottom w:val="single" w:sz="8" w:color="454546"/>
            </w:tcBorders>
            <w:shd w:val="clear" w:color="auto" w:fill="E5E6E7"/>
          </w:tcPr>
          <w:p>
            <w:pPr>
              <w:jc w:val="center"/>
              <w:ind w:right="220"/>
              <w:spacing w:after="0"/>
              <w:rPr>
                <w:sz w:val="20"/>
                <w:szCs w:val="20"/>
                <w:color w:val="auto"/>
              </w:rPr>
            </w:pPr>
            <w:r>
              <w:rPr>
                <w:rFonts w:ascii="Times New Roman" w:cs="Times New Roman" w:eastAsia="Times New Roman" w:hAnsi="Times New Roman"/>
                <w:sz w:val="20"/>
                <w:szCs w:val="20"/>
                <w:color w:val="454546"/>
                <w:w w:val="99"/>
              </w:rPr>
              <w:t>$</w:t>
            </w:r>
          </w:p>
        </w:tc>
        <w:tc>
          <w:tcPr>
            <w:tcW w:w="9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35,858</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454546"/>
            </w:tcBorders>
          </w:tcPr>
          <w:p>
            <w:pPr>
              <w:spacing w:after="0" w:line="20" w:lineRule="exact"/>
              <w:rPr>
                <w:sz w:val="1"/>
                <w:szCs w:val="1"/>
                <w:color w:val="auto"/>
              </w:rPr>
            </w:pPr>
          </w:p>
        </w:tc>
        <w:tc>
          <w:tcPr>
            <w:tcW w:w="92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20" w:firstLine="490"/>
        <w:spacing w:after="0" w:line="277" w:lineRule="auto"/>
        <w:rPr>
          <w:sz w:val="20"/>
          <w:szCs w:val="20"/>
          <w:color w:val="auto"/>
        </w:rPr>
      </w:pPr>
      <w:r>
        <w:rPr>
          <w:rFonts w:ascii="Times New Roman" w:cs="Times New Roman" w:eastAsia="Times New Roman" w:hAnsi="Times New Roman"/>
          <w:sz w:val="20"/>
          <w:szCs w:val="20"/>
          <w:color w:val="454546"/>
        </w:rPr>
        <w:t>Depreciation and amortization expense for the years ended December 31, 2025 and 2024 was $8.4 million and $8.5 million, respectively.</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Accrued Expenses and Other Current Liabilities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Accrued expenses and other current liabilities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8"/>
          </w:tcPr>
          <w:p>
            <w:pPr>
              <w:ind w:left="90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16"/>
                <w:szCs w:val="16"/>
                <w:color w:val="auto"/>
              </w:rPr>
            </w:pPr>
          </w:p>
        </w:tc>
        <w:tc>
          <w:tcPr>
            <w:tcW w:w="120" w:type="dxa"/>
            <w:vAlign w:val="bottom"/>
            <w:tcBorders>
              <w:top w:val="single" w:sz="8" w:color="454546"/>
              <w:bottom w:val="single" w:sz="8" w:color="454546"/>
            </w:tcBorders>
          </w:tcPr>
          <w:p>
            <w:pPr>
              <w:spacing w:after="0"/>
              <w:rPr>
                <w:sz w:val="16"/>
                <w:szCs w:val="16"/>
                <w:color w:val="auto"/>
              </w:rPr>
            </w:pPr>
          </w:p>
        </w:tc>
        <w:tc>
          <w:tcPr>
            <w:tcW w:w="1240" w:type="dxa"/>
            <w:vAlign w:val="bottom"/>
            <w:tcBorders>
              <w:top w:val="single" w:sz="8" w:color="454546"/>
              <w:bottom w:val="single" w:sz="8" w:color="454546"/>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0" w:type="dxa"/>
            <w:vAlign w:val="bottom"/>
            <w:tcBorders>
              <w:top w:val="single" w:sz="8" w:color="454546"/>
            </w:tcBorders>
          </w:tcPr>
          <w:p>
            <w:pPr>
              <w:spacing w:after="0"/>
              <w:rPr>
                <w:sz w:val="16"/>
                <w:szCs w:val="16"/>
                <w:color w:val="auto"/>
              </w:rPr>
            </w:pPr>
          </w:p>
        </w:tc>
        <w:tc>
          <w:tcPr>
            <w:tcW w:w="240" w:type="dxa"/>
            <w:vAlign w:val="bottom"/>
            <w:tcBorders>
              <w:top w:val="single" w:sz="8" w:color="454546"/>
            </w:tcBorders>
          </w:tcPr>
          <w:p>
            <w:pPr>
              <w:spacing w:after="0"/>
              <w:rPr>
                <w:sz w:val="16"/>
                <w:szCs w:val="16"/>
                <w:color w:val="auto"/>
              </w:rPr>
            </w:pPr>
          </w:p>
        </w:tc>
        <w:tc>
          <w:tcPr>
            <w:tcW w:w="20" w:type="dxa"/>
            <w:vAlign w:val="bottom"/>
            <w:tcBorders>
              <w:top w:val="single" w:sz="8" w:color="454546"/>
              <w:bottom w:val="single" w:sz="8" w:color="454546"/>
            </w:tcBorders>
          </w:tcPr>
          <w:p>
            <w:pPr>
              <w:spacing w:after="0"/>
              <w:rPr>
                <w:sz w:val="16"/>
                <w:szCs w:val="16"/>
                <w:color w:val="auto"/>
              </w:rPr>
            </w:pPr>
          </w:p>
        </w:tc>
        <w:tc>
          <w:tcPr>
            <w:tcW w:w="100" w:type="dxa"/>
            <w:vAlign w:val="bottom"/>
            <w:tcBorders>
              <w:top w:val="single" w:sz="8" w:color="454546"/>
              <w:bottom w:val="single" w:sz="8" w:color="454546"/>
            </w:tcBorders>
          </w:tcPr>
          <w:p>
            <w:pPr>
              <w:spacing w:after="0"/>
              <w:rPr>
                <w:sz w:val="16"/>
                <w:szCs w:val="16"/>
                <w:color w:val="auto"/>
              </w:rPr>
            </w:pPr>
          </w:p>
        </w:tc>
        <w:tc>
          <w:tcPr>
            <w:tcW w:w="1240" w:type="dxa"/>
            <w:vAlign w:val="bottom"/>
            <w:tcBorders>
              <w:top w:val="single" w:sz="8" w:color="454546"/>
              <w:bottom w:val="single" w:sz="8" w:color="454546"/>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454546"/>
                <w:w w:val="99"/>
              </w:rPr>
              <w:t>2024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454546"/>
              </w:rPr>
              <w:t>(In</w:t>
            </w:r>
          </w:p>
        </w:tc>
        <w:tc>
          <w:tcPr>
            <w:tcW w:w="1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454546"/>
              </w:rPr>
              <w:t>thousands)</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Accrued compensation and related expenses</w:t>
            </w:r>
          </w:p>
        </w:tc>
        <w:tc>
          <w:tcPr>
            <w:tcW w:w="1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w w:val="99"/>
              </w:rPr>
              <w:t>$</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6,013</w:t>
            </w:r>
          </w:p>
        </w:tc>
        <w:tc>
          <w:tcPr>
            <w:tcW w:w="20" w:type="dxa"/>
            <w:vAlign w:val="bottom"/>
            <w:shd w:val="clear" w:color="auto" w:fill="E5E6E7"/>
          </w:tcPr>
          <w:p>
            <w:pPr>
              <w:spacing w:after="0"/>
              <w:rPr>
                <w:sz w:val="21"/>
                <w:szCs w:val="21"/>
                <w:color w:val="auto"/>
              </w:rPr>
            </w:pPr>
          </w:p>
        </w:tc>
        <w:tc>
          <w:tcPr>
            <w:tcW w:w="360" w:type="dxa"/>
            <w:vAlign w:val="bottom"/>
            <w:gridSpan w:val="3"/>
            <w:shd w:val="clear" w:color="auto" w:fill="E5E6E7"/>
          </w:tcPr>
          <w:p>
            <w:pPr>
              <w:ind w:left="240"/>
              <w:spacing w:after="0"/>
              <w:rPr>
                <w:sz w:val="20"/>
                <w:szCs w:val="20"/>
                <w:color w:val="auto"/>
              </w:rPr>
            </w:pPr>
            <w:r>
              <w:rPr>
                <w:rFonts w:ascii="Times New Roman" w:cs="Times New Roman" w:eastAsia="Times New Roman" w:hAnsi="Times New Roman"/>
                <w:sz w:val="20"/>
                <w:szCs w:val="20"/>
                <w:color w:val="454546"/>
                <w:w w:val="99"/>
              </w:rPr>
              <w:t>$</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5,595</w:t>
            </w:r>
          </w:p>
        </w:tc>
        <w:tc>
          <w:tcPr>
            <w:tcW w:w="2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454546"/>
              </w:rPr>
              <w:t>Accrued research and development expenses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1,651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1,446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Accrued professional services</w:t>
            </w:r>
          </w:p>
        </w:tc>
        <w:tc>
          <w:tcPr>
            <w:tcW w:w="120" w:type="dxa"/>
            <w:vAlign w:val="bottom"/>
            <w:shd w:val="clear" w:color="auto" w:fill="E5E6E7"/>
          </w:tcPr>
          <w:p>
            <w:pPr>
              <w:spacing w:after="0"/>
              <w:rPr>
                <w:sz w:val="21"/>
                <w:szCs w:val="21"/>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718</w:t>
            </w:r>
          </w:p>
        </w:tc>
        <w:tc>
          <w:tcPr>
            <w:tcW w:w="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432</w:t>
            </w:r>
          </w:p>
        </w:tc>
        <w:tc>
          <w:tcPr>
            <w:tcW w:w="2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454546"/>
              </w:rPr>
              <w:t>Accrued taxes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current liabilities</w:t>
            </w:r>
          </w:p>
        </w:tc>
        <w:tc>
          <w:tcPr>
            <w:tcW w:w="120" w:type="dxa"/>
            <w:vAlign w:val="bottom"/>
            <w:tcBorders>
              <w:bottom w:val="single" w:sz="8" w:color="454546"/>
            </w:tcBorders>
            <w:shd w:val="clear" w:color="auto" w:fill="E5E6E7"/>
          </w:tcPr>
          <w:p>
            <w:pPr>
              <w:spacing w:after="0"/>
              <w:rPr>
                <w:sz w:val="22"/>
                <w:szCs w:val="22"/>
                <w:color w:val="auto"/>
              </w:rPr>
            </w:pPr>
          </w:p>
        </w:tc>
        <w:tc>
          <w:tcPr>
            <w:tcW w:w="12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176</w:t>
            </w:r>
          </w:p>
        </w:tc>
        <w:tc>
          <w:tcPr>
            <w:tcW w:w="20" w:type="dxa"/>
            <w:vAlign w:val="bottom"/>
            <w:tcBorders>
              <w:bottom w:val="single" w:sz="8" w:color="E5E6E7"/>
            </w:tcBorders>
            <w:shd w:val="clear" w:color="auto" w:fill="E5E6E7"/>
          </w:tcPr>
          <w:p>
            <w:pPr>
              <w:spacing w:after="0"/>
              <w:rPr>
                <w:sz w:val="22"/>
                <w:szCs w:val="22"/>
                <w:color w:val="auto"/>
              </w:rPr>
            </w:pPr>
          </w:p>
        </w:tc>
        <w:tc>
          <w:tcPr>
            <w:tcW w:w="240" w:type="dxa"/>
            <w:vAlign w:val="bottom"/>
            <w:tcBorders>
              <w:bottom w:val="single" w:sz="8" w:color="E5E6E7"/>
            </w:tcBorders>
            <w:shd w:val="clear" w:color="auto" w:fill="E5E6E7"/>
          </w:tcPr>
          <w:p>
            <w:pPr>
              <w:spacing w:after="0"/>
              <w:rPr>
                <w:sz w:val="22"/>
                <w:szCs w:val="22"/>
                <w:color w:val="auto"/>
              </w:rPr>
            </w:pPr>
          </w:p>
        </w:tc>
        <w:tc>
          <w:tcPr>
            <w:tcW w:w="20" w:type="dxa"/>
            <w:vAlign w:val="bottom"/>
            <w:tcBorders>
              <w:bottom w:val="single" w:sz="8" w:color="454546"/>
            </w:tcBorders>
            <w:shd w:val="clear" w:color="auto" w:fill="E5E6E7"/>
          </w:tcPr>
          <w:p>
            <w:pPr>
              <w:spacing w:after="0"/>
              <w:rPr>
                <w:sz w:val="22"/>
                <w:szCs w:val="22"/>
                <w:color w:val="auto"/>
              </w:rPr>
            </w:pPr>
          </w:p>
        </w:tc>
        <w:tc>
          <w:tcPr>
            <w:tcW w:w="100" w:type="dxa"/>
            <w:vAlign w:val="bottom"/>
            <w:tcBorders>
              <w:bottom w:val="single" w:sz="8" w:color="454546"/>
            </w:tcBorders>
            <w:shd w:val="clear" w:color="auto" w:fill="E5E6E7"/>
          </w:tcPr>
          <w:p>
            <w:pPr>
              <w:spacing w:after="0"/>
              <w:rPr>
                <w:sz w:val="22"/>
                <w:szCs w:val="22"/>
                <w:color w:val="auto"/>
              </w:rPr>
            </w:pPr>
          </w:p>
        </w:tc>
        <w:tc>
          <w:tcPr>
            <w:tcW w:w="12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214</w:t>
            </w:r>
          </w:p>
        </w:tc>
        <w:tc>
          <w:tcPr>
            <w:tcW w:w="20" w:type="dxa"/>
            <w:vAlign w:val="bottom"/>
            <w:tcBorders>
              <w:bottom w:val="single" w:sz="8" w:color="E5E6E7"/>
            </w:tcBorders>
            <w:shd w:val="clear" w:color="auto" w:fill="E5E6E7"/>
          </w:tcPr>
          <w:p>
            <w:pPr>
              <w:spacing w:after="0"/>
              <w:rPr>
                <w:sz w:val="22"/>
                <w:szCs w:val="22"/>
                <w:color w:val="auto"/>
              </w:rPr>
            </w:pPr>
          </w:p>
        </w:tc>
        <w:tc>
          <w:tcPr>
            <w:tcW w:w="40" w:type="dxa"/>
            <w:vAlign w:val="bottom"/>
            <w:tcBorders>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320" w:type="dxa"/>
            <w:vAlign w:val="bottom"/>
          </w:tcPr>
          <w:p>
            <w:pPr>
              <w:ind w:left="100"/>
              <w:spacing w:after="0" w:line="219" w:lineRule="exact"/>
              <w:rPr>
                <w:sz w:val="20"/>
                <w:szCs w:val="20"/>
                <w:color w:val="auto"/>
              </w:rPr>
            </w:pPr>
            <w:r>
              <w:rPr>
                <w:rFonts w:ascii="Times New Roman" w:cs="Times New Roman" w:eastAsia="Times New Roman" w:hAnsi="Times New Roman"/>
                <w:sz w:val="20"/>
                <w:szCs w:val="20"/>
                <w:color w:val="454546"/>
              </w:rPr>
              <w:t>Total accrued and other current liabilities</w:t>
            </w:r>
          </w:p>
        </w:tc>
        <w:tc>
          <w:tcPr>
            <w:tcW w:w="120" w:type="dxa"/>
            <w:vAlign w:val="bottom"/>
            <w:tcBorders>
              <w:bottom w:val="single" w:sz="8" w:color="454546"/>
            </w:tcBorders>
          </w:tcPr>
          <w:p>
            <w:pPr>
              <w:spacing w:after="0" w:line="219" w:lineRule="exact"/>
              <w:rPr>
                <w:sz w:val="20"/>
                <w:szCs w:val="20"/>
                <w:color w:val="auto"/>
              </w:rPr>
            </w:pPr>
            <w:r>
              <w:rPr>
                <w:rFonts w:ascii="Times New Roman" w:cs="Times New Roman" w:eastAsia="Times New Roman" w:hAnsi="Times New Roman"/>
                <w:sz w:val="20"/>
                <w:szCs w:val="20"/>
                <w:color w:val="454546"/>
                <w:w w:val="99"/>
              </w:rPr>
              <w:t>$</w:t>
            </w:r>
          </w:p>
        </w:tc>
        <w:tc>
          <w:tcPr>
            <w:tcW w:w="1240" w:type="dxa"/>
            <w:vAlign w:val="bottom"/>
            <w:tcBorders>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8,835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454546"/>
            </w:tcBorders>
            <w:gridSpan w:val="2"/>
          </w:tcPr>
          <w:p>
            <w:pPr>
              <w:spacing w:after="0" w:line="219" w:lineRule="exact"/>
              <w:rPr>
                <w:sz w:val="20"/>
                <w:szCs w:val="20"/>
                <w:color w:val="auto"/>
              </w:rPr>
            </w:pPr>
            <w:r>
              <w:rPr>
                <w:rFonts w:ascii="Times New Roman" w:cs="Times New Roman" w:eastAsia="Times New Roman" w:hAnsi="Times New Roman"/>
                <w:sz w:val="20"/>
                <w:szCs w:val="20"/>
                <w:color w:val="454546"/>
                <w:w w:val="99"/>
              </w:rPr>
              <w:t>$</w:t>
            </w:r>
          </w:p>
        </w:tc>
        <w:tc>
          <w:tcPr>
            <w:tcW w:w="1240" w:type="dxa"/>
            <w:vAlign w:val="bottom"/>
            <w:tcBorders>
              <w:bottom w:val="single" w:sz="8" w:color="454546"/>
            </w:tcBorders>
          </w:tcPr>
          <w:p>
            <w:pPr>
              <w:jc w:val="right"/>
              <w:spacing w:after="0" w:line="219" w:lineRule="exact"/>
              <w:rPr>
                <w:sz w:val="20"/>
                <w:szCs w:val="20"/>
                <w:color w:val="auto"/>
              </w:rPr>
            </w:pPr>
            <w:r>
              <w:rPr>
                <w:rFonts w:ascii="Times New Roman" w:cs="Times New Roman" w:eastAsia="Times New Roman" w:hAnsi="Times New Roman"/>
                <w:sz w:val="20"/>
                <w:szCs w:val="20"/>
                <w:color w:val="454546"/>
              </w:rPr>
              <w:t>8,035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Prepaid Expenses and Other Current Assets</w:t>
            </w:r>
          </w:p>
        </w:tc>
        <w:tc>
          <w:tcPr>
            <w:tcW w:w="120" w:type="dxa"/>
            <w:vAlign w:val="bottom"/>
            <w:tcBorders>
              <w:bottom w:val="single" w:sz="8" w:color="454546"/>
            </w:tcBorders>
          </w:tcPr>
          <w:p>
            <w:pPr>
              <w:spacing w:after="0" w:line="20" w:lineRule="exact"/>
              <w:rPr>
                <w:sz w:val="1"/>
                <w:szCs w:val="1"/>
                <w:color w:val="auto"/>
              </w:rPr>
            </w:pPr>
          </w:p>
        </w:tc>
        <w:tc>
          <w:tcPr>
            <w:tcW w:w="124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24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6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320" w:type="dxa"/>
            <w:vAlign w:val="bottom"/>
          </w:tcPr>
          <w:p>
            <w:pPr>
              <w:ind w:left="480"/>
              <w:spacing w:after="0"/>
              <w:rPr>
                <w:sz w:val="20"/>
                <w:szCs w:val="20"/>
                <w:color w:val="auto"/>
              </w:rPr>
            </w:pPr>
            <w:r>
              <w:rPr>
                <w:rFonts w:ascii="Times New Roman" w:cs="Times New Roman" w:eastAsia="Times New Roman" w:hAnsi="Times New Roman"/>
                <w:sz w:val="20"/>
                <w:szCs w:val="20"/>
                <w:color w:val="454546"/>
              </w:rPr>
              <w:t>Prepaid expenses and other current assets consist of the following:</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454546"/>
                <w:w w:val="99"/>
              </w:rPr>
              <w:t>December 31,</w:t>
            </w:r>
          </w:p>
        </w:tc>
        <w:tc>
          <w:tcPr>
            <w:tcW w:w="0" w:type="dxa"/>
            <w:vAlign w:val="bottom"/>
          </w:tcPr>
          <w:p>
            <w:pPr>
              <w:spacing w:after="0"/>
              <w:rPr>
                <w:sz w:val="1"/>
                <w:szCs w:val="1"/>
                <w:color w:val="auto"/>
              </w:rPr>
            </w:pPr>
          </w:p>
        </w:tc>
      </w:tr>
      <w:tr>
        <w:trPr>
          <w:trHeight w:val="227"/>
        </w:trPr>
        <w:tc>
          <w:tcPr>
            <w:tcW w:w="6320" w:type="dxa"/>
            <w:vAlign w:val="bottom"/>
          </w:tcPr>
          <w:p>
            <w:pPr>
              <w:spacing w:after="0"/>
              <w:rPr>
                <w:sz w:val="19"/>
                <w:szCs w:val="19"/>
                <w:color w:val="auto"/>
              </w:rPr>
            </w:pPr>
          </w:p>
        </w:tc>
        <w:tc>
          <w:tcPr>
            <w:tcW w:w="120" w:type="dxa"/>
            <w:vAlign w:val="bottom"/>
            <w:tcBorders>
              <w:bottom w:val="single" w:sz="8" w:color="454546"/>
            </w:tcBorders>
          </w:tcPr>
          <w:p>
            <w:pPr>
              <w:spacing w:after="0"/>
              <w:rPr>
                <w:sz w:val="19"/>
                <w:szCs w:val="19"/>
                <w:color w:val="auto"/>
              </w:rPr>
            </w:pPr>
          </w:p>
        </w:tc>
        <w:tc>
          <w:tcPr>
            <w:tcW w:w="1240" w:type="dxa"/>
            <w:vAlign w:val="bottom"/>
            <w:tcBorders>
              <w:bottom w:val="single" w:sz="8" w:color="454546"/>
            </w:tcBorders>
          </w:tcPr>
          <w:p>
            <w:pPr>
              <w:jc w:val="right"/>
              <w:ind w:right="408"/>
              <w:spacing w:after="0"/>
              <w:rPr>
                <w:sz w:val="20"/>
                <w:szCs w:val="20"/>
                <w:color w:val="auto"/>
              </w:rPr>
            </w:pPr>
            <w:r>
              <w:rPr>
                <w:rFonts w:ascii="Times New Roman" w:cs="Times New Roman" w:eastAsia="Times New Roman" w:hAnsi="Times New Roman"/>
                <w:sz w:val="18"/>
                <w:szCs w:val="18"/>
                <w:b w:val="1"/>
                <w:bCs w:val="1"/>
                <w:color w:val="454546"/>
              </w:rPr>
              <w:t>2025</w:t>
            </w:r>
          </w:p>
        </w:tc>
        <w:tc>
          <w:tcPr>
            <w:tcW w:w="20" w:type="dxa"/>
            <w:vAlign w:val="bottom"/>
            <w:tcBorders>
              <w:bottom w:val="single" w:sz="8" w:color="454546"/>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454546"/>
            </w:tcBorders>
          </w:tcPr>
          <w:p>
            <w:pPr>
              <w:spacing w:after="0"/>
              <w:rPr>
                <w:sz w:val="19"/>
                <w:szCs w:val="19"/>
                <w:color w:val="auto"/>
              </w:rPr>
            </w:pPr>
          </w:p>
        </w:tc>
        <w:tc>
          <w:tcPr>
            <w:tcW w:w="1240" w:type="dxa"/>
            <w:vAlign w:val="bottom"/>
            <w:tcBorders>
              <w:bottom w:val="single" w:sz="8" w:color="454546"/>
            </w:tcBorders>
          </w:tcPr>
          <w:p>
            <w:pPr>
              <w:jc w:val="center"/>
              <w:ind w:right="26"/>
              <w:spacing w:after="0"/>
              <w:rPr>
                <w:sz w:val="20"/>
                <w:szCs w:val="20"/>
                <w:color w:val="auto"/>
              </w:rPr>
            </w:pPr>
            <w:r>
              <w:rPr>
                <w:rFonts w:ascii="Times New Roman" w:cs="Times New Roman" w:eastAsia="Times New Roman" w:hAnsi="Times New Roman"/>
                <w:sz w:val="18"/>
                <w:szCs w:val="18"/>
                <w:b w:val="1"/>
                <w:bCs w:val="1"/>
                <w:color w:val="454546"/>
                <w:w w:val="99"/>
              </w:rPr>
              <w:t>2024</w:t>
            </w:r>
          </w:p>
        </w:tc>
        <w:tc>
          <w:tcPr>
            <w:tcW w:w="20" w:type="dxa"/>
            <w:vAlign w:val="bottom"/>
            <w:tcBorders>
              <w:bottom w:val="single" w:sz="8" w:color="454546"/>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454546"/>
              </w:rPr>
              <w:t>(In</w:t>
            </w:r>
          </w:p>
        </w:tc>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454546"/>
              </w:rPr>
              <w:t>thousands)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Prepaid expenses</w:t>
            </w:r>
          </w:p>
        </w:tc>
        <w:tc>
          <w:tcPr>
            <w:tcW w:w="1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4,014</w:t>
            </w:r>
          </w:p>
        </w:tc>
        <w:tc>
          <w:tcPr>
            <w:tcW w:w="20" w:type="dxa"/>
            <w:vAlign w:val="bottom"/>
            <w:shd w:val="clear" w:color="auto" w:fill="E5E6E7"/>
          </w:tcPr>
          <w:p>
            <w:pPr>
              <w:spacing w:after="0"/>
              <w:rPr>
                <w:sz w:val="19"/>
                <w:szCs w:val="19"/>
                <w:color w:val="auto"/>
              </w:rPr>
            </w:pPr>
          </w:p>
        </w:tc>
        <w:tc>
          <w:tcPr>
            <w:tcW w:w="360" w:type="dxa"/>
            <w:vAlign w:val="bottom"/>
            <w:gridSpan w:val="3"/>
            <w:shd w:val="clear" w:color="auto" w:fill="E5E6E7"/>
          </w:tcPr>
          <w:p>
            <w:pPr>
              <w:ind w:left="240"/>
              <w:spacing w:after="0"/>
              <w:rPr>
                <w:sz w:val="20"/>
                <w:szCs w:val="20"/>
                <w:color w:val="auto"/>
              </w:rPr>
            </w:pPr>
            <w:r>
              <w:rPr>
                <w:rFonts w:ascii="Times New Roman" w:cs="Times New Roman" w:eastAsia="Times New Roman" w:hAnsi="Times New Roman"/>
                <w:sz w:val="18"/>
                <w:szCs w:val="18"/>
                <w:color w:val="454546"/>
              </w:rPr>
              <w:t>$</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5,087</w:t>
            </w:r>
          </w:p>
        </w:tc>
        <w:tc>
          <w:tcPr>
            <w:tcW w:w="2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454546"/>
              </w:rPr>
              <w:t>Other current assets</w:t>
            </w:r>
          </w:p>
        </w:tc>
        <w:tc>
          <w:tcPr>
            <w:tcW w:w="120" w:type="dxa"/>
            <w:vAlign w:val="bottom"/>
            <w:tcBorders>
              <w:bottom w:val="single" w:sz="8" w:color="454546"/>
            </w:tcBorders>
          </w:tcPr>
          <w:p>
            <w:pPr>
              <w:spacing w:after="0"/>
              <w:rPr>
                <w:sz w:val="19"/>
                <w:szCs w:val="19"/>
                <w:color w:val="auto"/>
              </w:rPr>
            </w:pPr>
          </w:p>
        </w:tc>
        <w:tc>
          <w:tcPr>
            <w:tcW w:w="12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1,025</w:t>
            </w:r>
          </w:p>
        </w:tc>
        <w:tc>
          <w:tcPr>
            <w:tcW w:w="20" w:type="dxa"/>
            <w:vAlign w:val="bottom"/>
            <w:tcBorders>
              <w:bottom w:val="single" w:sz="8" w:color="454546"/>
            </w:tcBorders>
          </w:tcPr>
          <w:p>
            <w:pPr>
              <w:spacing w:after="0"/>
              <w:rPr>
                <w:sz w:val="19"/>
                <w:szCs w:val="19"/>
                <w:color w:val="auto"/>
              </w:rPr>
            </w:pPr>
          </w:p>
        </w:tc>
        <w:tc>
          <w:tcPr>
            <w:tcW w:w="240" w:type="dxa"/>
            <w:vAlign w:val="bottom"/>
            <w:tcBorders>
              <w:bottom w:val="single" w:sz="8" w:color="E5E6E7"/>
            </w:tcBorders>
          </w:tcPr>
          <w:p>
            <w:pPr>
              <w:spacing w:after="0"/>
              <w:rPr>
                <w:sz w:val="19"/>
                <w:szCs w:val="19"/>
                <w:color w:val="auto"/>
              </w:rPr>
            </w:pPr>
          </w:p>
        </w:tc>
        <w:tc>
          <w:tcPr>
            <w:tcW w:w="20" w:type="dxa"/>
            <w:vAlign w:val="bottom"/>
            <w:tcBorders>
              <w:bottom w:val="single" w:sz="8" w:color="E5E6E7"/>
            </w:tcBorders>
          </w:tcPr>
          <w:p>
            <w:pPr>
              <w:spacing w:after="0"/>
              <w:rPr>
                <w:sz w:val="19"/>
                <w:szCs w:val="19"/>
                <w:color w:val="auto"/>
              </w:rPr>
            </w:pPr>
          </w:p>
        </w:tc>
        <w:tc>
          <w:tcPr>
            <w:tcW w:w="100" w:type="dxa"/>
            <w:vAlign w:val="bottom"/>
            <w:tcBorders>
              <w:bottom w:val="single" w:sz="8" w:color="454546"/>
            </w:tcBorders>
          </w:tcPr>
          <w:p>
            <w:pPr>
              <w:spacing w:after="0"/>
              <w:rPr>
                <w:sz w:val="19"/>
                <w:szCs w:val="19"/>
                <w:color w:val="auto"/>
              </w:rPr>
            </w:pPr>
          </w:p>
        </w:tc>
        <w:tc>
          <w:tcPr>
            <w:tcW w:w="12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842</w:t>
            </w:r>
          </w:p>
        </w:tc>
        <w:tc>
          <w:tcPr>
            <w:tcW w:w="20" w:type="dxa"/>
            <w:vAlign w:val="bottom"/>
            <w:tcBorders>
              <w:bottom w:val="single" w:sz="8" w:color="454546"/>
            </w:tcBorders>
          </w:tcPr>
          <w:p>
            <w:pPr>
              <w:spacing w:after="0"/>
              <w:rPr>
                <w:sz w:val="19"/>
                <w:szCs w:val="19"/>
                <w:color w:val="auto"/>
              </w:rPr>
            </w:pPr>
          </w:p>
        </w:tc>
        <w:tc>
          <w:tcPr>
            <w:tcW w:w="4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E5E6E7"/>
            </w:tcBorders>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Total prepaid expenses and other current assets</w:t>
            </w:r>
          </w:p>
        </w:tc>
        <w:tc>
          <w:tcPr>
            <w:tcW w:w="120" w:type="dxa"/>
            <w:vAlign w:val="bottom"/>
            <w:tcBorders>
              <w:bottom w:val="single" w:sz="8" w:color="454546"/>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rPr>
              <w:t>$</w:t>
            </w:r>
          </w:p>
        </w:tc>
        <w:tc>
          <w:tcPr>
            <w:tcW w:w="12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5,039</w:t>
            </w:r>
          </w:p>
        </w:tc>
        <w:tc>
          <w:tcPr>
            <w:tcW w:w="20" w:type="dxa"/>
            <w:vAlign w:val="bottom"/>
            <w:tcBorders>
              <w:bottom w:val="single" w:sz="8" w:color="454546"/>
            </w:tcBorders>
            <w:shd w:val="clear" w:color="auto" w:fill="E5E6E7"/>
          </w:tcPr>
          <w:p>
            <w:pPr>
              <w:spacing w:after="0"/>
              <w:rPr>
                <w:sz w:val="20"/>
                <w:szCs w:val="20"/>
                <w:color w:val="auto"/>
              </w:rPr>
            </w:pPr>
          </w:p>
        </w:tc>
        <w:tc>
          <w:tcPr>
            <w:tcW w:w="240" w:type="dxa"/>
            <w:vAlign w:val="bottom"/>
            <w:tcBorders>
              <w:bottom w:val="single" w:sz="8" w:color="E5E6E7"/>
            </w:tcBorders>
            <w:shd w:val="clear" w:color="auto" w:fill="E5E6E7"/>
          </w:tcPr>
          <w:p>
            <w:pPr>
              <w:spacing w:after="0"/>
              <w:rPr>
                <w:sz w:val="20"/>
                <w:szCs w:val="20"/>
                <w:color w:val="auto"/>
              </w:rPr>
            </w:pPr>
          </w:p>
        </w:tc>
        <w:tc>
          <w:tcPr>
            <w:tcW w:w="20" w:type="dxa"/>
            <w:vAlign w:val="bottom"/>
            <w:tcBorders>
              <w:bottom w:val="single" w:sz="8" w:color="E5E6E7"/>
            </w:tcBorders>
            <w:shd w:val="clear" w:color="auto" w:fill="E5E6E7"/>
          </w:tcPr>
          <w:p>
            <w:pPr>
              <w:spacing w:after="0"/>
              <w:rPr>
                <w:sz w:val="20"/>
                <w:szCs w:val="20"/>
                <w:color w:val="auto"/>
              </w:rPr>
            </w:pPr>
          </w:p>
        </w:tc>
        <w:tc>
          <w:tcPr>
            <w:tcW w:w="100" w:type="dxa"/>
            <w:vAlign w:val="bottom"/>
            <w:tcBorders>
              <w:bottom w:val="single" w:sz="8" w:color="454546"/>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w w:val="88"/>
              </w:rPr>
              <w:t>$</w:t>
            </w:r>
          </w:p>
        </w:tc>
        <w:tc>
          <w:tcPr>
            <w:tcW w:w="12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5,929</w:t>
            </w:r>
          </w:p>
        </w:tc>
        <w:tc>
          <w:tcPr>
            <w:tcW w:w="20" w:type="dxa"/>
            <w:vAlign w:val="bottom"/>
            <w:tcBorders>
              <w:bottom w:val="single" w:sz="8" w:color="454546"/>
            </w:tcBorders>
            <w:shd w:val="clear" w:color="auto" w:fill="E5E6E7"/>
          </w:tcPr>
          <w:p>
            <w:pPr>
              <w:spacing w:after="0"/>
              <w:rPr>
                <w:sz w:val="20"/>
                <w:szCs w:val="20"/>
                <w:color w:val="auto"/>
              </w:rPr>
            </w:pPr>
          </w:p>
        </w:tc>
        <w:tc>
          <w:tcPr>
            <w:tcW w:w="40" w:type="dxa"/>
            <w:vAlign w:val="bottom"/>
            <w:tcBorders>
              <w:bottom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124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24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119</w:t>
      </w:r>
    </w:p>
    <w:p>
      <w:pPr>
        <w:sectPr>
          <w:pgSz w:w="12240" w:h="15840" w:orient="portrait"/>
          <w:cols w:equalWidth="0" w:num="1">
            <w:col w:w="9360"/>
          </w:cols>
          <w:pgMar w:left="1440" w:top="1420" w:right="1440" w:bottom="175"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454546"/>
        </w:rPr>
        <w:t>Note 4. Commitments and Contingencies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Facility Leases</w:t>
      </w:r>
    </w:p>
    <w:p>
      <w:pPr>
        <w:spacing w:after="0" w:line="120"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454546"/>
        </w:rPr>
        <w:t>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w:t>
      </w:r>
    </w:p>
    <w:p>
      <w:pPr>
        <w:spacing w:after="0" w:line="74" w:lineRule="exact"/>
        <w:rPr>
          <w:sz w:val="20"/>
          <w:szCs w:val="20"/>
          <w:color w:val="auto"/>
        </w:rPr>
      </w:pPr>
    </w:p>
    <w:p>
      <w:pPr>
        <w:ind w:right="240" w:firstLine="490"/>
        <w:spacing w:after="0" w:line="305" w:lineRule="auto"/>
        <w:rPr>
          <w:sz w:val="20"/>
          <w:szCs w:val="20"/>
          <w:color w:val="auto"/>
        </w:rPr>
      </w:pPr>
      <w:r>
        <w:rPr>
          <w:rFonts w:ascii="Times New Roman" w:cs="Times New Roman" w:eastAsia="Times New Roman" w:hAnsi="Times New Roman"/>
          <w:sz w:val="19"/>
          <w:szCs w:val="19"/>
          <w:color w:val="454546"/>
        </w:rPr>
        <w:t>In February 2021, the Company entered into a lease agreement for office and manufacturing space in Union City, California. The lease commenced in May 2021 and has a ten-year term with one five-year renewal option.</w:t>
      </w:r>
    </w:p>
    <w:p>
      <w:pPr>
        <w:spacing w:after="0" w:line="25"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454546"/>
        </w:rPr>
        <w:t>Information related to operating lease activity during the years ended December 31, 2025 and 2024 was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40" w:type="dxa"/>
            <w:vAlign w:val="bottom"/>
          </w:tcPr>
          <w:p>
            <w:pPr>
              <w:spacing w:after="0"/>
              <w:rPr>
                <w:sz w:val="19"/>
                <w:szCs w:val="19"/>
                <w:color w:val="auto"/>
              </w:rPr>
            </w:pPr>
          </w:p>
        </w:tc>
        <w:tc>
          <w:tcPr>
            <w:tcW w:w="2860" w:type="dxa"/>
            <w:vAlign w:val="bottom"/>
            <w:tcBorders>
              <w:bottom w:val="single" w:sz="8" w:color="454546"/>
            </w:tcBorders>
            <w:gridSpan w:val="4"/>
          </w:tcPr>
          <w:p>
            <w:pPr>
              <w:jc w:val="right"/>
              <w:ind w:right="93"/>
              <w:spacing w:after="0"/>
              <w:rPr>
                <w:sz w:val="20"/>
                <w:szCs w:val="20"/>
                <w:color w:val="auto"/>
              </w:rPr>
            </w:pPr>
            <w:r>
              <w:rPr>
                <w:rFonts w:ascii="Times New Roman" w:cs="Times New Roman" w:eastAsia="Times New Roman" w:hAnsi="Times New Roman"/>
                <w:sz w:val="18"/>
                <w:szCs w:val="18"/>
                <w:b w:val="1"/>
                <w:bCs w:val="1"/>
                <w:color w:val="454546"/>
              </w:rPr>
              <w:t>Year Ended December 31,</w:t>
            </w:r>
          </w:p>
        </w:tc>
        <w:tc>
          <w:tcPr>
            <w:tcW w:w="500" w:type="dxa"/>
            <w:vAlign w:val="bottom"/>
            <w:tcBorders>
              <w:bottom w:val="single" w:sz="8" w:color="454546"/>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b w:val="1"/>
                <w:bCs w:val="1"/>
                <w:color w:val="454546"/>
              </w:rPr>
              <w:t>2025</w:t>
            </w:r>
          </w:p>
        </w:tc>
        <w:tc>
          <w:tcPr>
            <w:tcW w:w="520" w:type="dxa"/>
            <w:vAlign w:val="bottom"/>
            <w:tcBorders>
              <w:bottom w:val="single" w:sz="8" w:color="454546"/>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454546"/>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454546"/>
              </w:rPr>
              <w:t>2024</w:t>
            </w:r>
          </w:p>
        </w:tc>
        <w:tc>
          <w:tcPr>
            <w:tcW w:w="500" w:type="dxa"/>
            <w:vAlign w:val="bottom"/>
            <w:tcBorders>
              <w:bottom w:val="single" w:sz="8" w:color="454546"/>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454546"/>
              </w:rPr>
              <w:t>(In</w:t>
            </w:r>
          </w:p>
        </w:tc>
        <w:tc>
          <w:tcPr>
            <w:tcW w:w="1300" w:type="dxa"/>
            <w:vAlign w:val="bottom"/>
            <w:gridSpan w:val="2"/>
          </w:tcPr>
          <w:p>
            <w:pPr>
              <w:jc w:val="right"/>
              <w:ind w:right="533"/>
              <w:spacing w:after="0"/>
              <w:rPr>
                <w:sz w:val="20"/>
                <w:szCs w:val="20"/>
                <w:color w:val="auto"/>
              </w:rPr>
            </w:pPr>
            <w:r>
              <w:rPr>
                <w:rFonts w:ascii="Times New Roman" w:cs="Times New Roman" w:eastAsia="Times New Roman" w:hAnsi="Times New Roman"/>
                <w:sz w:val="18"/>
                <w:szCs w:val="18"/>
                <w:b w:val="1"/>
                <w:bCs w:val="1"/>
                <w:color w:val="454546"/>
                <w:w w:val="78"/>
              </w:rPr>
              <w:t>thousands)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59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Operating lease cost</w:t>
            </w:r>
          </w:p>
        </w:tc>
        <w:tc>
          <w:tcPr>
            <w:tcW w:w="1040" w:type="dxa"/>
            <w:vAlign w:val="bottom"/>
            <w:shd w:val="clear" w:color="auto" w:fill="E5E6E7"/>
          </w:tcPr>
          <w:p>
            <w:pPr>
              <w:jc w:val="right"/>
              <w:ind w:right="850"/>
              <w:spacing w:after="0"/>
              <w:rPr>
                <w:sz w:val="20"/>
                <w:szCs w:val="20"/>
                <w:color w:val="auto"/>
              </w:rPr>
            </w:pPr>
            <w:r>
              <w:rPr>
                <w:rFonts w:ascii="Times New Roman" w:cs="Times New Roman" w:eastAsia="Times New Roman" w:hAnsi="Times New Roman"/>
                <w:sz w:val="18"/>
                <w:szCs w:val="18"/>
                <w:color w:val="454546"/>
                <w:w w:val="88"/>
              </w:rPr>
              <w:t>$</w:t>
            </w: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3,556</w:t>
            </w:r>
          </w:p>
        </w:tc>
        <w:tc>
          <w:tcPr>
            <w:tcW w:w="1300" w:type="dxa"/>
            <w:vAlign w:val="bottom"/>
            <w:gridSpan w:val="2"/>
            <w:shd w:val="clear" w:color="auto" w:fill="E5E6E7"/>
          </w:tcPr>
          <w:p>
            <w:pPr>
              <w:jc w:val="right"/>
              <w:ind w:right="873"/>
              <w:spacing w:after="0"/>
              <w:rPr>
                <w:sz w:val="20"/>
                <w:szCs w:val="20"/>
                <w:color w:val="auto"/>
              </w:rPr>
            </w:pPr>
            <w:r>
              <w:rPr>
                <w:rFonts w:ascii="Times New Roman" w:cs="Times New Roman" w:eastAsia="Times New Roman" w:hAnsi="Times New Roman"/>
                <w:sz w:val="18"/>
                <w:szCs w:val="18"/>
                <w:color w:val="454546"/>
              </w:rPr>
              <w:t>$</w:t>
            </w:r>
          </w:p>
        </w:tc>
        <w:tc>
          <w:tcPr>
            <w:tcW w:w="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4,549</w:t>
            </w:r>
          </w:p>
        </w:tc>
        <w:tc>
          <w:tcPr>
            <w:tcW w:w="60" w:type="dxa"/>
            <w:vAlign w:val="bottom"/>
            <w:shd w:val="clear" w:color="auto" w:fill="E5E6E7"/>
          </w:tcPr>
          <w:p>
            <w:pPr>
              <w:spacing w:after="0"/>
              <w:rPr>
                <w:sz w:val="19"/>
                <w:szCs w:val="19"/>
                <w:color w:val="auto"/>
              </w:rPr>
            </w:pPr>
          </w:p>
        </w:tc>
      </w:tr>
      <w:tr>
        <w:trPr>
          <w:trHeight w:val="221"/>
        </w:trPr>
        <w:tc>
          <w:tcPr>
            <w:tcW w:w="59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454546"/>
              </w:rPr>
              <w:t>Variable lease cost</w:t>
            </w:r>
          </w:p>
        </w:tc>
        <w:tc>
          <w:tcPr>
            <w:tcW w:w="1040" w:type="dxa"/>
            <w:vAlign w:val="bottom"/>
            <w:tcBorders>
              <w:bottom w:val="single" w:sz="8" w:color="454546"/>
            </w:tcBorders>
          </w:tcPr>
          <w:p>
            <w:pPr>
              <w:spacing w:after="0"/>
              <w:rPr>
                <w:sz w:val="19"/>
                <w:szCs w:val="19"/>
                <w:color w:val="auto"/>
              </w:rPr>
            </w:pPr>
          </w:p>
        </w:tc>
        <w:tc>
          <w:tcPr>
            <w:tcW w:w="5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1,423</w:t>
            </w:r>
          </w:p>
        </w:tc>
        <w:tc>
          <w:tcPr>
            <w:tcW w:w="260" w:type="dxa"/>
            <w:vAlign w:val="bottom"/>
            <w:tcBorders>
              <w:bottom w:val="single" w:sz="8" w:color="E5E6E7"/>
            </w:tcBorders>
          </w:tcPr>
          <w:p>
            <w:pPr>
              <w:spacing w:after="0"/>
              <w:rPr>
                <w:sz w:val="19"/>
                <w:szCs w:val="19"/>
                <w:color w:val="auto"/>
              </w:rPr>
            </w:pPr>
          </w:p>
        </w:tc>
        <w:tc>
          <w:tcPr>
            <w:tcW w:w="1040" w:type="dxa"/>
            <w:vAlign w:val="bottom"/>
            <w:tcBorders>
              <w:bottom w:val="single" w:sz="8" w:color="454546"/>
            </w:tcBorders>
          </w:tcPr>
          <w:p>
            <w:pPr>
              <w:spacing w:after="0"/>
              <w:rPr>
                <w:sz w:val="19"/>
                <w:szCs w:val="19"/>
                <w:color w:val="auto"/>
              </w:rPr>
            </w:pPr>
          </w:p>
        </w:tc>
        <w:tc>
          <w:tcPr>
            <w:tcW w:w="5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1,456</w:t>
            </w:r>
          </w:p>
        </w:tc>
        <w:tc>
          <w:tcPr>
            <w:tcW w:w="60" w:type="dxa"/>
            <w:vAlign w:val="bottom"/>
            <w:tcBorders>
              <w:bottom w:val="single" w:sz="8" w:color="E5E6E7"/>
            </w:tcBorders>
          </w:tcPr>
          <w:p>
            <w:pPr>
              <w:spacing w:after="0"/>
              <w:rPr>
                <w:sz w:val="19"/>
                <w:szCs w:val="19"/>
                <w:color w:val="auto"/>
              </w:rPr>
            </w:pPr>
          </w:p>
        </w:tc>
      </w:tr>
      <w:tr>
        <w:trPr>
          <w:trHeight w:val="236"/>
        </w:trPr>
        <w:tc>
          <w:tcPr>
            <w:tcW w:w="5940" w:type="dxa"/>
            <w:vAlign w:val="bottom"/>
            <w:tcBorders>
              <w:bottom w:val="single" w:sz="8" w:color="E5E6E7"/>
            </w:tcBorders>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Total lease cost</w:t>
            </w:r>
          </w:p>
        </w:tc>
        <w:tc>
          <w:tcPr>
            <w:tcW w:w="1040" w:type="dxa"/>
            <w:vAlign w:val="bottom"/>
            <w:tcBorders>
              <w:bottom w:val="single" w:sz="8" w:color="454546"/>
            </w:tcBorders>
            <w:shd w:val="clear" w:color="auto" w:fill="E5E6E7"/>
          </w:tcPr>
          <w:p>
            <w:pPr>
              <w:jc w:val="right"/>
              <w:ind w:right="850"/>
              <w:spacing w:after="0"/>
              <w:rPr>
                <w:sz w:val="20"/>
                <w:szCs w:val="20"/>
                <w:color w:val="auto"/>
              </w:rPr>
            </w:pPr>
            <w:r>
              <w:rPr>
                <w:rFonts w:ascii="Times New Roman" w:cs="Times New Roman" w:eastAsia="Times New Roman" w:hAnsi="Times New Roman"/>
                <w:sz w:val="18"/>
                <w:szCs w:val="18"/>
                <w:color w:val="454546"/>
                <w:w w:val="88"/>
              </w:rPr>
              <w:t>$</w:t>
            </w:r>
          </w:p>
        </w:tc>
        <w:tc>
          <w:tcPr>
            <w:tcW w:w="5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4,979</w:t>
            </w:r>
          </w:p>
        </w:tc>
        <w:tc>
          <w:tcPr>
            <w:tcW w:w="260" w:type="dxa"/>
            <w:vAlign w:val="bottom"/>
            <w:tcBorders>
              <w:bottom w:val="single" w:sz="8" w:color="E5E6E7"/>
            </w:tcBorders>
            <w:shd w:val="clear" w:color="auto" w:fill="E5E6E7"/>
          </w:tcPr>
          <w:p>
            <w:pPr>
              <w:spacing w:after="0"/>
              <w:rPr>
                <w:sz w:val="20"/>
                <w:szCs w:val="20"/>
                <w:color w:val="auto"/>
              </w:rPr>
            </w:pPr>
          </w:p>
        </w:tc>
        <w:tc>
          <w:tcPr>
            <w:tcW w:w="1040" w:type="dxa"/>
            <w:vAlign w:val="bottom"/>
            <w:tcBorders>
              <w:bottom w:val="single" w:sz="8" w:color="454546"/>
            </w:tcBorders>
            <w:shd w:val="clear" w:color="auto" w:fill="E5E6E7"/>
          </w:tcPr>
          <w:p>
            <w:pPr>
              <w:jc w:val="right"/>
              <w:ind w:right="873"/>
              <w:spacing w:after="0"/>
              <w:rPr>
                <w:sz w:val="20"/>
                <w:szCs w:val="20"/>
                <w:color w:val="auto"/>
              </w:rPr>
            </w:pPr>
            <w:r>
              <w:rPr>
                <w:rFonts w:ascii="Times New Roman" w:cs="Times New Roman" w:eastAsia="Times New Roman" w:hAnsi="Times New Roman"/>
                <w:sz w:val="17"/>
                <w:szCs w:val="17"/>
                <w:color w:val="454546"/>
                <w:w w:val="70"/>
              </w:rPr>
              <w:t>$</w:t>
            </w:r>
          </w:p>
        </w:tc>
        <w:tc>
          <w:tcPr>
            <w:tcW w:w="5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6,005</w:t>
            </w:r>
          </w:p>
        </w:tc>
        <w:tc>
          <w:tcPr>
            <w:tcW w:w="60" w:type="dxa"/>
            <w:vAlign w:val="bottom"/>
            <w:tcBorders>
              <w:bottom w:val="single" w:sz="8" w:color="E5E6E7"/>
            </w:tcBorders>
            <w:shd w:val="clear" w:color="auto" w:fill="E5E6E7"/>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52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5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5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59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Operating lease right-of-use assets obtained in exchange for lease obligations</w:t>
            </w:r>
          </w:p>
        </w:tc>
        <w:tc>
          <w:tcPr>
            <w:tcW w:w="1040" w:type="dxa"/>
            <w:vAlign w:val="bottom"/>
            <w:shd w:val="clear" w:color="auto" w:fill="E5E6E7"/>
          </w:tcPr>
          <w:p>
            <w:pPr>
              <w:jc w:val="right"/>
              <w:ind w:right="850"/>
              <w:spacing w:after="0"/>
              <w:rPr>
                <w:sz w:val="20"/>
                <w:szCs w:val="20"/>
                <w:color w:val="auto"/>
              </w:rPr>
            </w:pPr>
            <w:r>
              <w:rPr>
                <w:rFonts w:ascii="Times New Roman" w:cs="Times New Roman" w:eastAsia="Times New Roman" w:hAnsi="Times New Roman"/>
                <w:sz w:val="18"/>
                <w:szCs w:val="18"/>
                <w:color w:val="454546"/>
                <w:w w:val="88"/>
              </w:rPr>
              <w:t>$</w:t>
            </w: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1300" w:type="dxa"/>
            <w:vAlign w:val="bottom"/>
            <w:gridSpan w:val="2"/>
            <w:shd w:val="clear" w:color="auto" w:fill="E5E6E7"/>
          </w:tcPr>
          <w:p>
            <w:pPr>
              <w:jc w:val="right"/>
              <w:ind w:right="873"/>
              <w:spacing w:after="0"/>
              <w:rPr>
                <w:sz w:val="20"/>
                <w:szCs w:val="20"/>
                <w:color w:val="auto"/>
              </w:rPr>
            </w:pPr>
            <w:r>
              <w:rPr>
                <w:rFonts w:ascii="Times New Roman" w:cs="Times New Roman" w:eastAsia="Times New Roman" w:hAnsi="Times New Roman"/>
                <w:sz w:val="18"/>
                <w:szCs w:val="18"/>
                <w:color w:val="454546"/>
              </w:rPr>
              <w:t>$</w:t>
            </w:r>
          </w:p>
        </w:tc>
        <w:tc>
          <w:tcPr>
            <w:tcW w:w="5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5,302</w:t>
            </w:r>
          </w:p>
        </w:tc>
        <w:tc>
          <w:tcPr>
            <w:tcW w:w="60" w:type="dxa"/>
            <w:vAlign w:val="bottom"/>
            <w:shd w:val="clear" w:color="auto" w:fill="E5E6E7"/>
          </w:tcPr>
          <w:p>
            <w:pPr>
              <w:spacing w:after="0"/>
              <w:rPr>
                <w:sz w:val="19"/>
                <w:szCs w:val="19"/>
                <w:color w:val="auto"/>
              </w:rPr>
            </w:pPr>
          </w:p>
        </w:tc>
      </w:tr>
      <w:tr>
        <w:trPr>
          <w:trHeight w:val="24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454546"/>
              </w:rPr>
              <w:t>Cash paid for amounts included in the measurement of lease liabilities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454546"/>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3,861</w:t>
            </w:r>
          </w:p>
        </w:tc>
        <w:tc>
          <w:tcPr>
            <w:tcW w:w="130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color w:val="454546"/>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5,277</w:t>
            </w:r>
          </w:p>
        </w:tc>
        <w:tc>
          <w:tcPr>
            <w:tcW w:w="60" w:type="dxa"/>
            <w:vAlign w:val="bottom"/>
          </w:tcPr>
          <w:p>
            <w:pPr>
              <w:spacing w:after="0"/>
              <w:rPr>
                <w:sz w:val="20"/>
                <w:szCs w:val="20"/>
                <w:color w:val="auto"/>
              </w:rPr>
            </w:pPr>
          </w:p>
        </w:tc>
      </w:tr>
    </w:tbl>
    <w:p>
      <w:pPr>
        <w:spacing w:after="0" w:line="81"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As of December 31, 2025, the Company’s operating leases had a weighted average remaining lease term of 4.1 years and a weighted average discount rate of 9.1%. As of December 31, 2024, the Company’s operating leases had a weighted average remaining lease term of 4.8 years and a weighted average discount rate of 8.9%. Future minimum lease payments under the Company’s operating leases as of December 31, 2025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454546"/>
              </w:rPr>
              <w:t>Amount</w:t>
            </w:r>
          </w:p>
        </w:tc>
      </w:tr>
      <w:tr>
        <w:trPr>
          <w:trHeight w:val="179"/>
        </w:trPr>
        <w:tc>
          <w:tcPr>
            <w:tcW w:w="5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top w:val="single" w:sz="8" w:color="454546"/>
            </w:tcBorders>
          </w:tcPr>
          <w:p>
            <w:pPr>
              <w:spacing w:after="0"/>
              <w:rPr>
                <w:sz w:val="15"/>
                <w:szCs w:val="15"/>
                <w:color w:val="auto"/>
              </w:rPr>
            </w:pPr>
          </w:p>
        </w:tc>
        <w:tc>
          <w:tcPr>
            <w:tcW w:w="1580" w:type="dxa"/>
            <w:vAlign w:val="bottom"/>
            <w:tcBorders>
              <w:top w:val="single" w:sz="8" w:color="454546"/>
            </w:tcBorders>
          </w:tcPr>
          <w:p>
            <w:pPr>
              <w:jc w:val="right"/>
              <w:ind w:right="324"/>
              <w:spacing w:after="0" w:line="179" w:lineRule="exact"/>
              <w:rPr>
                <w:sz w:val="20"/>
                <w:szCs w:val="20"/>
                <w:color w:val="auto"/>
              </w:rPr>
            </w:pPr>
            <w:r>
              <w:rPr>
                <w:rFonts w:ascii="Times New Roman" w:cs="Times New Roman" w:eastAsia="Times New Roman" w:hAnsi="Times New Roman"/>
                <w:sz w:val="16"/>
                <w:szCs w:val="16"/>
                <w:b w:val="1"/>
                <w:bCs w:val="1"/>
                <w:color w:val="454546"/>
              </w:rPr>
              <w:t>(In thousands)</w:t>
            </w:r>
          </w:p>
        </w:tc>
        <w:tc>
          <w:tcPr>
            <w:tcW w:w="80" w:type="dxa"/>
            <w:vAlign w:val="bottom"/>
          </w:tcPr>
          <w:p>
            <w:pPr>
              <w:spacing w:after="0"/>
              <w:rPr>
                <w:sz w:val="15"/>
                <w:szCs w:val="15"/>
                <w:color w:val="auto"/>
              </w:rPr>
            </w:pPr>
          </w:p>
        </w:tc>
      </w:tr>
      <w:tr>
        <w:trPr>
          <w:trHeight w:val="230"/>
        </w:trPr>
        <w:tc>
          <w:tcPr>
            <w:tcW w:w="58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2026</w:t>
            </w:r>
          </w:p>
        </w:tc>
        <w:tc>
          <w:tcPr>
            <w:tcW w:w="18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3,864</w:t>
            </w:r>
          </w:p>
        </w:tc>
        <w:tc>
          <w:tcPr>
            <w:tcW w:w="80" w:type="dxa"/>
            <w:vAlign w:val="bottom"/>
            <w:shd w:val="clear" w:color="auto" w:fill="E5E6E7"/>
          </w:tcPr>
          <w:p>
            <w:pPr>
              <w:spacing w:after="0"/>
              <w:rPr>
                <w:sz w:val="20"/>
                <w:szCs w:val="20"/>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454546"/>
              </w:rPr>
              <w:t>2027</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3,775</w:t>
            </w:r>
          </w:p>
        </w:tc>
        <w:tc>
          <w:tcPr>
            <w:tcW w:w="80" w:type="dxa"/>
            <w:vAlign w:val="bottom"/>
          </w:tcPr>
          <w:p>
            <w:pPr>
              <w:spacing w:after="0"/>
              <w:rPr>
                <w:sz w:val="20"/>
                <w:szCs w:val="20"/>
                <w:color w:val="auto"/>
              </w:rPr>
            </w:pPr>
          </w:p>
        </w:tc>
      </w:tr>
      <w:tr>
        <w:trPr>
          <w:trHeight w:val="230"/>
        </w:trPr>
        <w:tc>
          <w:tcPr>
            <w:tcW w:w="58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2028</w:t>
            </w:r>
          </w:p>
        </w:tc>
        <w:tc>
          <w:tcPr>
            <w:tcW w:w="158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1,471</w:t>
            </w:r>
          </w:p>
        </w:tc>
        <w:tc>
          <w:tcPr>
            <w:tcW w:w="80" w:type="dxa"/>
            <w:vAlign w:val="bottom"/>
            <w:shd w:val="clear" w:color="auto" w:fill="E5E6E7"/>
          </w:tcPr>
          <w:p>
            <w:pPr>
              <w:spacing w:after="0"/>
              <w:rPr>
                <w:sz w:val="20"/>
                <w:szCs w:val="20"/>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454546"/>
              </w:rPr>
              <w:t>2029</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1,515</w:t>
            </w:r>
          </w:p>
        </w:tc>
        <w:tc>
          <w:tcPr>
            <w:tcW w:w="80" w:type="dxa"/>
            <w:vAlign w:val="bottom"/>
          </w:tcPr>
          <w:p>
            <w:pPr>
              <w:spacing w:after="0"/>
              <w:rPr>
                <w:sz w:val="20"/>
                <w:szCs w:val="20"/>
                <w:color w:val="auto"/>
              </w:rPr>
            </w:pPr>
          </w:p>
        </w:tc>
      </w:tr>
      <w:tr>
        <w:trPr>
          <w:trHeight w:val="230"/>
        </w:trPr>
        <w:tc>
          <w:tcPr>
            <w:tcW w:w="58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2030</w:t>
            </w:r>
          </w:p>
        </w:tc>
        <w:tc>
          <w:tcPr>
            <w:tcW w:w="158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1,560</w:t>
            </w:r>
          </w:p>
        </w:tc>
        <w:tc>
          <w:tcPr>
            <w:tcW w:w="80" w:type="dxa"/>
            <w:vAlign w:val="bottom"/>
            <w:shd w:val="clear" w:color="auto" w:fill="E5E6E7"/>
          </w:tcPr>
          <w:p>
            <w:pPr>
              <w:spacing w:after="0"/>
              <w:rPr>
                <w:sz w:val="20"/>
                <w:szCs w:val="20"/>
                <w:color w:val="auto"/>
              </w:rPr>
            </w:pPr>
          </w:p>
        </w:tc>
      </w:tr>
      <w:tr>
        <w:trPr>
          <w:trHeight w:val="230"/>
        </w:trPr>
        <w:tc>
          <w:tcPr>
            <w:tcW w:w="58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Thereafter</w:t>
            </w:r>
          </w:p>
        </w:tc>
        <w:tc>
          <w:tcPr>
            <w:tcW w:w="158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5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931</w:t>
            </w:r>
          </w:p>
        </w:tc>
        <w:tc>
          <w:tcPr>
            <w:tcW w:w="80" w:type="dxa"/>
            <w:vAlign w:val="bottom"/>
            <w:tcBorders>
              <w:bottom w:val="single" w:sz="8" w:color="E5E6E7"/>
            </w:tcBorders>
          </w:tcPr>
          <w:p>
            <w:pPr>
              <w:spacing w:after="0"/>
              <w:rPr>
                <w:sz w:val="19"/>
                <w:szCs w:val="19"/>
                <w:color w:val="auto"/>
              </w:rPr>
            </w:pPr>
          </w:p>
        </w:tc>
      </w:tr>
      <w:tr>
        <w:trPr>
          <w:trHeight w:val="225"/>
        </w:trPr>
        <w:tc>
          <w:tcPr>
            <w:tcW w:w="5860" w:type="dxa"/>
            <w:vAlign w:val="bottom"/>
            <w:shd w:val="clear" w:color="auto" w:fill="E5E6E7"/>
          </w:tcPr>
          <w:p>
            <w:pPr>
              <w:ind w:left="100"/>
              <w:spacing w:after="0" w:line="225" w:lineRule="exact"/>
              <w:rPr>
                <w:sz w:val="20"/>
                <w:szCs w:val="20"/>
                <w:color w:val="auto"/>
              </w:rPr>
            </w:pPr>
            <w:r>
              <w:rPr>
                <w:rFonts w:ascii="Times New Roman" w:cs="Times New Roman" w:eastAsia="Times New Roman" w:hAnsi="Times New Roman"/>
                <w:sz w:val="20"/>
                <w:szCs w:val="20"/>
                <w:color w:val="454546"/>
              </w:rPr>
              <w:t>Total undiscounted future minimum lease payments</w:t>
            </w:r>
          </w:p>
        </w:tc>
        <w:tc>
          <w:tcPr>
            <w:tcW w:w="1580" w:type="dxa"/>
            <w:vAlign w:val="bottom"/>
            <w:shd w:val="clear" w:color="auto" w:fill="E5E6E7"/>
          </w:tcPr>
          <w:p>
            <w:pPr>
              <w:spacing w:after="0"/>
              <w:rPr>
                <w:sz w:val="19"/>
                <w:szCs w:val="19"/>
                <w:color w:val="auto"/>
              </w:rPr>
            </w:pPr>
          </w:p>
        </w:tc>
        <w:tc>
          <w:tcPr>
            <w:tcW w:w="260" w:type="dxa"/>
            <w:vAlign w:val="bottom"/>
            <w:shd w:val="clear" w:color="auto" w:fill="E5E6E7"/>
          </w:tcPr>
          <w:p>
            <w:pPr>
              <w:jc w:val="right"/>
              <w:ind w:right="60"/>
              <w:spacing w:after="0" w:line="225" w:lineRule="exact"/>
              <w:rPr>
                <w:sz w:val="20"/>
                <w:szCs w:val="20"/>
                <w:color w:val="auto"/>
              </w:rPr>
            </w:pPr>
            <w:r>
              <w:rPr>
                <w:rFonts w:ascii="Times New Roman" w:cs="Times New Roman" w:eastAsia="Times New Roman" w:hAnsi="Times New Roman"/>
                <w:sz w:val="20"/>
                <w:szCs w:val="20"/>
                <w:color w:val="454546"/>
                <w:w w:val="79"/>
              </w:rPr>
              <w:t>$</w:t>
            </w:r>
          </w:p>
        </w:tc>
        <w:tc>
          <w:tcPr>
            <w:tcW w:w="1580" w:type="dxa"/>
            <w:vAlign w:val="bottom"/>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454546"/>
              </w:rPr>
              <w:t>13,116</w:t>
            </w:r>
          </w:p>
        </w:tc>
        <w:tc>
          <w:tcPr>
            <w:tcW w:w="80" w:type="dxa"/>
            <w:vAlign w:val="bottom"/>
            <w:shd w:val="clear" w:color="auto" w:fill="E5E6E7"/>
          </w:tcPr>
          <w:p>
            <w:pPr>
              <w:spacing w:after="0"/>
              <w:rPr>
                <w:sz w:val="19"/>
                <w:szCs w:val="19"/>
                <w:color w:val="auto"/>
              </w:rPr>
            </w:pPr>
          </w:p>
        </w:tc>
      </w:tr>
      <w:tr>
        <w:trPr>
          <w:trHeight w:val="230"/>
        </w:trPr>
        <w:tc>
          <w:tcPr>
            <w:tcW w:w="586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Imputed interest</w:t>
            </w:r>
          </w:p>
        </w:tc>
        <w:tc>
          <w:tcPr>
            <w:tcW w:w="1580" w:type="dxa"/>
            <w:vAlign w:val="bottom"/>
            <w:tcBorders>
              <w:bottom w:val="single" w:sz="8" w:color="E5E6E7"/>
            </w:tcBorders>
          </w:tcPr>
          <w:p>
            <w:pPr>
              <w:spacing w:after="0"/>
              <w:rPr>
                <w:sz w:val="19"/>
                <w:szCs w:val="19"/>
                <w:color w:val="auto"/>
              </w:rPr>
            </w:pPr>
          </w:p>
        </w:tc>
        <w:tc>
          <w:tcPr>
            <w:tcW w:w="260" w:type="dxa"/>
            <w:vAlign w:val="bottom"/>
            <w:tcBorders>
              <w:bottom w:val="single" w:sz="8" w:color="454546"/>
            </w:tcBorders>
          </w:tcPr>
          <w:p>
            <w:pPr>
              <w:spacing w:after="0"/>
              <w:rPr>
                <w:sz w:val="19"/>
                <w:szCs w:val="19"/>
                <w:color w:val="auto"/>
              </w:rPr>
            </w:pPr>
          </w:p>
        </w:tc>
        <w:tc>
          <w:tcPr>
            <w:tcW w:w="15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(2,286)</w:t>
            </w:r>
          </w:p>
        </w:tc>
        <w:tc>
          <w:tcPr>
            <w:tcW w:w="80" w:type="dxa"/>
            <w:vAlign w:val="bottom"/>
            <w:tcBorders>
              <w:bottom w:val="single" w:sz="8" w:color="E5E6E7"/>
            </w:tcBorders>
          </w:tcPr>
          <w:p>
            <w:pPr>
              <w:spacing w:after="0"/>
              <w:rPr>
                <w:sz w:val="19"/>
                <w:szCs w:val="19"/>
                <w:color w:val="auto"/>
              </w:rPr>
            </w:pPr>
          </w:p>
        </w:tc>
      </w:tr>
      <w:tr>
        <w:trPr>
          <w:trHeight w:val="245"/>
        </w:trPr>
        <w:tc>
          <w:tcPr>
            <w:tcW w:w="5860" w:type="dxa"/>
            <w:vAlign w:val="bottom"/>
            <w:tcBorders>
              <w:bottom w:val="single" w:sz="8" w:color="E5E6E7"/>
            </w:tcBorders>
            <w:shd w:val="clear" w:color="auto" w:fill="E5E6E7"/>
          </w:tcPr>
          <w:p>
            <w:pPr>
              <w:ind w:left="100"/>
              <w:spacing w:after="0" w:line="225" w:lineRule="exact"/>
              <w:rPr>
                <w:sz w:val="20"/>
                <w:szCs w:val="20"/>
                <w:color w:val="auto"/>
              </w:rPr>
            </w:pPr>
            <w:r>
              <w:rPr>
                <w:rFonts w:ascii="Times New Roman" w:cs="Times New Roman" w:eastAsia="Times New Roman" w:hAnsi="Times New Roman"/>
                <w:sz w:val="20"/>
                <w:szCs w:val="20"/>
                <w:color w:val="454546"/>
              </w:rPr>
              <w:t>Total operating lease liabilities</w:t>
            </w:r>
          </w:p>
        </w:tc>
        <w:tc>
          <w:tcPr>
            <w:tcW w:w="1580" w:type="dxa"/>
            <w:vAlign w:val="bottom"/>
            <w:tcBorders>
              <w:bottom w:val="single" w:sz="8" w:color="E5E6E7"/>
            </w:tcBorders>
            <w:shd w:val="clear" w:color="auto" w:fill="E5E6E7"/>
          </w:tcPr>
          <w:p>
            <w:pPr>
              <w:spacing w:after="0"/>
              <w:rPr>
                <w:sz w:val="21"/>
                <w:szCs w:val="21"/>
                <w:color w:val="auto"/>
              </w:rPr>
            </w:pPr>
          </w:p>
        </w:tc>
        <w:tc>
          <w:tcPr>
            <w:tcW w:w="260" w:type="dxa"/>
            <w:vAlign w:val="bottom"/>
            <w:tcBorders>
              <w:bottom w:val="single" w:sz="8" w:color="454546"/>
            </w:tcBorders>
            <w:shd w:val="clear" w:color="auto" w:fill="E5E6E7"/>
          </w:tcPr>
          <w:p>
            <w:pPr>
              <w:jc w:val="right"/>
              <w:ind w:right="60"/>
              <w:spacing w:after="0" w:line="225" w:lineRule="exact"/>
              <w:rPr>
                <w:sz w:val="20"/>
                <w:szCs w:val="20"/>
                <w:color w:val="auto"/>
              </w:rPr>
            </w:pPr>
            <w:r>
              <w:rPr>
                <w:rFonts w:ascii="Times New Roman" w:cs="Times New Roman" w:eastAsia="Times New Roman" w:hAnsi="Times New Roman"/>
                <w:sz w:val="20"/>
                <w:szCs w:val="20"/>
                <w:color w:val="454546"/>
                <w:w w:val="79"/>
              </w:rPr>
              <w:t>$</w:t>
            </w:r>
          </w:p>
        </w:tc>
        <w:tc>
          <w:tcPr>
            <w:tcW w:w="1580" w:type="dxa"/>
            <w:vAlign w:val="bottom"/>
            <w:tcBorders>
              <w:bottom w:val="single" w:sz="8" w:color="454546"/>
            </w:tcBorders>
            <w:shd w:val="clear" w:color="auto" w:fill="E5E6E7"/>
          </w:tcPr>
          <w:p>
            <w:pPr>
              <w:jc w:val="right"/>
              <w:spacing w:after="0" w:line="225" w:lineRule="exact"/>
              <w:rPr>
                <w:sz w:val="20"/>
                <w:szCs w:val="20"/>
                <w:color w:val="auto"/>
              </w:rPr>
            </w:pPr>
            <w:r>
              <w:rPr>
                <w:rFonts w:ascii="Times New Roman" w:cs="Times New Roman" w:eastAsia="Times New Roman" w:hAnsi="Times New Roman"/>
                <w:sz w:val="20"/>
                <w:szCs w:val="20"/>
                <w:color w:val="454546"/>
              </w:rPr>
              <w:t>10,830</w:t>
            </w:r>
          </w:p>
        </w:tc>
        <w:tc>
          <w:tcPr>
            <w:tcW w:w="80" w:type="dxa"/>
            <w:vAlign w:val="bottom"/>
            <w:tcBorders>
              <w:bottom w:val="single" w:sz="8" w:color="E5E6E7"/>
            </w:tcBorders>
            <w:shd w:val="clear" w:color="auto" w:fill="E5E6E7"/>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5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Purchase Commitments</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454546"/>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Indemnification</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December 31, 2025 and 2024.</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120</w:t>
      </w:r>
    </w:p>
    <w:p>
      <w:pPr>
        <w:sectPr>
          <w:pgSz w:w="12240" w:h="15840" w:orient="portrait"/>
          <w:cols w:equalWidth="0" w:num="1">
            <w:col w:w="9360"/>
          </w:cols>
          <w:pgMar w:left="1440" w:top="1416" w:right="1440" w:bottom="175" w:gutter="0" w:footer="0" w:header="0"/>
          <w:type w:val="continuous"/>
        </w:sectPr>
      </w:pPr>
    </w:p>
    <w:bookmarkStart w:id="122" w:name="page123"/>
    <w:bookmarkEnd w:id="122"/>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2025 and 2024, the Company did not have any material indemnification claims that were probable or reasonably possible and, consequently, has not recorded any related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5. Term Loan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Loan Agreement</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On August 6, 2024, the Company entered into the Loan Agreement with Silicon Valley Bank (SVB). Pursuant to the terms of the Loan Agreement, term loans in an aggregate principal amount of up to $45.0 million may be made under multiple tranches. An initial tranche of up to $15.0 million became available on the closing date but expired on June 30, 2025. Additional tranches totaling $10.0 million became available between October 2024 and December 2024, upon the achievement of certain clinical milestones but expired on December 31, 2025. A final tranche of up to $20.0 million may be available for draw down through July 31, 2026 at SVB’s discretion, subject to specified conditions. As of December 31, 2025, the Company has not drawn any funds under the Loan Agreement.</w:t>
      </w:r>
    </w:p>
    <w:p>
      <w:pPr>
        <w:spacing w:after="0" w:line="80" w:lineRule="exact"/>
        <w:rPr>
          <w:sz w:val="20"/>
          <w:szCs w:val="20"/>
          <w:color w:val="auto"/>
        </w:rPr>
      </w:pPr>
    </w:p>
    <w:p>
      <w:pPr>
        <w:jc w:val="both"/>
        <w:ind w:right="80" w:firstLine="490"/>
        <w:spacing w:after="0" w:line="278" w:lineRule="auto"/>
        <w:rPr>
          <w:sz w:val="20"/>
          <w:szCs w:val="20"/>
          <w:color w:val="auto"/>
        </w:rPr>
      </w:pPr>
      <w:r>
        <w:rPr>
          <w:rFonts w:ascii="Times New Roman" w:cs="Times New Roman" w:eastAsia="Times New Roman" w:hAnsi="Times New Roman"/>
          <w:sz w:val="19"/>
          <w:szCs w:val="19"/>
          <w:color w:val="454546"/>
        </w:rPr>
        <w:t>Interest will accrue on the term loan advances at a rate per annum that is equal to the greater of 8.50% and the prime rate and will be payable monthly in arrears. Principal payments on any term loan advances that are borrowed would commence immediately, subject to extension to July 1, 2026, upon the satisfaction of certain milestones.</w:t>
      </w:r>
    </w:p>
    <w:p>
      <w:pPr>
        <w:spacing w:after="0" w:line="51"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454546"/>
        </w:rPr>
        <w:t>As security for its obligations under the Loan Agreement, the Company granted SVB a security interest in substantially all of the assets of the Company, other than its intellectual property.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6. Stockholders</w:t>
      </w:r>
      <w:r>
        <w:rPr>
          <w:rFonts w:ascii="Times New Roman" w:cs="Times New Roman" w:eastAsia="Times New Roman" w:hAnsi="Times New Roman"/>
          <w:sz w:val="20"/>
          <w:szCs w:val="20"/>
          <w:color w:val="454546"/>
        </w:rPr>
        <w:t>’</w:t>
      </w:r>
      <w:r>
        <w:rPr>
          <w:rFonts w:ascii="Times New Roman" w:cs="Times New Roman" w:eastAsia="Times New Roman" w:hAnsi="Times New Roman"/>
          <w:sz w:val="20"/>
          <w:szCs w:val="20"/>
          <w:b w:val="1"/>
          <w:bCs w:val="1"/>
          <w:color w:val="454546"/>
        </w:rPr>
        <w:t xml:space="preserve"> Equity</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Common Stock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stockholders’ equity includes shares related to early exercised options and restricted stock that are subject to repurchase. Common stock issued and outstanding is reduced for any repurchases of early exercised stock options and restricted stock.</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Lender Warrant</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In connection with the Loan Agreement, the Company issued to SVB a warrant to purchase up to 171,848 shares of common stock (the Lender Warrant). The Lender Warrant became exercisable for 73,649 shares upon closing (the Initial Lender Warrant), which represented 0.075% of the Company's common stock and common stock equivalents outstanding as of the day before the closing, on a fully-diluted basis, at an exercise price of $2.55 per share. The Initial Lender Warrant was classified as equity and its fair value was recorded in the stockholders’ equity section of the balance sheet. The Lender Warrant expires on August 6, 2034.</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The Lender Warrant was eligible to become exercisable for up to an additional 98,199 shares pro-rated based on amounts actually advanced for the various tranches under the Loan Agreement (the Remaining Lender Warrant). The Remaining Lender Warrant was considered an outstanding instrument upon closing of the Loan Agreement for accounting purposes. In accordance with Accounting Standards Codification (ASC) 815-40, </w:t>
      </w:r>
      <w:r>
        <w:rPr>
          <w:rFonts w:ascii="Times New Roman" w:cs="Times New Roman" w:eastAsia="Times New Roman" w:hAnsi="Times New Roman"/>
          <w:sz w:val="20"/>
          <w:szCs w:val="20"/>
          <w:i w:val="1"/>
          <w:iCs w:val="1"/>
          <w:color w:val="454546"/>
        </w:rPr>
        <w:t>Derivatives and Hedging - Contracts in Entity's Own Equity</w:t>
      </w:r>
      <w:r>
        <w:rPr>
          <w:rFonts w:ascii="Times New Roman" w:cs="Times New Roman" w:eastAsia="Times New Roman" w:hAnsi="Times New Roman"/>
          <w:sz w:val="20"/>
          <w:szCs w:val="20"/>
          <w:color w:val="454546"/>
        </w:rPr>
        <w:t>, the Remaining Lender Warrant was recognized at its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fair value as a warrant liability given the variable settlement amount of the warrant shares and included in other non-current liabilities within the balance sheets.</w:t>
      </w:r>
    </w:p>
    <w:p>
      <w:pPr>
        <w:spacing w:after="0" w:line="8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 xml:space="preserve">Following the expiration of the tranches under the Loan Agreement described in Note 5, </w:t>
      </w:r>
      <w:r>
        <w:rPr>
          <w:rFonts w:ascii="Times New Roman" w:cs="Times New Roman" w:eastAsia="Times New Roman" w:hAnsi="Times New Roman"/>
          <w:sz w:val="20"/>
          <w:szCs w:val="20"/>
          <w:i w:val="1"/>
          <w:iCs w:val="1"/>
          <w:color w:val="454546"/>
        </w:rPr>
        <w:t>Term Loan</w:t>
      </w:r>
      <w:r>
        <w:rPr>
          <w:rFonts w:ascii="Times New Roman" w:cs="Times New Roman" w:eastAsia="Times New Roman" w:hAnsi="Times New Roman"/>
          <w:sz w:val="20"/>
          <w:szCs w:val="20"/>
          <w:color w:val="454546"/>
        </w:rPr>
        <w:t>, the Remaining Lender Warrant expired as of December 31, 2025. Accordingly, the related warrant liability, which was not material, was derecognized on December 31, 2025.</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121</w:t>
      </w:r>
    </w:p>
    <w:p>
      <w:pPr>
        <w:sectPr>
          <w:pgSz w:w="12240" w:h="15840" w:orient="portrait"/>
          <w:cols w:equalWidth="0" w:num="1">
            <w:col w:w="9360"/>
          </w:cols>
          <w:pgMar w:left="1440" w:top="1420" w:right="1440" w:bottom="175" w:gutter="0" w:footer="0" w:header="0"/>
          <w:type w:val="continuous"/>
        </w:sectPr>
      </w:pPr>
    </w:p>
    <w:bookmarkStart w:id="123" w:name="page124"/>
    <w:bookmarkEnd w:id="123"/>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“At-the-Market” Equity Offering</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common stock under the ATM offering for net proceeds of $0.9 million, after deducting commissions and offering costs of $0.3 million. As of December 31, 2025, the Company may issue and sell up to approximately $69.8 million of common stock under the ATM offering.</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Follow-On Offering</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On December 15, 2025, the Company completed an underwritten public offering of 50,000,000 units, priced at a public offering price of $1.20 per unit, with each unit consisting of one share of its common stock and a warrant to purchase one share of its common stock at an exercise price of $1.50 per share, which will be immediately exercisable and will expire five years from the date of issuance (December 2025 Warrants), under its registration statement on Form S-3 (File No. 333-286005). The Company received net proceeds of $55.8 million, after deducting underwriting discounts and commissions of $3.6 million and other offering expenses of $0.6 million.</w:t>
      </w:r>
    </w:p>
    <w:p>
      <w:pPr>
        <w:spacing w:after="0" w:line="8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 xml:space="preserve">The Company analyzed the December 2025 Warrant under ASC 480, </w:t>
      </w:r>
      <w:r>
        <w:rPr>
          <w:rFonts w:ascii="Times New Roman" w:cs="Times New Roman" w:eastAsia="Times New Roman" w:hAnsi="Times New Roman"/>
          <w:sz w:val="20"/>
          <w:szCs w:val="20"/>
          <w:i w:val="1"/>
          <w:iCs w:val="1"/>
          <w:color w:val="454546"/>
        </w:rPr>
        <w:t>Distinguishing Liabilities from Equity</w:t>
      </w:r>
      <w:r>
        <w:rPr>
          <w:rFonts w:ascii="Times New Roman" w:cs="Times New Roman" w:eastAsia="Times New Roman" w:hAnsi="Times New Roman"/>
          <w:sz w:val="20"/>
          <w:szCs w:val="20"/>
          <w:color w:val="454546"/>
        </w:rPr>
        <w:t xml:space="preserve">, and ASC 815-40, </w:t>
      </w:r>
      <w:r>
        <w:rPr>
          <w:rFonts w:ascii="Times New Roman" w:cs="Times New Roman" w:eastAsia="Times New Roman" w:hAnsi="Times New Roman"/>
          <w:sz w:val="20"/>
          <w:szCs w:val="20"/>
          <w:i w:val="1"/>
          <w:iCs w:val="1"/>
          <w:color w:val="454546"/>
        </w:rPr>
        <w:t>Derivatives and Hedging - Contracts in Entity's Own Equity</w:t>
      </w:r>
      <w:r>
        <w:rPr>
          <w:rFonts w:ascii="Times New Roman" w:cs="Times New Roman" w:eastAsia="Times New Roman" w:hAnsi="Times New Roman"/>
          <w:sz w:val="20"/>
          <w:szCs w:val="20"/>
          <w:color w:val="454546"/>
        </w:rPr>
        <w:t>, and concluded that the December 2025 Warrants are not liabilities, are indexed to its own stock and meet all other conditions for equity classification. Accordingly, the Company has classified the December 2025 Warrants as permanent equity.</w:t>
      </w:r>
    </w:p>
    <w:p>
      <w:pPr>
        <w:spacing w:after="0" w:line="7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$ 0.70 per share, which will be immediately exercisable and expire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w:t>
      </w:r>
    </w:p>
    <w:p>
      <w:pPr>
        <w:spacing w:after="0" w:line="8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 xml:space="preserve">The Company analyzed the Series A and Series B Warrants under ASC 480, </w:t>
      </w:r>
      <w:r>
        <w:rPr>
          <w:rFonts w:ascii="Times New Roman" w:cs="Times New Roman" w:eastAsia="Times New Roman" w:hAnsi="Times New Roman"/>
          <w:sz w:val="20"/>
          <w:szCs w:val="20"/>
          <w:i w:val="1"/>
          <w:iCs w:val="1"/>
          <w:color w:val="454546"/>
        </w:rPr>
        <w:t>Distinguishing Liabilities from</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Equity</w:t>
      </w:r>
      <w:r>
        <w:rPr>
          <w:rFonts w:ascii="Times New Roman" w:cs="Times New Roman" w:eastAsia="Times New Roman" w:hAnsi="Times New Roman"/>
          <w:sz w:val="20"/>
          <w:szCs w:val="20"/>
          <w:color w:val="454546"/>
        </w:rPr>
        <w:t>, and ASC 815-40,</w:t>
      </w:r>
      <w:r>
        <w:rPr>
          <w:rFonts w:ascii="Times New Roman" w:cs="Times New Roman" w:eastAsia="Times New Roman" w:hAnsi="Times New Roman"/>
          <w:sz w:val="20"/>
          <w:szCs w:val="20"/>
          <w:i w:val="1"/>
          <w:iCs w:val="1"/>
          <w:color w:val="454546"/>
        </w:rPr>
        <w:t xml:space="preserve"> Derivatives and Hedging - Contracts in Entity's Own Equity</w:t>
      </w:r>
      <w:r>
        <w:rPr>
          <w:rFonts w:ascii="Times New Roman" w:cs="Times New Roman" w:eastAsia="Times New Roman" w:hAnsi="Times New Roman"/>
          <w:sz w:val="20"/>
          <w:szCs w:val="20"/>
          <w:color w:val="454546"/>
        </w:rPr>
        <w:t>, and concluded that the Series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 and Series B Warrants are not liabilities, are indexed to its own stock and meet all other conditions for equity classification. Accordingly, the Company has classified the Series A and Series B Warrants as permanent equity.</w:t>
      </w:r>
    </w:p>
    <w:p>
      <w:pPr>
        <w:spacing w:after="0" w:line="7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On February 12, 2024, the Company completed an underwritten offering of 8,888,890 shares of its common stock at a price of $ 4.50 per share and, to an investor in lieu of common stock, pre-funded warrants to purchase 2,222,271 shares of its common stock at a price of $4.499 per pre-funded warrant. The Company received net proceeds of approximately $46.8 million, after deducting underwriting discounts and commissions of approximately $3.0 million and offering expenses of $0.2 million. As of December 31, 2024, all pre-funded warrants have been exercised for an exercise price of $0.001 per share.</w:t>
      </w:r>
    </w:p>
    <w:p>
      <w:pPr>
        <w:spacing w:after="0" w:line="8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2025, total shares of common stock reserved for issuance, on an as-if converted basis, are as follows: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Outstanding stock options and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-151130</wp:posOffset>
                </wp:positionV>
                <wp:extent cx="4848860" cy="16383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8860" cy="163830"/>
                        </a:xfrm>
                        <a:prstGeom prst="rect">
                          <a:avLst/>
                        </a:prstGeom>
                        <a:solidFill>
                          <a:srgbClr val="E5E6E7"/>
                        </a:solidFill>
                      </wps:spPr>
                      <wps:bodyPr/>
                    </wps:wsp>
                  </a:graphicData>
                </a:graphic>
              </wp:anchor>
            </w:drawing>
          </mc:Choice>
          <mc:Fallback>
            <w:pict>
              <v:rect id="Shape 11" o:spid="_x0000_s1036" style="position:absolute;margin-left:0pt;margin-top:-11.8999pt;width:381.8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Outstanding Lender Warrant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5943600" cy="15430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54305"/>
                        </a:xfrm>
                        <a:prstGeom prst="rect">
                          <a:avLst/>
                        </a:prstGeom>
                        <a:solidFill>
                          <a:srgbClr val="E5E6E7"/>
                        </a:solidFill>
                      </wps:spPr>
                      <wps:bodyPr/>
                    </wps:wsp>
                  </a:graphicData>
                </a:graphic>
              </wp:anchor>
            </w:drawing>
          </mc:Choice>
          <mc:Fallback>
            <w:pict>
              <v:rect id="Shape 12" o:spid="_x0000_s1037" style="position:absolute;margin-left:0pt;margin-top:-0.0999pt;width:468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rPr>
          <w:sz w:val="20"/>
          <w:szCs w:val="20"/>
          <w:color w:val="auto"/>
        </w:rPr>
      </w:pPr>
      <w:r>
        <w:rPr>
          <w:rFonts w:ascii="Times New Roman" w:cs="Times New Roman" w:eastAsia="Times New Roman" w:hAnsi="Times New Roman"/>
          <w:sz w:val="20"/>
          <w:szCs w:val="20"/>
          <w:color w:val="454546"/>
        </w:rPr>
        <w:t>Outstanding Series A and Series B Warrants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Outstanding December 2025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5943600" cy="15430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54305"/>
                        </a:xfrm>
                        <a:prstGeom prst="rect">
                          <a:avLst/>
                        </a:prstGeom>
                        <a:solidFill>
                          <a:srgbClr val="E5E6E7"/>
                        </a:solidFill>
                      </wps:spPr>
                      <wps:bodyPr/>
                    </wps:wsp>
                  </a:graphicData>
                </a:graphic>
              </wp:anchor>
            </w:drawing>
          </mc:Choice>
          <mc:Fallback>
            <w:pict>
              <v:rect id="Shape 13" o:spid="_x0000_s1038" style="position:absolute;margin-left:0pt;margin-top:-0.0999pt;width:468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ind w:right="340"/>
        <w:spacing w:after="0" w:line="254" w:lineRule="auto"/>
        <w:rPr>
          <w:sz w:val="20"/>
          <w:szCs w:val="20"/>
          <w:color w:val="auto"/>
        </w:rPr>
      </w:pPr>
      <w:r>
        <w:rPr>
          <w:rFonts w:ascii="Times New Roman" w:cs="Times New Roman" w:eastAsia="Times New Roman" w:hAnsi="Times New Roman"/>
          <w:sz w:val="20"/>
          <w:szCs w:val="20"/>
          <w:color w:val="454546"/>
        </w:rPr>
        <w:t>Shares available for further issuance under the 2024 Inducement Equity Incentive Plan Shares available for further issuance under the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5943600" cy="15430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54305"/>
                        </a:xfrm>
                        <a:prstGeom prst="rect">
                          <a:avLst/>
                        </a:prstGeom>
                        <a:solidFill>
                          <a:srgbClr val="E5E6E7"/>
                        </a:solidFill>
                      </wps:spPr>
                      <wps:bodyPr/>
                    </wps:wsp>
                  </a:graphicData>
                </a:graphic>
              </wp:anchor>
            </w:drawing>
          </mc:Choice>
          <mc:Fallback>
            <w:pict>
              <v:rect id="Shape 14" o:spid="_x0000_s1039" style="position:absolute;margin-left:0pt;margin-top:-0.6999pt;width:468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ind w:left="100" w:right="580" w:hanging="99"/>
        <w:spacing w:after="0" w:line="284" w:lineRule="auto"/>
        <w:rPr>
          <w:sz w:val="20"/>
          <w:szCs w:val="20"/>
          <w:color w:val="auto"/>
        </w:rPr>
      </w:pPr>
      <w:r>
        <w:rPr>
          <w:rFonts w:ascii="Times New Roman" w:cs="Times New Roman" w:eastAsia="Times New Roman" w:hAnsi="Times New Roman"/>
          <w:sz w:val="20"/>
          <w:szCs w:val="20"/>
          <w:color w:val="454546"/>
        </w:rPr>
        <w:t>Shares available for further issuance under the 2021 Employee Stock Purchase Plan Total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b w:val="1"/>
          <w:bCs w:val="1"/>
          <w:color w:val="454546"/>
        </w:rPr>
        <w:t>December 31,</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454546"/>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-231140</wp:posOffset>
                </wp:positionH>
                <wp:positionV relativeFrom="paragraph">
                  <wp:posOffset>4445</wp:posOffset>
                </wp:positionV>
                <wp:extent cx="105346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346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999pt,0.35pt" to="64.75pt,0.35pt" o:allowincell="f" strokecolor="#454546" strokeweight="0.75pt"/>
            </w:pict>
          </mc:Fallback>
        </mc:AlternateContent>
      </w:r>
    </w:p>
    <w:p>
      <w:pPr>
        <w:jc w:val="right"/>
        <w:spacing w:after="0"/>
        <w:rPr>
          <w:sz w:val="20"/>
          <w:szCs w:val="20"/>
          <w:color w:val="auto"/>
        </w:rPr>
      </w:pPr>
      <w:r>
        <w:rPr>
          <w:rFonts w:ascii="Times New Roman" w:cs="Times New Roman" w:eastAsia="Times New Roman" w:hAnsi="Times New Roman"/>
          <w:sz w:val="20"/>
          <w:szCs w:val="20"/>
          <w:color w:val="454546"/>
        </w:rPr>
        <w:t>13,587,030</w:t>
      </w:r>
      <w:r>
        <w:rPr>
          <w:sz w:val="1"/>
          <w:szCs w:val="1"/>
          <w:color w:val="auto"/>
        </w:rPr>
        <w:drawing>
          <wp:inline distT="0" distB="0" distL="0" distR="0">
            <wp:extent cx="41275"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extLst>
                    </a:blip>
                    <a:srcRect/>
                    <a:stretch>
                      <a:fillRect/>
                    </a:stretch>
                  </pic:blipFill>
                  <pic:spPr bwMode="auto">
                    <a:xfrm>
                      <a:off x="0" y="0"/>
                      <a:ext cx="41275" cy="1428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-230505</wp:posOffset>
                </wp:positionH>
                <wp:positionV relativeFrom="paragraph">
                  <wp:posOffset>-160020</wp:posOffset>
                </wp:positionV>
                <wp:extent cx="1052830" cy="1549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2830" cy="154940"/>
                        </a:xfrm>
                        <a:prstGeom prst="rect">
                          <a:avLst/>
                        </a:prstGeom>
                        <a:solidFill>
                          <a:srgbClr val="E5E6E7"/>
                        </a:solidFill>
                      </wps:spPr>
                      <wps:bodyPr/>
                    </wps:wsp>
                  </a:graphicData>
                </a:graphic>
              </wp:anchor>
            </w:drawing>
          </mc:Choice>
          <mc:Fallback>
            <w:pict>
              <v:rect id="Shape 17" o:spid="_x0000_s1042" style="position:absolute;margin-left:-18.1499pt;margin-top:-12.5999pt;width:82.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ind w:left="740"/>
        <w:spacing w:after="0"/>
        <w:rPr>
          <w:sz w:val="20"/>
          <w:szCs w:val="20"/>
          <w:color w:val="auto"/>
        </w:rPr>
      </w:pPr>
      <w:r>
        <w:rPr>
          <w:rFonts w:ascii="Times New Roman" w:cs="Times New Roman" w:eastAsia="Times New Roman" w:hAnsi="Times New Roman"/>
          <w:sz w:val="20"/>
          <w:szCs w:val="20"/>
          <w:color w:val="454546"/>
        </w:rPr>
        <w:t>73,649</w:t>
      </w:r>
    </w:p>
    <w:p>
      <w:pPr>
        <w:spacing w:after="0" w:line="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454546"/>
        </w:rPr>
        <w:t>109,231,250</w:t>
      </w:r>
    </w:p>
    <w:p>
      <w:pPr>
        <w:spacing w:after="0" w:line="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454546"/>
        </w:rPr>
        <w:t>50,000,000</w:t>
      </w:r>
    </w:p>
    <w:p>
      <w:pPr>
        <w:spacing w:after="0" w:line="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454546"/>
        </w:rPr>
        <w:t>525,000</w:t>
      </w:r>
    </w:p>
    <w:p>
      <w:pPr>
        <w:spacing w:after="0" w:line="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454546"/>
        </w:rPr>
        <w:t>2,001,067</w:t>
      </w:r>
    </w:p>
    <w:p>
      <w:pPr>
        <w:spacing w:after="0" w:line="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454546"/>
        </w:rPr>
        <w:t>2,274,594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-231140</wp:posOffset>
                </wp:positionH>
                <wp:positionV relativeFrom="paragraph">
                  <wp:posOffset>2540</wp:posOffset>
                </wp:positionV>
                <wp:extent cx="105346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346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999pt,0.2pt" to="64.75pt,0.2pt" o:allowincell="f" strokecolor="#454546" strokeweight="0.75pt"/>
            </w:pict>
          </mc:Fallback>
        </mc:AlternateContent>
      </w:r>
    </w:p>
    <w:p>
      <w:pPr>
        <w:ind w:left="280"/>
        <w:spacing w:after="0"/>
        <w:rPr>
          <w:sz w:val="20"/>
          <w:szCs w:val="20"/>
          <w:color w:val="auto"/>
        </w:rPr>
      </w:pPr>
      <w:r>
        <w:rPr>
          <w:rFonts w:ascii="Times New Roman" w:cs="Times New Roman" w:eastAsia="Times New Roman" w:hAnsi="Times New Roman"/>
          <w:sz w:val="20"/>
          <w:szCs w:val="20"/>
          <w:color w:val="454546"/>
        </w:rPr>
        <w:t>177,692,590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-231140</wp:posOffset>
                </wp:positionH>
                <wp:positionV relativeFrom="paragraph">
                  <wp:posOffset>31115</wp:posOffset>
                </wp:positionV>
                <wp:extent cx="105346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346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999pt,2.45pt" to="64.75pt,2.45pt" o:allowincell="f" strokecolor="#454546" strokeweight="0.75pt"/>
            </w:pict>
          </mc:Fallback>
        </mc:AlternateContent>
        <mc:AlternateContent>
          <mc:Choice Requires="wps">
            <w:drawing>
              <wp:anchor simplePos="0" relativeHeight="251657728" behindDoc="1" locked="0" layoutInCell="0" allowOverlap="1">
                <wp:simplePos x="0" y="0"/>
                <wp:positionH relativeFrom="column">
                  <wp:posOffset>-231140</wp:posOffset>
                </wp:positionH>
                <wp:positionV relativeFrom="paragraph">
                  <wp:posOffset>12065</wp:posOffset>
                </wp:positionV>
                <wp:extent cx="105346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346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999pt,0.95pt" to="64.75pt,0.95pt" o:allowincell="f" strokecolor="#454546" strokeweight="0.75pt"/>
            </w:pict>
          </mc:Fallback>
        </mc:AlternateContent>
      </w:r>
    </w:p>
    <w:p>
      <w:pPr>
        <w:spacing w:after="0" w:line="270" w:lineRule="exact"/>
        <w:rPr>
          <w:sz w:val="20"/>
          <w:szCs w:val="20"/>
          <w:color w:val="auto"/>
        </w:rPr>
      </w:pPr>
    </w:p>
    <w:p>
      <w:pPr>
        <w:sectPr>
          <w:pgSz w:w="12240" w:h="15840" w:orient="portrait"/>
          <w:cols w:equalWidth="0" w:num="2">
            <w:col w:w="7280" w:space="720"/>
            <w:col w:w="1360"/>
          </w:cols>
          <w:pgMar w:left="1440" w:top="1420" w:right="1440" w:bottom="175"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122</w:t>
      </w:r>
    </w:p>
    <w:p>
      <w:pPr>
        <w:sectPr>
          <w:pgSz w:w="12240" w:h="15840" w:orient="portrait"/>
          <w:cols w:equalWidth="0" w:num="1">
            <w:col w:w="9360"/>
          </w:cols>
          <w:pgMar w:left="1440" w:top="1420" w:right="1440" w:bottom="175" w:gutter="0" w:footer="0" w:header="0"/>
          <w:type w:val="continuous"/>
        </w:sectPr>
      </w:pPr>
    </w:p>
    <w:bookmarkStart w:id="124" w:name="page125"/>
    <w:bookmarkEnd w:id="124"/>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7. Fair Value Measurements</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454546"/>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4"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Level 1 - Inputs are unadjusted, quoted prices in active markets for identical assets or liabilities at the measurement date.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 following tables summarize the Company’s financial assets measured at fair value on a recurring basis by level within the fair value hierarchy: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8"/>
          </w:tcPr>
          <w:p>
            <w:pPr>
              <w:jc w:val="center"/>
              <w:ind w:right="480"/>
              <w:spacing w:after="0"/>
              <w:rPr>
                <w:sz w:val="20"/>
                <w:szCs w:val="20"/>
                <w:color w:val="auto"/>
              </w:rPr>
            </w:pPr>
            <w:r>
              <w:rPr>
                <w:rFonts w:ascii="Times New Roman" w:cs="Times New Roman" w:eastAsia="Times New Roman" w:hAnsi="Times New Roman"/>
                <w:sz w:val="16"/>
                <w:szCs w:val="16"/>
                <w:b w:val="1"/>
                <w:bCs w:val="1"/>
                <w:color w:val="454546"/>
              </w:rPr>
              <w:t>December 31,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7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Valuation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454546"/>
              </w:rPr>
              <w:t>Amortized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454546"/>
              </w:rPr>
              <w:t>Unrealized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454546"/>
                <w:w w:val="99"/>
              </w:rPr>
              <w:t>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118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Hierarchy</w:t>
            </w:r>
          </w:p>
        </w:tc>
        <w:tc>
          <w:tcPr>
            <w:tcW w:w="140" w:type="dxa"/>
            <w:vAlign w:val="bottom"/>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454546"/>
                <w:w w:val="96"/>
              </w:rPr>
              <w:t>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454546"/>
              </w:rPr>
              <w:t>Gain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20" w:type="dxa"/>
            <w:vAlign w:val="bottom"/>
            <w:tcBorders>
              <w:bottom w:val="single" w:sz="8" w:color="454546"/>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454546"/>
                <w:w w:val="96"/>
              </w:rPr>
              <w:t>Loss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940" w:type="dxa"/>
            <w:vAlign w:val="bottom"/>
            <w:tcBorders>
              <w:bottom w:val="single" w:sz="8" w:color="454546"/>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60" w:type="dxa"/>
            <w:vAlign w:val="bottom"/>
          </w:tcPr>
          <w:p>
            <w:pPr>
              <w:spacing w:after="0"/>
              <w:rPr>
                <w:sz w:val="17"/>
                <w:szCs w:val="17"/>
                <w:color w:val="auto"/>
              </w:rPr>
            </w:pPr>
          </w:p>
        </w:tc>
      </w:tr>
      <w:tr>
        <w:trPr>
          <w:trHeight w:val="193"/>
        </w:trPr>
        <w:tc>
          <w:tcPr>
            <w:tcW w:w="2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8"/>
          </w:tcPr>
          <w:p>
            <w:pPr>
              <w:jc w:val="center"/>
              <w:ind w:right="480"/>
              <w:spacing w:after="0"/>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2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11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44"/>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454546"/>
              </w:rPr>
              <w:t>Cash equivalents:</w:t>
            </w: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Money market funds</w:t>
            </w:r>
          </w:p>
        </w:tc>
        <w:tc>
          <w:tcPr>
            <w:tcW w:w="11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300" w:type="dxa"/>
            <w:vAlign w:val="bottom"/>
            <w:gridSpan w:val="3"/>
            <w:shd w:val="clear" w:color="auto" w:fill="E5E6E7"/>
          </w:tcPr>
          <w:p>
            <w:pPr>
              <w:ind w:left="1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98,424</w:t>
            </w:r>
          </w:p>
        </w:tc>
        <w:tc>
          <w:tcPr>
            <w:tcW w:w="38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40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22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1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98,424</w:t>
            </w:r>
          </w:p>
        </w:tc>
        <w:tc>
          <w:tcPr>
            <w:tcW w:w="60" w:type="dxa"/>
            <w:vAlign w:val="bottom"/>
            <w:shd w:val="clear" w:color="auto" w:fill="E5E6E7"/>
          </w:tcPr>
          <w:p>
            <w:pPr>
              <w:spacing w:after="0"/>
              <w:rPr>
                <w:sz w:val="21"/>
                <w:szCs w:val="21"/>
                <w:color w:val="auto"/>
              </w:rPr>
            </w:pP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454546"/>
              </w:rPr>
              <w:t>Total financial assets</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454546"/>
              <w:bottom w:val="single" w:sz="8" w:color="454546"/>
            </w:tcBorders>
            <w:gridSpan w:val="2"/>
          </w:tcPr>
          <w:p>
            <w:pPr>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98,424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454546"/>
              <w:bottom w:val="single" w:sz="8" w:color="454546"/>
            </w:tcBorders>
            <w:gridSpan w:val="2"/>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454546"/>
              <w:bottom w:val="single" w:sz="8" w:color="454546"/>
            </w:tcBorders>
            <w:gridSpan w:val="2"/>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020" w:type="dxa"/>
            <w:vAlign w:val="bottom"/>
            <w:tcBorders>
              <w:top w:val="single" w:sz="8" w:color="454546"/>
              <w:bottom w:val="single" w:sz="8" w:color="454546"/>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98,424</w:t>
            </w:r>
          </w:p>
        </w:tc>
        <w:tc>
          <w:tcPr>
            <w:tcW w:w="6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94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9"/>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right="480"/>
              <w:spacing w:after="0"/>
              <w:rPr>
                <w:sz w:val="20"/>
                <w:szCs w:val="20"/>
                <w:color w:val="auto"/>
              </w:rPr>
            </w:pPr>
            <w:r>
              <w:rPr>
                <w:rFonts w:ascii="Times New Roman" w:cs="Times New Roman" w:eastAsia="Times New Roman" w:hAnsi="Times New Roman"/>
                <w:sz w:val="16"/>
                <w:szCs w:val="16"/>
                <w:b w:val="1"/>
                <w:bCs w:val="1"/>
                <w:color w:val="454546"/>
              </w:rPr>
              <w:t>December 31,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4"/>
        </w:trPr>
        <w:tc>
          <w:tcPr>
            <w:tcW w:w="27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Valuation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454546"/>
                <w:w w:val="98"/>
              </w:rPr>
              <w:t>Amortized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454546"/>
                <w:w w:val="99"/>
              </w:rPr>
              <w:t>Unrealized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454546"/>
              </w:rPr>
              <w:t>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118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Hierarchy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454546"/>
              </w:rPr>
              <w:t>Cost</w:t>
            </w:r>
          </w:p>
        </w:tc>
        <w:tc>
          <w:tcPr>
            <w:tcW w:w="20" w:type="dxa"/>
            <w:vAlign w:val="bottom"/>
            <w:tcBorders>
              <w:bottom w:val="single" w:sz="8" w:color="454546"/>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454546"/>
              </w:rPr>
              <w:t>Gain</w:t>
            </w:r>
          </w:p>
        </w:tc>
        <w:tc>
          <w:tcPr>
            <w:tcW w:w="20" w:type="dxa"/>
            <w:vAlign w:val="bottom"/>
            <w:tcBorders>
              <w:bottom w:val="single" w:sz="8" w:color="454546"/>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454546"/>
              </w:rPr>
              <w:t>Loss</w:t>
            </w:r>
          </w:p>
        </w:tc>
        <w:tc>
          <w:tcPr>
            <w:tcW w:w="220" w:type="dxa"/>
            <w:vAlign w:val="bottom"/>
            <w:gridSpan w:val="2"/>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940" w:type="dxa"/>
            <w:vAlign w:val="bottom"/>
            <w:tcBorders>
              <w:bottom w:val="single" w:sz="8" w:color="454546"/>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60" w:type="dxa"/>
            <w:vAlign w:val="bottom"/>
          </w:tcPr>
          <w:p>
            <w:pPr>
              <w:spacing w:after="0"/>
              <w:rPr>
                <w:sz w:val="17"/>
                <w:szCs w:val="17"/>
                <w:color w:val="auto"/>
              </w:rPr>
            </w:pPr>
          </w:p>
        </w:tc>
      </w:tr>
      <w:tr>
        <w:trPr>
          <w:trHeight w:val="193"/>
        </w:trPr>
        <w:tc>
          <w:tcPr>
            <w:tcW w:w="2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8"/>
          </w:tcPr>
          <w:p>
            <w:pPr>
              <w:jc w:val="center"/>
              <w:ind w:right="480"/>
              <w:spacing w:after="0"/>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2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11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44"/>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454546"/>
              </w:rPr>
              <w:t>Cash equivalents:</w:t>
            </w: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Money market funds</w:t>
            </w:r>
          </w:p>
        </w:tc>
        <w:tc>
          <w:tcPr>
            <w:tcW w:w="11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300" w:type="dxa"/>
            <w:vAlign w:val="bottom"/>
            <w:gridSpan w:val="3"/>
            <w:shd w:val="clear" w:color="auto" w:fill="E5E6E7"/>
          </w:tcPr>
          <w:p>
            <w:pPr>
              <w:ind w:left="1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1,289</w:t>
            </w:r>
          </w:p>
        </w:tc>
        <w:tc>
          <w:tcPr>
            <w:tcW w:w="38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40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22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1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1,289</w:t>
            </w:r>
          </w:p>
        </w:tc>
        <w:tc>
          <w:tcPr>
            <w:tcW w:w="60" w:type="dxa"/>
            <w:vAlign w:val="bottom"/>
            <w:shd w:val="clear" w:color="auto" w:fill="E5E6E7"/>
          </w:tcPr>
          <w:p>
            <w:pPr>
              <w:spacing w:after="0"/>
              <w:rPr>
                <w:sz w:val="21"/>
                <w:szCs w:val="21"/>
                <w:color w:val="auto"/>
              </w:rPr>
            </w:pPr>
          </w:p>
        </w:tc>
      </w:tr>
      <w:tr>
        <w:trPr>
          <w:trHeight w:val="244"/>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454546"/>
              </w:rPr>
              <w:t>Marketable securities:</w:t>
            </w: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U.S. treasuries</w:t>
            </w:r>
          </w:p>
        </w:tc>
        <w:tc>
          <w:tcPr>
            <w:tcW w:w="11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1</w:t>
            </w:r>
          </w:p>
        </w:tc>
        <w:tc>
          <w:tcPr>
            <w:tcW w:w="14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49,135</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28</w:t>
            </w:r>
          </w:p>
        </w:tc>
        <w:tc>
          <w:tcPr>
            <w:tcW w:w="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22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54546"/>
              </w:rPr>
              <w:t>(12)</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49,151</w:t>
            </w:r>
          </w:p>
        </w:tc>
        <w:tc>
          <w:tcPr>
            <w:tcW w:w="60" w:type="dxa"/>
            <w:vAlign w:val="bottom"/>
            <w:shd w:val="clear" w:color="auto" w:fill="E5E6E7"/>
          </w:tcPr>
          <w:p>
            <w:pPr>
              <w:spacing w:after="0"/>
              <w:rPr>
                <w:sz w:val="21"/>
                <w:szCs w:val="21"/>
                <w:color w:val="auto"/>
              </w:rPr>
            </w:pPr>
          </w:p>
        </w:tc>
      </w:tr>
      <w:tr>
        <w:trPr>
          <w:trHeight w:val="244"/>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Commercial paper</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3,974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3,977</w:t>
            </w:r>
          </w:p>
        </w:tc>
        <w:tc>
          <w:tcPr>
            <w:tcW w:w="60" w:type="dxa"/>
            <w:vAlign w:val="bottom"/>
          </w:tcPr>
          <w:p>
            <w:pPr>
              <w:spacing w:after="0"/>
              <w:rPr>
                <w:sz w:val="21"/>
                <w:szCs w:val="21"/>
                <w:color w:val="auto"/>
              </w:rPr>
            </w:pPr>
          </w:p>
        </w:tc>
      </w:tr>
      <w:tr>
        <w:trPr>
          <w:trHeight w:val="244"/>
        </w:trPr>
        <w:tc>
          <w:tcPr>
            <w:tcW w:w="2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Government agencies bonds</w:t>
            </w:r>
          </w:p>
        </w:tc>
        <w:tc>
          <w:tcPr>
            <w:tcW w:w="118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w w:val="99"/>
              </w:rPr>
              <w:t>Level 2</w:t>
            </w:r>
          </w:p>
        </w:tc>
        <w:tc>
          <w:tcPr>
            <w:tcW w:w="14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3,987</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w:t>
            </w:r>
          </w:p>
        </w:tc>
        <w:tc>
          <w:tcPr>
            <w:tcW w:w="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22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3,995</w:t>
            </w:r>
          </w:p>
        </w:tc>
        <w:tc>
          <w:tcPr>
            <w:tcW w:w="60" w:type="dxa"/>
            <w:vAlign w:val="bottom"/>
            <w:shd w:val="clear" w:color="auto" w:fill="E5E6E7"/>
          </w:tcPr>
          <w:p>
            <w:pPr>
              <w:spacing w:after="0"/>
              <w:rPr>
                <w:sz w:val="21"/>
                <w:szCs w:val="21"/>
                <w:color w:val="auto"/>
              </w:rPr>
            </w:pP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454546"/>
              </w:rPr>
              <w:t>Total financial assets</w:t>
            </w:r>
          </w:p>
        </w:tc>
        <w:tc>
          <w:tcPr>
            <w:tcW w:w="118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40" w:type="dxa"/>
            <w:vAlign w:val="bottom"/>
            <w:tcBorders>
              <w:top w:val="single" w:sz="8" w:color="454546"/>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58,385</w:t>
            </w:r>
          </w:p>
        </w:tc>
        <w:tc>
          <w:tcPr>
            <w:tcW w:w="20" w:type="dxa"/>
            <w:vAlign w:val="bottom"/>
            <w:tcBorders>
              <w:top w:val="single" w:sz="8" w:color="454546"/>
              <w:bottom w:val="single" w:sz="8" w:color="454546"/>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39</w:t>
            </w:r>
          </w:p>
        </w:tc>
        <w:tc>
          <w:tcPr>
            <w:tcW w:w="20" w:type="dxa"/>
            <w:vAlign w:val="bottom"/>
            <w:tcBorders>
              <w:top w:val="single" w:sz="8" w:color="454546"/>
              <w:bottom w:val="single" w:sz="8" w:color="454546"/>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14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w:t>
            </w:r>
          </w:p>
        </w:tc>
        <w:tc>
          <w:tcPr>
            <w:tcW w:w="220" w:type="dxa"/>
            <w:vAlign w:val="bottom"/>
            <w:gridSpan w:val="2"/>
          </w:tcPr>
          <w:p>
            <w:pPr>
              <w:spacing w:after="0"/>
              <w:rPr>
                <w:sz w:val="20"/>
                <w:szCs w:val="20"/>
                <w:color w:val="auto"/>
              </w:rPr>
            </w:pPr>
          </w:p>
        </w:tc>
        <w:tc>
          <w:tcPr>
            <w:tcW w:w="140" w:type="dxa"/>
            <w:vAlign w:val="bottom"/>
            <w:tcBorders>
              <w:top w:val="single" w:sz="8" w:color="454546"/>
              <w:bottom w:val="single" w:sz="8" w:color="454546"/>
            </w:tcBorders>
            <w:gridSpan w:val="2"/>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58,412</w:t>
            </w:r>
          </w:p>
        </w:tc>
        <w:tc>
          <w:tcPr>
            <w:tcW w:w="6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94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-3101340</wp:posOffset>
            </wp:positionV>
            <wp:extent cx="336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extLst>
                    </a:blip>
                    <a:srcRect/>
                    <a:stretch>
                      <a:fillRect/>
                    </a:stretch>
                  </pic:blipFill>
                  <pic:spPr bwMode="auto">
                    <a:xfrm>
                      <a:off x="0" y="0"/>
                      <a:ext cx="3366135" cy="3810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-1678940</wp:posOffset>
            </wp:positionV>
            <wp:extent cx="336169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extLst>
                    </a:blip>
                    <a:srcRect/>
                    <a:stretch>
                      <a:fillRect/>
                    </a:stretch>
                  </pic:blipFill>
                  <pic:spPr bwMode="auto">
                    <a:xfrm>
                      <a:off x="0" y="0"/>
                      <a:ext cx="3361690" cy="38100"/>
                    </a:xfrm>
                    <a:prstGeom prst="rect">
                      <a:avLst/>
                    </a:prstGeom>
                    <a:noFill/>
                  </pic:spPr>
                </pic:pic>
              </a:graphicData>
            </a:graphic>
          </wp:anchor>
        </w:drawing>
      </w:r>
    </w:p>
    <w:p>
      <w:pPr>
        <w:spacing w:after="0" w:line="8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80"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454546"/>
        </w:rPr>
        <w:t>The carrying amount of the Company’s remaining financial assets and liabilities, which include cash, receivables and payables, approximate their fair values due to their short-term nature.</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123</w:t>
      </w:r>
    </w:p>
    <w:p>
      <w:pPr>
        <w:sectPr>
          <w:pgSz w:w="12240" w:h="15840" w:orient="portrait"/>
          <w:cols w:equalWidth="0" w:num="1">
            <w:col w:w="9360"/>
          </w:cols>
          <w:pgMar w:left="1440" w:top="1440" w:right="1440" w:bottom="175"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454546"/>
        </w:rPr>
        <w:t>Note 8. Stock-Based Compensation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2024 Inducement Equity Incentive Plan</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w:t>
      </w:r>
    </w:p>
    <w:p>
      <w:pPr>
        <w:spacing w:after="0" w:line="77" w:lineRule="exact"/>
        <w:rPr>
          <w:sz w:val="20"/>
          <w:szCs w:val="20"/>
          <w:color w:val="auto"/>
        </w:rPr>
      </w:pPr>
    </w:p>
    <w:p>
      <w:pPr>
        <w:ind w:right="720" w:firstLine="490"/>
        <w:spacing w:after="0" w:line="277" w:lineRule="auto"/>
        <w:rPr>
          <w:sz w:val="20"/>
          <w:szCs w:val="20"/>
          <w:color w:val="auto"/>
        </w:rPr>
      </w:pPr>
      <w:r>
        <w:rPr>
          <w:rFonts w:ascii="Times New Roman" w:cs="Times New Roman" w:eastAsia="Times New Roman" w:hAnsi="Times New Roman"/>
          <w:sz w:val="20"/>
          <w:szCs w:val="20"/>
          <w:color w:val="454546"/>
        </w:rPr>
        <w:t>Total shares reserved and available for grant under the Inducement Plan as of December 31, 2025, are 525,000.</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2021 Equity Incentive Plan</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Under the Company's 2021 Equity Incentive Plan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may determine.</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Total shares reserved and available for grant under the 2021 Plan as of December 31, 2025, are 2,001,067.</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454546"/>
        </w:rPr>
        <w:t>Repricing</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On January 22, 2025, the Compensation Committee of the Company's Board approved a repricing of certain outstanding vested and unvested stock option awards under the Amended and Restated 2016 Equity Incentive Plan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w:t>
      </w:r>
    </w:p>
    <w:p>
      <w:pPr>
        <w:spacing w:after="0" w:line="86"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w:t>
      </w:r>
    </w:p>
    <w:p>
      <w:pPr>
        <w:spacing w:after="0" w:line="7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 repricing resulted in a total incremental stock-based compensation expense of $1.3 million, which was calculated using the Black-Scholes option pricing model, of which $1.0 million is associated with vested repriced options as of the Retention Date and were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year ended December 31, 2025, the Company recognized $1.1 million of incremental stock-based compensation expense.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124</w:t>
      </w:r>
    </w:p>
    <w:p>
      <w:pPr>
        <w:sectPr>
          <w:pgSz w:w="12240" w:h="15840" w:orient="portrait"/>
          <w:cols w:equalWidth="0" w:num="1">
            <w:col w:w="9360"/>
          </w:cols>
          <w:pgMar w:left="1440" w:top="1416" w:right="1440" w:bottom="175" w:gutter="0" w:footer="0" w:header="0"/>
          <w:type w:val="continuous"/>
        </w:sectPr>
      </w:pPr>
    </w:p>
    <w:bookmarkStart w:id="126" w:name="page127"/>
    <w:bookmarkEnd w:id="126"/>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Stock Option Activity</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The following table summarizes stock option activity: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rPr>
              <w:t>Weighted</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Remaining</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w w:val="99"/>
              </w:rPr>
              <w:t>Aggregate</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rPr>
              <w:t>Exercise</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Contractual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w w:val="98"/>
              </w:rPr>
              <w:t>Intrinsic</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454546"/>
              </w:rPr>
              <w:t>Price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4"/>
              </w:rPr>
              <w:t>Life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0" w:type="dxa"/>
            <w:vAlign w:val="bottom"/>
          </w:tcPr>
          <w:p>
            <w:pPr>
              <w:spacing w:after="0"/>
              <w:rPr>
                <w:sz w:val="1"/>
                <w:szCs w:val="1"/>
                <w:color w:val="auto"/>
              </w:rPr>
            </w:pPr>
          </w:p>
        </w:tc>
      </w:tr>
      <w:tr>
        <w:trPr>
          <w:trHeight w:val="193"/>
        </w:trPr>
        <w:tc>
          <w:tcPr>
            <w:tcW w:w="4260" w:type="dxa"/>
            <w:vAlign w:val="bottom"/>
          </w:tcPr>
          <w:p>
            <w:pPr>
              <w:spacing w:after="0"/>
              <w:rPr>
                <w:sz w:val="16"/>
                <w:szCs w:val="16"/>
                <w:color w:val="auto"/>
              </w:rPr>
            </w:pPr>
          </w:p>
        </w:tc>
        <w:tc>
          <w:tcPr>
            <w:tcW w:w="1080" w:type="dxa"/>
            <w:vAlign w:val="bottom"/>
            <w:tcBorders>
              <w:top w:val="single" w:sz="8" w:color="454546"/>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454546"/>
            </w:tcBorders>
          </w:tcPr>
          <w:p>
            <w:pPr>
              <w:spacing w:after="0"/>
              <w:rPr>
                <w:sz w:val="16"/>
                <w:szCs w:val="16"/>
                <w:color w:val="auto"/>
              </w:rPr>
            </w:pPr>
          </w:p>
        </w:tc>
        <w:tc>
          <w:tcPr>
            <w:tcW w:w="960" w:type="dxa"/>
            <w:vAlign w:val="bottom"/>
            <w:tcBorders>
              <w:top w:val="single" w:sz="8" w:color="454546"/>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454546"/>
                <w:w w:val="98"/>
              </w:rPr>
              <w:t>(in dollars)</w:t>
            </w:r>
          </w:p>
        </w:tc>
        <w:tc>
          <w:tcPr>
            <w:tcW w:w="220" w:type="dxa"/>
            <w:vAlign w:val="bottom"/>
          </w:tcPr>
          <w:p>
            <w:pPr>
              <w:spacing w:after="0"/>
              <w:rPr>
                <w:sz w:val="16"/>
                <w:szCs w:val="16"/>
                <w:color w:val="auto"/>
              </w:rPr>
            </w:pPr>
          </w:p>
        </w:tc>
        <w:tc>
          <w:tcPr>
            <w:tcW w:w="1100" w:type="dxa"/>
            <w:vAlign w:val="bottom"/>
            <w:tcBorders>
              <w:top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(Years)</w:t>
            </w:r>
          </w:p>
        </w:tc>
        <w:tc>
          <w:tcPr>
            <w:tcW w:w="220" w:type="dxa"/>
            <w:vAlign w:val="bottom"/>
          </w:tcPr>
          <w:p>
            <w:pPr>
              <w:spacing w:after="0"/>
              <w:rPr>
                <w:sz w:val="16"/>
                <w:szCs w:val="16"/>
                <w:color w:val="auto"/>
              </w:rPr>
            </w:pPr>
          </w:p>
        </w:tc>
        <w:tc>
          <w:tcPr>
            <w:tcW w:w="1100" w:type="dxa"/>
            <w:vAlign w:val="bottom"/>
            <w:tcBorders>
              <w:top w:val="single" w:sz="8" w:color="454546"/>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Outstanding as of December 31, 2024</w:t>
            </w: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9,253,976</w:t>
            </w:r>
          </w:p>
        </w:tc>
        <w:tc>
          <w:tcPr>
            <w:tcW w:w="140" w:type="dxa"/>
            <w:vAlign w:val="bottom"/>
            <w:shd w:val="clear" w:color="auto" w:fill="E5E6E7"/>
          </w:tcPr>
          <w:p>
            <w:pPr>
              <w:spacing w:after="0"/>
              <w:rPr>
                <w:sz w:val="21"/>
                <w:szCs w:val="21"/>
                <w:color w:val="auto"/>
              </w:rPr>
            </w:pPr>
          </w:p>
        </w:tc>
        <w:tc>
          <w:tcPr>
            <w:tcW w:w="2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6.51</w:t>
            </w:r>
          </w:p>
        </w:tc>
        <w:tc>
          <w:tcPr>
            <w:tcW w:w="1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7.22</w:t>
            </w:r>
          </w:p>
        </w:tc>
        <w:tc>
          <w:tcPr>
            <w:tcW w:w="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406</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3,829,175</w:t>
            </w:r>
          </w:p>
        </w:tc>
        <w:tc>
          <w:tcPr>
            <w:tcW w:w="14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0.90</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Exercised</w:t>
            </w:r>
          </w:p>
        </w:tc>
        <w:tc>
          <w:tcPr>
            <w:tcW w:w="12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(22,065)</w:t>
            </w:r>
          </w:p>
        </w:tc>
        <w:tc>
          <w:tcPr>
            <w:tcW w:w="2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220" w:type="dxa"/>
            <w:vAlign w:val="bottom"/>
            <w:shd w:val="clear" w:color="auto" w:fill="E5E6E7"/>
          </w:tcPr>
          <w:p>
            <w:pPr>
              <w:spacing w:after="0"/>
              <w:rPr>
                <w:sz w:val="21"/>
                <w:szCs w:val="21"/>
                <w:color w:val="auto"/>
              </w:rPr>
            </w:pPr>
          </w:p>
        </w:tc>
        <w:tc>
          <w:tcPr>
            <w:tcW w:w="11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(1,010,290)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5.36</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Outstanding as of December 31, 2025</w:t>
            </w:r>
          </w:p>
        </w:tc>
        <w:tc>
          <w:tcPr>
            <w:tcW w:w="108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12,050,796</w:t>
            </w:r>
          </w:p>
        </w:tc>
        <w:tc>
          <w:tcPr>
            <w:tcW w:w="140" w:type="dxa"/>
            <w:vAlign w:val="bottom"/>
            <w:tcBorders>
              <w:top w:val="single" w:sz="8" w:color="E5E6E7"/>
            </w:tcBorders>
            <w:shd w:val="clear" w:color="auto" w:fill="E5E6E7"/>
          </w:tcPr>
          <w:p>
            <w:pPr>
              <w:spacing w:after="0"/>
              <w:rPr>
                <w:sz w:val="20"/>
                <w:szCs w:val="20"/>
                <w:color w:val="auto"/>
              </w:rPr>
            </w:pPr>
          </w:p>
        </w:tc>
        <w:tc>
          <w:tcPr>
            <w:tcW w:w="220" w:type="dxa"/>
            <w:vAlign w:val="bottom"/>
            <w:tcBorders>
              <w:top w:val="single" w:sz="8" w:color="E5E6E7"/>
            </w:tcBorders>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1.90</w:t>
            </w:r>
          </w:p>
        </w:tc>
        <w:tc>
          <w:tcPr>
            <w:tcW w:w="1320" w:type="dxa"/>
            <w:vAlign w:val="bottom"/>
            <w:tcBorders>
              <w:top w:val="single" w:sz="8" w:color="E5E6E7"/>
            </w:tcBorders>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7.16</w:t>
            </w:r>
          </w:p>
        </w:tc>
        <w:tc>
          <w:tcPr>
            <w:tcW w:w="380" w:type="dxa"/>
            <w:vAlign w:val="bottom"/>
            <w:tcBorders>
              <w:top w:val="single" w:sz="8" w:color="E5E6E7"/>
            </w:tcBorders>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385</w:t>
            </w:r>
          </w:p>
        </w:tc>
        <w:tc>
          <w:tcPr>
            <w:tcW w:w="6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Exercisable as of December 31, 2025</w:t>
            </w:r>
          </w:p>
        </w:tc>
        <w:tc>
          <w:tcPr>
            <w:tcW w:w="108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2.31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6.23</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23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vMerge w:val="continue"/>
          </w:tcPr>
          <w:p>
            <w:pPr>
              <w:spacing w:after="0"/>
              <w:rPr>
                <w:sz w:val="19"/>
                <w:szCs w:val="19"/>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7,131,295</w:t>
            </w:r>
          </w:p>
        </w:tc>
        <w:tc>
          <w:tcPr>
            <w:tcW w:w="14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The aggregate intrinsic value is the value of the Company’s closing stock price on the last trading day of the year in excess of the weighted-average exercise price multiplied by the number of options outstanding or exercisable. The total intrinsic value of options exercised during the years ended December 31, 2025 and 2024, was $4.4 thousand and $74.9 thousand, respectively.</w:t>
      </w:r>
    </w:p>
    <w:p>
      <w:pPr>
        <w:spacing w:after="0" w:line="7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The weighted-average grant-date fair value of options granted during the years ended December 31, 2025 and 2024 was $0.69 and $3.73 per share, respectively.</w:t>
      </w:r>
    </w:p>
    <w:p>
      <w:pPr>
        <w:spacing w:after="0" w:line="49"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2025, there was $7.8 million of unrecognized stock-based compensation cost related to stock options, which is expected to be recognized over an estimated weighted-average period of 2.2 years.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Stock Option Valuation</w:t>
      </w:r>
    </w:p>
    <w:p>
      <w:pPr>
        <w:spacing w:after="0" w:line="12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The fair value of the Company’s stock option awards is estimated on the date of grant using the Black-Scholes option pricing model using the following assumptions:</w:t>
      </w:r>
    </w:p>
    <w:p>
      <w:pPr>
        <w:spacing w:after="0" w:line="49"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454546"/>
        </w:rPr>
        <w:t>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w:t>
      </w:r>
    </w:p>
    <w:p>
      <w:pPr>
        <w:spacing w:after="0" w:line="8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454546"/>
        </w:rPr>
        <w:t>Year Ended</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454546"/>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3849370</wp:posOffset>
                </wp:positionH>
                <wp:positionV relativeFrom="paragraph">
                  <wp:posOffset>0</wp:posOffset>
                </wp:positionV>
                <wp:extent cx="209423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423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0pt" to="468pt,0pt" o:allowincell="f" strokecolor="#454546" strokeweight="0.75pt"/>
            </w:pict>
          </mc:Fallback>
        </mc:AlternateContent>
      </w: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1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454546"/>
              </w:rPr>
              <w:t>2025</w:t>
            </w:r>
          </w:p>
        </w:tc>
        <w:tc>
          <w:tcPr>
            <w:tcW w:w="17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454546"/>
              </w:rPr>
              <w:t>2024</w:t>
            </w:r>
          </w:p>
        </w:tc>
      </w:tr>
      <w:tr>
        <w:trPr>
          <w:trHeight w:val="216"/>
        </w:trPr>
        <w:tc>
          <w:tcPr>
            <w:tcW w:w="60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rPr>
              <w:t>Expected term (in years)</w:t>
            </w:r>
          </w:p>
        </w:tc>
        <w:tc>
          <w:tcPr>
            <w:tcW w:w="70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5.5</w:t>
            </w:r>
          </w:p>
        </w:tc>
        <w:tc>
          <w:tcPr>
            <w:tcW w:w="860" w:type="dxa"/>
            <w:vAlign w:val="bottom"/>
            <w:tcBorders>
              <w:top w:val="single" w:sz="8" w:color="454546"/>
            </w:tcBorders>
            <w:shd w:val="clear" w:color="auto" w:fill="E5E6E7"/>
          </w:tcPr>
          <w:p>
            <w:pPr>
              <w:ind w:left="20"/>
              <w:spacing w:after="0"/>
              <w:rPr>
                <w:sz w:val="20"/>
                <w:szCs w:val="20"/>
                <w:color w:val="auto"/>
              </w:rPr>
            </w:pPr>
            <w:r>
              <w:rPr>
                <w:rFonts w:ascii="Times New Roman" w:cs="Times New Roman" w:eastAsia="Times New Roman" w:hAnsi="Times New Roman"/>
                <w:sz w:val="18"/>
                <w:szCs w:val="18"/>
                <w:color w:val="454546"/>
              </w:rPr>
              <w:t>– 6.1</w:t>
            </w:r>
          </w:p>
        </w:tc>
        <w:tc>
          <w:tcPr>
            <w:tcW w:w="180" w:type="dxa"/>
            <w:vAlign w:val="bottom"/>
            <w:tcBorders>
              <w:top w:val="single" w:sz="8" w:color="E5E6E7"/>
            </w:tcBorders>
            <w:shd w:val="clear" w:color="auto" w:fill="E5E6E7"/>
          </w:tcPr>
          <w:p>
            <w:pPr>
              <w:spacing w:after="0"/>
              <w:rPr>
                <w:sz w:val="18"/>
                <w:szCs w:val="18"/>
                <w:color w:val="auto"/>
              </w:rPr>
            </w:pPr>
          </w:p>
        </w:tc>
        <w:tc>
          <w:tcPr>
            <w:tcW w:w="700" w:type="dxa"/>
            <w:vAlign w:val="bottom"/>
            <w:tcBorders>
              <w:top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5.5</w:t>
            </w:r>
          </w:p>
        </w:tc>
        <w:tc>
          <w:tcPr>
            <w:tcW w:w="860" w:type="dxa"/>
            <w:vAlign w:val="bottom"/>
            <w:tcBorders>
              <w:top w:val="single" w:sz="8" w:color="454546"/>
            </w:tcBorders>
            <w:shd w:val="clear" w:color="auto" w:fill="E5E6E7"/>
          </w:tcPr>
          <w:p>
            <w:pPr>
              <w:ind w:left="20"/>
              <w:spacing w:after="0"/>
              <w:rPr>
                <w:sz w:val="20"/>
                <w:szCs w:val="20"/>
                <w:color w:val="auto"/>
              </w:rPr>
            </w:pPr>
            <w:r>
              <w:rPr>
                <w:rFonts w:ascii="Times New Roman" w:cs="Times New Roman" w:eastAsia="Times New Roman" w:hAnsi="Times New Roman"/>
                <w:sz w:val="18"/>
                <w:szCs w:val="18"/>
                <w:color w:val="454546"/>
              </w:rPr>
              <w:t>– 6.1</w:t>
            </w:r>
          </w:p>
        </w:tc>
      </w:tr>
      <w:tr>
        <w:trPr>
          <w:trHeight w:val="221"/>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454546"/>
              </w:rPr>
              <w:t>Expected volatility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87%</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 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89%</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 93%</w:t>
            </w:r>
          </w:p>
        </w:tc>
      </w:tr>
      <w:tr>
        <w:trPr>
          <w:trHeight w:val="221"/>
        </w:trPr>
        <w:tc>
          <w:tcPr>
            <w:tcW w:w="60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Risk-free interest rate</w:t>
            </w: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3.7%</w:t>
            </w:r>
          </w:p>
        </w:tc>
        <w:tc>
          <w:tcPr>
            <w:tcW w:w="860" w:type="dxa"/>
            <w:vAlign w:val="bottom"/>
            <w:shd w:val="clear" w:color="auto" w:fill="E5E6E7"/>
          </w:tcPr>
          <w:p>
            <w:pPr>
              <w:ind w:left="20"/>
              <w:spacing w:after="0"/>
              <w:rPr>
                <w:sz w:val="20"/>
                <w:szCs w:val="20"/>
                <w:color w:val="auto"/>
              </w:rPr>
            </w:pPr>
            <w:r>
              <w:rPr>
                <w:rFonts w:ascii="Times New Roman" w:cs="Times New Roman" w:eastAsia="Times New Roman" w:hAnsi="Times New Roman"/>
                <w:sz w:val="18"/>
                <w:szCs w:val="18"/>
                <w:color w:val="454546"/>
              </w:rPr>
              <w:t>– 4.5%</w:t>
            </w:r>
          </w:p>
        </w:tc>
        <w:tc>
          <w:tcPr>
            <w:tcW w:w="8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3.9%</w:t>
            </w:r>
          </w:p>
        </w:tc>
        <w:tc>
          <w:tcPr>
            <w:tcW w:w="860" w:type="dxa"/>
            <w:vAlign w:val="bottom"/>
            <w:shd w:val="clear" w:color="auto" w:fill="E5E6E7"/>
          </w:tcPr>
          <w:p>
            <w:pPr>
              <w:ind w:left="20"/>
              <w:spacing w:after="0"/>
              <w:rPr>
                <w:sz w:val="20"/>
                <w:szCs w:val="20"/>
                <w:color w:val="auto"/>
              </w:rPr>
            </w:pPr>
            <w:r>
              <w:rPr>
                <w:rFonts w:ascii="Times New Roman" w:cs="Times New Roman" w:eastAsia="Times New Roman" w:hAnsi="Times New Roman"/>
                <w:sz w:val="18"/>
                <w:szCs w:val="18"/>
                <w:color w:val="454546"/>
              </w:rPr>
              <w:t>– 4.5%</w:t>
            </w: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454546"/>
              </w:rPr>
              <w:t>Expected dividend yield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454546"/>
              </w:rPr>
              <w:t>—%</w:t>
            </w:r>
          </w:p>
        </w:tc>
        <w:tc>
          <w:tcPr>
            <w:tcW w:w="18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454546"/>
              </w:rPr>
              <w:t>—%</w:t>
            </w:r>
          </w:p>
        </w:tc>
      </w:tr>
    </w:tbl>
    <w:p>
      <w:pPr>
        <w:spacing w:after="0" w:line="81" w:lineRule="exact"/>
        <w:rPr>
          <w:sz w:val="20"/>
          <w:szCs w:val="20"/>
          <w:color w:val="auto"/>
        </w:rPr>
      </w:pPr>
    </w:p>
    <w:p>
      <w:pPr>
        <w:jc w:val="both"/>
        <w:ind w:left="480" w:right="200"/>
        <w:spacing w:after="0" w:line="258" w:lineRule="auto"/>
        <w:rPr>
          <w:sz w:val="20"/>
          <w:szCs w:val="20"/>
          <w:color w:val="auto"/>
        </w:rPr>
      </w:pPr>
      <w:r>
        <w:rPr>
          <w:rFonts w:ascii="Times New Roman" w:cs="Times New Roman" w:eastAsia="Times New Roman" w:hAnsi="Times New Roman"/>
          <w:sz w:val="20"/>
          <w:szCs w:val="20"/>
          <w:i w:val="1"/>
          <w:iCs w:val="1"/>
          <w:color w:val="454546"/>
        </w:rPr>
        <w:t>Expected Term</w:t>
      </w:r>
      <w:r>
        <w:rPr>
          <w:rFonts w:ascii="Times New Roman" w:cs="Times New Roman" w:eastAsia="Times New Roman" w:hAnsi="Times New Roman"/>
          <w:sz w:val="20"/>
          <w:szCs w:val="20"/>
          <w:color w:val="454546"/>
        </w:rPr>
        <w:t>— The Company determines the expected term, which represents the period that stock-based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awards are expected to be outstanding, in accordance with the simplified method due to its limited operating history, which is presumed to be the mid-point between the contractual term and the vesting period.</w:t>
      </w:r>
    </w:p>
    <w:p>
      <w:pPr>
        <w:spacing w:after="0" w:line="68"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20"/>
          <w:szCs w:val="20"/>
          <w:i w:val="1"/>
          <w:iCs w:val="1"/>
          <w:color w:val="454546"/>
        </w:rPr>
        <w:t>Expected Volatility</w:t>
      </w:r>
      <w:r>
        <w:rPr>
          <w:rFonts w:ascii="Times New Roman" w:cs="Times New Roman" w:eastAsia="Times New Roman" w:hAnsi="Times New Roman"/>
          <w:sz w:val="20"/>
          <w:szCs w:val="20"/>
          <w:color w:val="454546"/>
        </w:rPr>
        <w:t>— As there is limited trading history for the Company’s common stock, the Company</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determines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7" w:lineRule="exact"/>
        <w:rPr>
          <w:sz w:val="20"/>
          <w:szCs w:val="20"/>
          <w:color w:val="auto"/>
        </w:rPr>
      </w:pPr>
    </w:p>
    <w:p>
      <w:pPr>
        <w:ind w:left="480" w:right="140"/>
        <w:spacing w:after="0" w:line="277" w:lineRule="auto"/>
        <w:rPr>
          <w:sz w:val="20"/>
          <w:szCs w:val="20"/>
          <w:color w:val="auto"/>
        </w:rPr>
      </w:pPr>
      <w:r>
        <w:rPr>
          <w:rFonts w:ascii="Times New Roman" w:cs="Times New Roman" w:eastAsia="Times New Roman" w:hAnsi="Times New Roman"/>
          <w:sz w:val="20"/>
          <w:szCs w:val="20"/>
          <w:i w:val="1"/>
          <w:iCs w:val="1"/>
          <w:color w:val="454546"/>
        </w:rPr>
        <w:t>Risk-Free Interest Rate</w:t>
      </w:r>
      <w:r>
        <w:rPr>
          <w:rFonts w:ascii="Times New Roman" w:cs="Times New Roman" w:eastAsia="Times New Roman" w:hAnsi="Times New Roman"/>
          <w:sz w:val="20"/>
          <w:szCs w:val="20"/>
          <w:color w:val="454546"/>
        </w:rPr>
        <w:t>— The Company bases the risk-free interest rate on U.S. Treasury zero coupon issues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in effect at the time of grant for periods corresponding with the expected term assumption.</w:t>
      </w:r>
    </w:p>
    <w:p>
      <w:pPr>
        <w:spacing w:after="0" w:line="49" w:lineRule="exact"/>
        <w:rPr>
          <w:sz w:val="20"/>
          <w:szCs w:val="20"/>
          <w:color w:val="auto"/>
        </w:rPr>
      </w:pPr>
    </w:p>
    <w:p>
      <w:pPr>
        <w:ind w:left="480" w:right="60"/>
        <w:spacing w:after="0" w:line="277" w:lineRule="auto"/>
        <w:rPr>
          <w:sz w:val="20"/>
          <w:szCs w:val="20"/>
          <w:color w:val="auto"/>
        </w:rPr>
      </w:pPr>
      <w:r>
        <w:rPr>
          <w:rFonts w:ascii="Times New Roman" w:cs="Times New Roman" w:eastAsia="Times New Roman" w:hAnsi="Times New Roman"/>
          <w:sz w:val="20"/>
          <w:szCs w:val="20"/>
          <w:i w:val="1"/>
          <w:iCs w:val="1"/>
          <w:color w:val="454546"/>
        </w:rPr>
        <w:t>Expected Dividend Yield</w:t>
      </w:r>
      <w:r>
        <w:rPr>
          <w:rFonts w:ascii="Times New Roman" w:cs="Times New Roman" w:eastAsia="Times New Roman" w:hAnsi="Times New Roman"/>
          <w:sz w:val="20"/>
          <w:szCs w:val="20"/>
          <w:color w:val="454546"/>
        </w:rPr>
        <w:t>— The expected dividend yield is assumed to be zero as the Company has never paid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and has no plans to pay any dividends on its common stock.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125</w:t>
      </w:r>
    </w:p>
    <w:p>
      <w:pPr>
        <w:sectPr>
          <w:pgSz w:w="12240" w:h="15840" w:orient="portrait"/>
          <w:cols w:equalWidth="0" w:num="1">
            <w:col w:w="9360"/>
          </w:cols>
          <w:pgMar w:left="1440" w:top="1420" w:right="1440" w:bottom="175" w:gutter="0" w:footer="0" w:header="0"/>
          <w:type w:val="continuous"/>
        </w:sectPr>
      </w:pPr>
    </w:p>
    <w:bookmarkStart w:id="127" w:name="page128"/>
    <w:bookmarkEnd w:id="127"/>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Restricted Stock Units</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454546"/>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454546"/>
                <w:w w:val="99"/>
              </w:rPr>
              <w:t>Weighted</w:t>
            </w:r>
          </w:p>
        </w:tc>
        <w:tc>
          <w:tcPr>
            <w:tcW w:w="2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Weighted-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454546"/>
                <w:w w:val="99"/>
              </w:rPr>
              <w:t>Average</w:t>
            </w:r>
          </w:p>
        </w:tc>
        <w:tc>
          <w:tcPr>
            <w:tcW w:w="2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Average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454546"/>
                <w:w w:val="98"/>
              </w:rPr>
              <w:t>Aggregate</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454546"/>
              </w:rPr>
              <w:t>Grant Date</w:t>
            </w:r>
          </w:p>
        </w:tc>
        <w:tc>
          <w:tcPr>
            <w:tcW w:w="2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Remaining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454546"/>
                <w:w w:val="99"/>
              </w:rPr>
              <w:t>Fair Value</w:t>
            </w:r>
          </w:p>
        </w:tc>
        <w:tc>
          <w:tcPr>
            <w:tcW w:w="2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rPr>
              <w:t>Contractual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454546"/>
                <w:w w:val="99"/>
              </w:rPr>
              <w:t>Intrinsic</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454546"/>
              </w:rPr>
              <w:t>Shares</w:t>
            </w:r>
          </w:p>
        </w:tc>
        <w:tc>
          <w:tcPr>
            <w:tcW w:w="140" w:type="dxa"/>
            <w:vAlign w:val="bottom"/>
          </w:tcPr>
          <w:p>
            <w:pPr>
              <w:spacing w:after="0"/>
              <w:rPr>
                <w:sz w:val="19"/>
                <w:szCs w:val="19"/>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454546"/>
              </w:rPr>
              <w:t>per Share</w:t>
            </w:r>
          </w:p>
        </w:tc>
        <w:tc>
          <w:tcPr>
            <w:tcW w:w="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54546"/>
                <w:w w:val="96"/>
              </w:rPr>
              <w:t>Life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454546"/>
              </w:rPr>
              <w:t>Value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60" w:type="dxa"/>
            <w:vAlign w:val="bottom"/>
            <w:tcBorders>
              <w:top w:val="single" w:sz="8" w:color="454546"/>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454546"/>
            </w:tcBorders>
          </w:tcPr>
          <w:p>
            <w:pPr>
              <w:spacing w:after="0"/>
              <w:rPr>
                <w:sz w:val="18"/>
                <w:szCs w:val="18"/>
                <w:color w:val="auto"/>
              </w:rPr>
            </w:pPr>
          </w:p>
        </w:tc>
        <w:tc>
          <w:tcPr>
            <w:tcW w:w="1120" w:type="dxa"/>
            <w:vAlign w:val="bottom"/>
            <w:tcBorders>
              <w:top w:val="single" w:sz="8" w:color="454546"/>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454546"/>
                <w:w w:val="99"/>
              </w:rPr>
              <w:t>(in dollars)</w:t>
            </w:r>
          </w:p>
        </w:tc>
        <w:tc>
          <w:tcPr>
            <w:tcW w:w="240" w:type="dxa"/>
            <w:vAlign w:val="bottom"/>
          </w:tcPr>
          <w:p>
            <w:pPr>
              <w:spacing w:after="0"/>
              <w:rPr>
                <w:sz w:val="18"/>
                <w:szCs w:val="18"/>
                <w:color w:val="auto"/>
              </w:rPr>
            </w:pPr>
          </w:p>
        </w:tc>
        <w:tc>
          <w:tcPr>
            <w:tcW w:w="1280" w:type="dxa"/>
            <w:vAlign w:val="bottom"/>
            <w:tcBorders>
              <w:top w:val="single" w:sz="8" w:color="454546"/>
            </w:tcBorders>
          </w:tcPr>
          <w:p>
            <w:pPr>
              <w:jc w:val="center"/>
              <w:spacing w:after="0"/>
              <w:rPr>
                <w:sz w:val="20"/>
                <w:szCs w:val="20"/>
                <w:color w:val="auto"/>
              </w:rPr>
            </w:pPr>
            <w:r>
              <w:rPr>
                <w:rFonts w:ascii="Times New Roman" w:cs="Times New Roman" w:eastAsia="Times New Roman" w:hAnsi="Times New Roman"/>
                <w:sz w:val="18"/>
                <w:szCs w:val="18"/>
                <w:b w:val="1"/>
                <w:bCs w:val="1"/>
                <w:color w:val="454546"/>
              </w:rPr>
              <w:t>(Years)</w:t>
            </w:r>
          </w:p>
        </w:tc>
        <w:tc>
          <w:tcPr>
            <w:tcW w:w="240" w:type="dxa"/>
            <w:vAlign w:val="bottom"/>
          </w:tcPr>
          <w:p>
            <w:pPr>
              <w:spacing w:after="0"/>
              <w:rPr>
                <w:sz w:val="18"/>
                <w:szCs w:val="18"/>
                <w:color w:val="auto"/>
              </w:rPr>
            </w:pPr>
          </w:p>
        </w:tc>
        <w:tc>
          <w:tcPr>
            <w:tcW w:w="1240" w:type="dxa"/>
            <w:vAlign w:val="bottom"/>
            <w:tcBorders>
              <w:top w:val="single" w:sz="8" w:color="454546"/>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454546"/>
                <w:w w:val="98"/>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Unvested as of December 31, 2024</w:t>
            </w:r>
          </w:p>
        </w:tc>
        <w:tc>
          <w:tcPr>
            <w:tcW w:w="12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1,354,178</w:t>
            </w:r>
          </w:p>
        </w:tc>
        <w:tc>
          <w:tcPr>
            <w:tcW w:w="240" w:type="dxa"/>
            <w:vAlign w:val="bottom"/>
            <w:shd w:val="clear" w:color="auto" w:fill="E5E6E7"/>
          </w:tcPr>
          <w:p>
            <w:pPr>
              <w:spacing w:after="0"/>
              <w:rPr>
                <w:sz w:val="19"/>
                <w:szCs w:val="19"/>
                <w:color w:val="auto"/>
              </w:rPr>
            </w:pPr>
          </w:p>
        </w:tc>
        <w:tc>
          <w:tcPr>
            <w:tcW w:w="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4.14</w:t>
            </w:r>
          </w:p>
        </w:tc>
        <w:tc>
          <w:tcPr>
            <w:tcW w:w="24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1,497,678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1.17</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Vested</w:t>
            </w:r>
          </w:p>
        </w:tc>
        <w:tc>
          <w:tcPr>
            <w:tcW w:w="15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8"/>
                <w:szCs w:val="18"/>
                <w:color w:val="454546"/>
              </w:rPr>
              <w:t>(914,079)</w:t>
            </w:r>
          </w:p>
        </w:tc>
        <w:tc>
          <w:tcPr>
            <w:tcW w:w="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2.83</w:t>
            </w:r>
          </w:p>
        </w:tc>
        <w:tc>
          <w:tcPr>
            <w:tcW w:w="24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Forfeited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54546"/>
              </w:rPr>
              <w:t>(401,543)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2.73</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rPr>
              <w:t>Unvested as of December 31, 2025</w:t>
            </w:r>
          </w:p>
        </w:tc>
        <w:tc>
          <w:tcPr>
            <w:tcW w:w="126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1,536,234</w:t>
            </w:r>
          </w:p>
        </w:tc>
        <w:tc>
          <w:tcPr>
            <w:tcW w:w="240" w:type="dxa"/>
            <w:vAlign w:val="bottom"/>
            <w:tcBorders>
              <w:top w:val="single" w:sz="8" w:color="E5E6E7"/>
              <w:bottom w:val="single" w:sz="8" w:color="E5E6E7"/>
            </w:tcBorders>
            <w:shd w:val="clear" w:color="auto" w:fill="E5E6E7"/>
          </w:tcPr>
          <w:p>
            <w:pPr>
              <w:spacing w:after="0"/>
              <w:rPr>
                <w:sz w:val="20"/>
                <w:szCs w:val="20"/>
                <w:color w:val="auto"/>
              </w:rPr>
            </w:pPr>
          </w:p>
        </w:tc>
        <w:tc>
          <w:tcPr>
            <w:tcW w:w="140" w:type="dxa"/>
            <w:vAlign w:val="bottom"/>
            <w:tcBorders>
              <w:top w:val="single" w:sz="8" w:color="E5E6E7"/>
              <w:bottom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1120" w:type="dxa"/>
            <w:vAlign w:val="bottom"/>
            <w:tcBorders>
              <w:top w:val="single" w:sz="8" w:color="E5E6E7"/>
              <w:bottom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2.39</w:t>
            </w:r>
          </w:p>
        </w:tc>
        <w:tc>
          <w:tcPr>
            <w:tcW w:w="1520" w:type="dxa"/>
            <w:vAlign w:val="bottom"/>
            <w:tcBorders>
              <w:top w:val="single" w:sz="8" w:color="E5E6E7"/>
              <w:bottom w:val="single" w:sz="8" w:color="E5E6E7"/>
            </w:tcBorders>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1.20</w:t>
            </w:r>
          </w:p>
        </w:tc>
        <w:tc>
          <w:tcPr>
            <w:tcW w:w="400" w:type="dxa"/>
            <w:vAlign w:val="bottom"/>
            <w:tcBorders>
              <w:top w:val="single" w:sz="8" w:color="E5E6E7"/>
              <w:bottom w:val="single" w:sz="8" w:color="E5E6E7"/>
            </w:tcBorders>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1080" w:type="dxa"/>
            <w:vAlign w:val="bottom"/>
            <w:tcBorders>
              <w:top w:val="single" w:sz="8" w:color="E5E6E7"/>
              <w:bottom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1,093</w:t>
            </w:r>
          </w:p>
        </w:tc>
        <w:tc>
          <w:tcPr>
            <w:tcW w:w="60" w:type="dxa"/>
            <w:vAlign w:val="bottom"/>
            <w:tcBorders>
              <w:top w:val="single" w:sz="8" w:color="E5E6E7"/>
              <w:bottom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6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2025, there was $3.1 million of unrecognized stock-based compensation cost related to RSUs, which is expected to be recognized over an estimated weighted-average period of 2.2 years.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2021 Employee Stock Purchase Plan</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Under the Company's 2021 Employee Stock Purchase Plan (ESPP), the Company initially reserved 800,000 shares for future issuance.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may determine. As of December 31, 2025, 2,274,594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The first offering period commenced in January 2022. For the years ended December 31, 2025 and 2024, the stock-based compensation expense for ESPP was not material.</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 summarizes stock-based compensation recognized in the Company’s statements of operations and comprehensive loss:</w:t>
      </w:r>
    </w:p>
    <w:p>
      <w:pPr>
        <w:spacing w:after="0" w:line="6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454546"/>
        </w:rPr>
        <w:t>Year Ended</w:t>
      </w:r>
    </w:p>
    <w:p>
      <w:pPr>
        <w:spacing w:after="0" w:line="2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454546"/>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3801745</wp:posOffset>
                </wp:positionH>
                <wp:positionV relativeFrom="paragraph">
                  <wp:posOffset>0</wp:posOffset>
                </wp:positionV>
                <wp:extent cx="21050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5025"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35pt,0pt" to="465.1pt,0pt" o:allowincell="f" strokecolor="#454546" strokeweight="0.75pt"/>
            </w:pict>
          </mc:Fallback>
        </mc:AlternateContent>
      </w:r>
    </w:p>
    <w:tbl>
      <w:tblPr>
        <w:tblLayout w:type="fixed"/>
        <w:tblInd w:w="0" w:type="dxa"/>
        <w:tblCellMar>
          <w:top w:w="0" w:type="dxa"/>
          <w:left w:w="0" w:type="dxa"/>
          <w:bottom w:w="0" w:type="dxa"/>
          <w:right w:w="0" w:type="dxa"/>
        </w:tblCellMar>
      </w:tblPr>
      <w:tr>
        <w:trPr>
          <w:trHeight w:val="217"/>
        </w:trPr>
        <w:tc>
          <w:tcPr>
            <w:tcW w:w="5980" w:type="dxa"/>
            <w:vAlign w:val="bottom"/>
            <w:tcBorders>
              <w:bottom w:val="single" w:sz="8" w:color="E5E6E7"/>
            </w:tcBorders>
          </w:tcPr>
          <w:p>
            <w:pPr>
              <w:spacing w:after="0"/>
              <w:rPr>
                <w:sz w:val="18"/>
                <w:szCs w:val="18"/>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b w:val="1"/>
                <w:bCs w:val="1"/>
                <w:color w:val="454546"/>
              </w:rPr>
              <w:t>2025</w:t>
            </w:r>
          </w:p>
        </w:tc>
        <w:tc>
          <w:tcPr>
            <w:tcW w:w="540" w:type="dxa"/>
            <w:vAlign w:val="bottom"/>
            <w:tcBorders>
              <w:bottom w:val="single" w:sz="8" w:color="454546"/>
            </w:tcBorders>
          </w:tcPr>
          <w:p>
            <w:pPr>
              <w:spacing w:after="0"/>
              <w:rPr>
                <w:sz w:val="18"/>
                <w:szCs w:val="18"/>
                <w:color w:val="auto"/>
              </w:rPr>
            </w:pPr>
          </w:p>
        </w:tc>
        <w:tc>
          <w:tcPr>
            <w:tcW w:w="280" w:type="dxa"/>
            <w:vAlign w:val="bottom"/>
            <w:tcBorders>
              <w:bottom w:val="single" w:sz="8" w:color="E5E6E7"/>
            </w:tcBorders>
          </w:tcPr>
          <w:p>
            <w:pPr>
              <w:spacing w:after="0"/>
              <w:rPr>
                <w:sz w:val="18"/>
                <w:szCs w:val="18"/>
                <w:color w:val="auto"/>
              </w:rPr>
            </w:pPr>
          </w:p>
        </w:tc>
        <w:tc>
          <w:tcPr>
            <w:tcW w:w="340" w:type="dxa"/>
            <w:vAlign w:val="bottom"/>
            <w:tcBorders>
              <w:bottom w:val="single" w:sz="8" w:color="454546"/>
            </w:tcBorders>
          </w:tcPr>
          <w:p>
            <w:pPr>
              <w:spacing w:after="0"/>
              <w:rPr>
                <w:sz w:val="18"/>
                <w:szCs w:val="18"/>
                <w:color w:val="auto"/>
              </w:rPr>
            </w:pPr>
          </w:p>
        </w:tc>
        <w:tc>
          <w:tcPr>
            <w:tcW w:w="1180" w:type="dxa"/>
            <w:vAlign w:val="bottom"/>
            <w:tcBorders>
              <w:bottom w:val="single" w:sz="8" w:color="454546"/>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454546"/>
              </w:rPr>
              <w:t>2024</w:t>
            </w:r>
          </w:p>
        </w:tc>
        <w:tc>
          <w:tcPr>
            <w:tcW w:w="60" w:type="dxa"/>
            <w:vAlign w:val="bottom"/>
            <w:tcBorders>
              <w:bottom w:val="single" w:sz="8" w:color="E5E6E7"/>
            </w:tcBorders>
          </w:tcPr>
          <w:p>
            <w:pPr>
              <w:spacing w:after="0"/>
              <w:rPr>
                <w:sz w:val="18"/>
                <w:szCs w:val="18"/>
                <w:color w:val="auto"/>
              </w:rPr>
            </w:pPr>
          </w:p>
        </w:tc>
      </w:tr>
      <w:tr>
        <w:trPr>
          <w:trHeight w:val="216"/>
        </w:trPr>
        <w:tc>
          <w:tcPr>
            <w:tcW w:w="598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Research and development</w:t>
            </w:r>
          </w:p>
        </w:tc>
        <w:tc>
          <w:tcPr>
            <w:tcW w:w="980" w:type="dxa"/>
            <w:vAlign w:val="bottom"/>
            <w:shd w:val="clear" w:color="auto" w:fill="E5E6E7"/>
          </w:tcPr>
          <w:p>
            <w:pPr>
              <w:jc w:val="right"/>
              <w:ind w:right="790"/>
              <w:spacing w:after="0"/>
              <w:rPr>
                <w:sz w:val="20"/>
                <w:szCs w:val="20"/>
                <w:color w:val="auto"/>
              </w:rPr>
            </w:pPr>
            <w:r>
              <w:rPr>
                <w:rFonts w:ascii="Times New Roman" w:cs="Times New Roman" w:eastAsia="Times New Roman" w:hAnsi="Times New Roman"/>
                <w:sz w:val="18"/>
                <w:szCs w:val="18"/>
                <w:color w:val="454546"/>
                <w:w w:val="88"/>
              </w:rPr>
              <w:t>$</w:t>
            </w: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6,818</w:t>
            </w:r>
          </w:p>
        </w:tc>
        <w:tc>
          <w:tcPr>
            <w:tcW w:w="280" w:type="dxa"/>
            <w:vAlign w:val="bottom"/>
            <w:shd w:val="clear" w:color="auto" w:fill="E5E6E7"/>
          </w:tcPr>
          <w:p>
            <w:pPr>
              <w:spacing w:after="0"/>
              <w:rPr>
                <w:sz w:val="18"/>
                <w:szCs w:val="18"/>
                <w:color w:val="auto"/>
              </w:rPr>
            </w:pPr>
          </w:p>
        </w:tc>
        <w:tc>
          <w:tcPr>
            <w:tcW w:w="340" w:type="dxa"/>
            <w:vAlign w:val="bottom"/>
            <w:shd w:val="clear" w:color="auto" w:fill="E5E6E7"/>
          </w:tcPr>
          <w:p>
            <w:pPr>
              <w:jc w:val="right"/>
              <w:ind w:right="150"/>
              <w:spacing w:after="0"/>
              <w:rPr>
                <w:sz w:val="20"/>
                <w:szCs w:val="20"/>
                <w:color w:val="auto"/>
              </w:rPr>
            </w:pPr>
            <w:r>
              <w:rPr>
                <w:rFonts w:ascii="Times New Roman" w:cs="Times New Roman" w:eastAsia="Times New Roman" w:hAnsi="Times New Roman"/>
                <w:sz w:val="18"/>
                <w:szCs w:val="18"/>
                <w:color w:val="454546"/>
                <w:w w:val="88"/>
              </w:rPr>
              <w:t>$</w:t>
            </w:r>
          </w:p>
        </w:tc>
        <w:tc>
          <w:tcPr>
            <w:tcW w:w="1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8,200</w:t>
            </w:r>
          </w:p>
        </w:tc>
        <w:tc>
          <w:tcPr>
            <w:tcW w:w="60" w:type="dxa"/>
            <w:vAlign w:val="bottom"/>
            <w:shd w:val="clear" w:color="auto" w:fill="E5E6E7"/>
          </w:tcPr>
          <w:p>
            <w:pPr>
              <w:spacing w:after="0"/>
              <w:rPr>
                <w:sz w:val="18"/>
                <w:szCs w:val="18"/>
                <w:color w:val="auto"/>
              </w:rPr>
            </w:pPr>
          </w:p>
        </w:tc>
      </w:tr>
      <w:tr>
        <w:trPr>
          <w:trHeight w:val="221"/>
        </w:trPr>
        <w:tc>
          <w:tcPr>
            <w:tcW w:w="59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454546"/>
              </w:rPr>
              <w:t>General and administrative</w:t>
            </w:r>
          </w:p>
        </w:tc>
        <w:tc>
          <w:tcPr>
            <w:tcW w:w="980" w:type="dxa"/>
            <w:vAlign w:val="bottom"/>
            <w:tcBorders>
              <w:bottom w:val="single" w:sz="8" w:color="454546"/>
            </w:tcBorders>
          </w:tcPr>
          <w:p>
            <w:pPr>
              <w:spacing w:after="0"/>
              <w:rPr>
                <w:sz w:val="19"/>
                <w:szCs w:val="19"/>
                <w:color w:val="auto"/>
              </w:rPr>
            </w:pPr>
          </w:p>
        </w:tc>
        <w:tc>
          <w:tcPr>
            <w:tcW w:w="5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6,228</w:t>
            </w:r>
          </w:p>
        </w:tc>
        <w:tc>
          <w:tcPr>
            <w:tcW w:w="280" w:type="dxa"/>
            <w:vAlign w:val="bottom"/>
            <w:tcBorders>
              <w:bottom w:val="single" w:sz="8" w:color="E5E6E7"/>
            </w:tcBorders>
          </w:tcPr>
          <w:p>
            <w:pPr>
              <w:spacing w:after="0"/>
              <w:rPr>
                <w:sz w:val="19"/>
                <w:szCs w:val="19"/>
                <w:color w:val="auto"/>
              </w:rPr>
            </w:pPr>
          </w:p>
        </w:tc>
        <w:tc>
          <w:tcPr>
            <w:tcW w:w="340" w:type="dxa"/>
            <w:vAlign w:val="bottom"/>
            <w:tcBorders>
              <w:bottom w:val="single" w:sz="8" w:color="454546"/>
            </w:tcBorders>
          </w:tcPr>
          <w:p>
            <w:pPr>
              <w:spacing w:after="0"/>
              <w:rPr>
                <w:sz w:val="19"/>
                <w:szCs w:val="19"/>
                <w:color w:val="auto"/>
              </w:rPr>
            </w:pPr>
          </w:p>
        </w:tc>
        <w:tc>
          <w:tcPr>
            <w:tcW w:w="11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8,302</w:t>
            </w:r>
          </w:p>
        </w:tc>
        <w:tc>
          <w:tcPr>
            <w:tcW w:w="60" w:type="dxa"/>
            <w:vAlign w:val="bottom"/>
            <w:tcBorders>
              <w:bottom w:val="single" w:sz="8" w:color="E5E6E7"/>
            </w:tcBorders>
          </w:tcPr>
          <w:p>
            <w:pPr>
              <w:spacing w:after="0"/>
              <w:rPr>
                <w:sz w:val="19"/>
                <w:szCs w:val="19"/>
                <w:color w:val="auto"/>
              </w:rPr>
            </w:pPr>
          </w:p>
        </w:tc>
      </w:tr>
      <w:tr>
        <w:trPr>
          <w:trHeight w:val="216"/>
        </w:trPr>
        <w:tc>
          <w:tcPr>
            <w:tcW w:w="59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Total stock-based compensation</w:t>
            </w:r>
          </w:p>
        </w:tc>
        <w:tc>
          <w:tcPr>
            <w:tcW w:w="980" w:type="dxa"/>
            <w:vAlign w:val="bottom"/>
            <w:tcBorders>
              <w:bottom w:val="single" w:sz="8" w:color="454546"/>
            </w:tcBorders>
            <w:shd w:val="clear" w:color="auto" w:fill="E5E6E7"/>
          </w:tcPr>
          <w:p>
            <w:pPr>
              <w:jc w:val="right"/>
              <w:ind w:right="790"/>
              <w:spacing w:after="0"/>
              <w:rPr>
                <w:sz w:val="20"/>
                <w:szCs w:val="20"/>
                <w:color w:val="auto"/>
              </w:rPr>
            </w:pPr>
            <w:r>
              <w:rPr>
                <w:rFonts w:ascii="Times New Roman" w:cs="Times New Roman" w:eastAsia="Times New Roman" w:hAnsi="Times New Roman"/>
                <w:sz w:val="18"/>
                <w:szCs w:val="18"/>
                <w:color w:val="454546"/>
                <w:w w:val="88"/>
              </w:rPr>
              <w:t>$</w:t>
            </w:r>
          </w:p>
        </w:tc>
        <w:tc>
          <w:tcPr>
            <w:tcW w:w="5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13,046</w:t>
            </w:r>
          </w:p>
        </w:tc>
        <w:tc>
          <w:tcPr>
            <w:tcW w:w="280" w:type="dxa"/>
            <w:vAlign w:val="bottom"/>
            <w:shd w:val="clear" w:color="auto" w:fill="E5E6E7"/>
          </w:tcPr>
          <w:p>
            <w:pPr>
              <w:spacing w:after="0"/>
              <w:rPr>
                <w:sz w:val="18"/>
                <w:szCs w:val="18"/>
                <w:color w:val="auto"/>
              </w:rPr>
            </w:pPr>
          </w:p>
        </w:tc>
        <w:tc>
          <w:tcPr>
            <w:tcW w:w="340" w:type="dxa"/>
            <w:vAlign w:val="bottom"/>
            <w:tcBorders>
              <w:bottom w:val="single" w:sz="8" w:color="454546"/>
            </w:tcBorders>
            <w:shd w:val="clear" w:color="auto" w:fill="E5E6E7"/>
          </w:tcPr>
          <w:p>
            <w:pPr>
              <w:jc w:val="right"/>
              <w:ind w:right="150"/>
              <w:spacing w:after="0"/>
              <w:rPr>
                <w:sz w:val="20"/>
                <w:szCs w:val="20"/>
                <w:color w:val="auto"/>
              </w:rPr>
            </w:pPr>
            <w:r>
              <w:rPr>
                <w:rFonts w:ascii="Times New Roman" w:cs="Times New Roman" w:eastAsia="Times New Roman" w:hAnsi="Times New Roman"/>
                <w:sz w:val="18"/>
                <w:szCs w:val="18"/>
                <w:color w:val="454546"/>
                <w:w w:val="88"/>
              </w:rPr>
              <w:t>$</w:t>
            </w:r>
          </w:p>
        </w:tc>
        <w:tc>
          <w:tcPr>
            <w:tcW w:w="11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16,502</w:t>
            </w:r>
          </w:p>
        </w:tc>
        <w:tc>
          <w:tcPr>
            <w:tcW w:w="60" w:type="dxa"/>
            <w:vAlign w:val="bottom"/>
            <w:shd w:val="clear" w:color="auto" w:fill="E5E6E7"/>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540" w:type="dxa"/>
            <w:vAlign w:val="bottom"/>
            <w:tcBorders>
              <w:bottom w:val="single" w:sz="8" w:color="45454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454546"/>
            </w:tcBorders>
          </w:tcPr>
          <w:p>
            <w:pPr>
              <w:spacing w:after="0" w:line="20" w:lineRule="exact"/>
              <w:rPr>
                <w:sz w:val="1"/>
                <w:szCs w:val="1"/>
                <w:color w:val="auto"/>
              </w:rPr>
            </w:pPr>
          </w:p>
        </w:tc>
        <w:tc>
          <w:tcPr>
            <w:tcW w:w="118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9. Income Taxes</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454546"/>
        </w:rPr>
        <w:t>No provision for or benefit from income taxes was recorded during the years ended December 31, 2025 and 2024. The Company has established a full valuation allowance against its net deferred tax assets due to the uncertainty regarding the realization of such assets. All losses to date have been incurred in the United States. Deferred income taxes reflect the net tax effects of temporary differences between the carrying amounts of assets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126</w:t>
      </w:r>
    </w:p>
    <w:p>
      <w:pPr>
        <w:sectPr>
          <w:pgSz w:w="12240" w:h="15840" w:orient="portrait"/>
          <w:cols w:equalWidth="0" w:num="1">
            <w:col w:w="9360"/>
          </w:cols>
          <w:pgMar w:left="1440" w:top="1420" w:right="1440" w:bottom="175" w:gutter="0" w:footer="0" w:header="0"/>
          <w:type w:val="continuous"/>
        </w:sectPr>
      </w:pPr>
    </w:p>
    <w:bookmarkStart w:id="128" w:name="page129"/>
    <w:bookmarkEnd w:id="128"/>
    <w:p>
      <w:pPr>
        <w:ind w:right="260"/>
        <w:spacing w:after="0" w:line="277" w:lineRule="auto"/>
        <w:rPr>
          <w:sz w:val="20"/>
          <w:szCs w:val="20"/>
          <w:color w:val="auto"/>
        </w:rPr>
      </w:pPr>
      <w:r>
        <w:rPr>
          <w:rFonts w:ascii="Times New Roman" w:cs="Times New Roman" w:eastAsia="Times New Roman" w:hAnsi="Times New Roman"/>
          <w:sz w:val="20"/>
          <w:szCs w:val="20"/>
          <w:color w:val="454546"/>
        </w:rPr>
        <w:t>and liabilities for financial reporting purposes and the amounts used for income tax purposes, as well as operating losses and tax credit carryforwards.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Effective Tax Rate Reconciliation</w:t>
      </w:r>
    </w:p>
    <w:p>
      <w:pPr>
        <w:spacing w:after="0" w:line="120"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454546"/>
        </w:rPr>
        <w:t>The effective tax rate of the Company’s provision for income taxes differs from the federal statutory rate and the effective tax rate reconciliation for the year ended December 31, 2025 after the adoption of ASU 2023-09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40" w:type="dxa"/>
            <w:vAlign w:val="bottom"/>
          </w:tcPr>
          <w:p>
            <w:pPr>
              <w:spacing w:after="0"/>
              <w:rPr>
                <w:sz w:val="19"/>
                <w:szCs w:val="19"/>
                <w:color w:val="auto"/>
              </w:rPr>
            </w:pPr>
          </w:p>
        </w:tc>
        <w:tc>
          <w:tcPr>
            <w:tcW w:w="142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454546"/>
              </w:rPr>
              <w:t>2025</w:t>
            </w:r>
          </w:p>
        </w:tc>
        <w:tc>
          <w:tcPr>
            <w:tcW w:w="2000" w:type="dxa"/>
            <w:vAlign w:val="bottom"/>
            <w:tcBorders>
              <w:bottom w:val="single" w:sz="8" w:color="454546"/>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4740" w:type="dxa"/>
            <w:vAlign w:val="bottom"/>
            <w:tcBorders>
              <w:bottom w:val="single" w:sz="8" w:color="E5E6E7"/>
            </w:tcBorders>
          </w:tcPr>
          <w:p>
            <w:pPr>
              <w:spacing w:after="0"/>
              <w:rPr>
                <w:sz w:val="18"/>
                <w:szCs w:val="18"/>
                <w:color w:val="auto"/>
              </w:rPr>
            </w:pPr>
          </w:p>
        </w:tc>
        <w:tc>
          <w:tcPr>
            <w:tcW w:w="14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b w:val="1"/>
                <w:bCs w:val="1"/>
                <w:color w:val="454546"/>
              </w:rPr>
              <w:t>Amount</w:t>
            </w:r>
          </w:p>
        </w:tc>
        <w:tc>
          <w:tcPr>
            <w:tcW w:w="660" w:type="dxa"/>
            <w:vAlign w:val="bottom"/>
            <w:tcBorders>
              <w:bottom w:val="single" w:sz="8" w:color="454546"/>
            </w:tcBorders>
          </w:tcPr>
          <w:p>
            <w:pPr>
              <w:spacing w:after="0"/>
              <w:rPr>
                <w:sz w:val="18"/>
                <w:szCs w:val="18"/>
                <w:color w:val="auto"/>
              </w:rPr>
            </w:pPr>
          </w:p>
        </w:tc>
        <w:tc>
          <w:tcPr>
            <w:tcW w:w="340" w:type="dxa"/>
            <w:vAlign w:val="bottom"/>
            <w:tcBorders>
              <w:bottom w:val="single" w:sz="8" w:color="E5E6E7"/>
            </w:tcBorders>
          </w:tcPr>
          <w:p>
            <w:pPr>
              <w:spacing w:after="0"/>
              <w:rPr>
                <w:sz w:val="18"/>
                <w:szCs w:val="18"/>
                <w:color w:val="auto"/>
              </w:rPr>
            </w:pPr>
          </w:p>
        </w:tc>
        <w:tc>
          <w:tcPr>
            <w:tcW w:w="2000" w:type="dxa"/>
            <w:vAlign w:val="bottom"/>
            <w:tcBorders>
              <w:bottom w:val="single" w:sz="8" w:color="454546"/>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454546"/>
              </w:rPr>
              <w:t>Percent</w:t>
            </w:r>
          </w:p>
        </w:tc>
        <w:tc>
          <w:tcPr>
            <w:tcW w:w="200" w:type="dxa"/>
            <w:vAlign w:val="bottom"/>
          </w:tcPr>
          <w:p>
            <w:pPr>
              <w:spacing w:after="0"/>
              <w:rPr>
                <w:sz w:val="18"/>
                <w:szCs w:val="18"/>
                <w:color w:val="auto"/>
              </w:rPr>
            </w:pPr>
          </w:p>
        </w:tc>
      </w:tr>
      <w:tr>
        <w:trPr>
          <w:trHeight w:val="216"/>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U.S. federal taxes at statutory rate</w:t>
            </w:r>
          </w:p>
        </w:tc>
        <w:tc>
          <w:tcPr>
            <w:tcW w:w="1420" w:type="dxa"/>
            <w:vAlign w:val="bottom"/>
            <w:shd w:val="clear" w:color="auto" w:fill="E5E6E7"/>
          </w:tcPr>
          <w:p>
            <w:pPr>
              <w:jc w:val="right"/>
              <w:ind w:right="1230"/>
              <w:spacing w:after="0"/>
              <w:rPr>
                <w:sz w:val="20"/>
                <w:szCs w:val="20"/>
                <w:color w:val="auto"/>
              </w:rPr>
            </w:pPr>
            <w:r>
              <w:rPr>
                <w:rFonts w:ascii="Times New Roman" w:cs="Times New Roman" w:eastAsia="Times New Roman" w:hAnsi="Times New Roman"/>
                <w:sz w:val="18"/>
                <w:szCs w:val="18"/>
                <w:color w:val="454546"/>
                <w:w w:val="88"/>
              </w:rPr>
              <w:t>$</w:t>
            </w: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(19,025)</w:t>
            </w:r>
          </w:p>
        </w:tc>
        <w:tc>
          <w:tcPr>
            <w:tcW w:w="340" w:type="dxa"/>
            <w:vAlign w:val="bottom"/>
            <w:shd w:val="clear" w:color="auto" w:fill="E5E6E7"/>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54546"/>
              </w:rPr>
              <w:t>21.0%</w:t>
            </w: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454546"/>
              </w:rPr>
              <w:t>State taxes (net of federal benefit)</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340" w:type="dxa"/>
            <w:vAlign w:val="bottom"/>
          </w:tcPr>
          <w:p>
            <w:pPr>
              <w:spacing w:after="0"/>
              <w:rPr>
                <w:sz w:val="19"/>
                <w:szCs w:val="19"/>
                <w:color w:val="auto"/>
              </w:rPr>
            </w:pP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54546"/>
              </w:rPr>
              <w:t>—</w:t>
            </w:r>
          </w:p>
        </w:tc>
      </w:tr>
      <w:tr>
        <w:trPr>
          <w:trHeight w:val="22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Tax credits:</w:t>
            </w:r>
          </w:p>
        </w:tc>
        <w:tc>
          <w:tcPr>
            <w:tcW w:w="1420" w:type="dxa"/>
            <w:vAlign w:val="bottom"/>
            <w:shd w:val="clear" w:color="auto" w:fill="E5E6E7"/>
          </w:tcPr>
          <w:p>
            <w:pPr>
              <w:spacing w:after="0"/>
              <w:rPr>
                <w:sz w:val="19"/>
                <w:szCs w:val="19"/>
                <w:color w:val="auto"/>
              </w:rPr>
            </w:pPr>
          </w:p>
        </w:tc>
        <w:tc>
          <w:tcPr>
            <w:tcW w:w="66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200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r>
      <w:tr>
        <w:trPr>
          <w:trHeight w:val="221"/>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Research and development credit</w:t>
            </w:r>
          </w:p>
        </w:tc>
        <w:tc>
          <w:tcPr>
            <w:tcW w:w="14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54546"/>
              </w:rPr>
              <w:t>(938)</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1.0</w:t>
            </w:r>
          </w:p>
        </w:tc>
        <w:tc>
          <w:tcPr>
            <w:tcW w:w="200" w:type="dxa"/>
            <w:vAlign w:val="bottom"/>
          </w:tcPr>
          <w:p>
            <w:pPr>
              <w:spacing w:after="0"/>
              <w:rPr>
                <w:sz w:val="19"/>
                <w:szCs w:val="19"/>
                <w:color w:val="auto"/>
              </w:rPr>
            </w:pPr>
          </w:p>
        </w:tc>
      </w:tr>
      <w:tr>
        <w:trPr>
          <w:trHeight w:val="221"/>
        </w:trPr>
        <w:tc>
          <w:tcPr>
            <w:tcW w:w="4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Orphan drug credit</w:t>
            </w:r>
          </w:p>
        </w:tc>
        <w:tc>
          <w:tcPr>
            <w:tcW w:w="14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18"/>
                <w:szCs w:val="18"/>
                <w:color w:val="454546"/>
              </w:rPr>
              <w:t>(2,030)</w:t>
            </w:r>
          </w:p>
        </w:tc>
        <w:tc>
          <w:tcPr>
            <w:tcW w:w="2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2.2</w:t>
            </w:r>
          </w:p>
        </w:tc>
        <w:tc>
          <w:tcPr>
            <w:tcW w:w="200" w:type="dxa"/>
            <w:vAlign w:val="bottom"/>
            <w:shd w:val="clear" w:color="auto" w:fill="E5E6E7"/>
          </w:tcPr>
          <w:p>
            <w:pPr>
              <w:spacing w:after="0"/>
              <w:rPr>
                <w:sz w:val="19"/>
                <w:szCs w:val="19"/>
                <w:color w:val="auto"/>
              </w:rPr>
            </w:pP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454546"/>
              </w:rPr>
              <w:t>Change in valuation allowance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19,293</w:t>
            </w:r>
          </w:p>
        </w:tc>
        <w:tc>
          <w:tcPr>
            <w:tcW w:w="340" w:type="dxa"/>
            <w:vAlign w:val="bottom"/>
          </w:tcPr>
          <w:p>
            <w:pPr>
              <w:spacing w:after="0"/>
              <w:rPr>
                <w:sz w:val="19"/>
                <w:szCs w:val="19"/>
                <w:color w:val="auto"/>
              </w:rPr>
            </w:pP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54546"/>
              </w:rPr>
              <w:t>(21.3)</w:t>
            </w:r>
          </w:p>
        </w:tc>
      </w:tr>
      <w:tr>
        <w:trPr>
          <w:trHeight w:val="221"/>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Nontaxable or nondeductible items</w:t>
            </w:r>
          </w:p>
        </w:tc>
        <w:tc>
          <w:tcPr>
            <w:tcW w:w="1420" w:type="dxa"/>
            <w:vAlign w:val="bottom"/>
            <w:shd w:val="clear" w:color="auto" w:fill="E5E6E7"/>
          </w:tcPr>
          <w:p>
            <w:pPr>
              <w:spacing w:after="0"/>
              <w:rPr>
                <w:sz w:val="19"/>
                <w:szCs w:val="19"/>
                <w:color w:val="auto"/>
              </w:rPr>
            </w:pPr>
          </w:p>
        </w:tc>
        <w:tc>
          <w:tcPr>
            <w:tcW w:w="66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200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r>
      <w:tr>
        <w:trPr>
          <w:trHeight w:val="221"/>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Stock-based compensation</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1,763</w:t>
            </w:r>
          </w:p>
        </w:tc>
        <w:tc>
          <w:tcPr>
            <w:tcW w:w="340" w:type="dxa"/>
            <w:vAlign w:val="bottom"/>
          </w:tcPr>
          <w:p>
            <w:pPr>
              <w:spacing w:after="0"/>
              <w:rPr>
                <w:sz w:val="19"/>
                <w:szCs w:val="19"/>
                <w:color w:val="auto"/>
              </w:rPr>
            </w:pP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54546"/>
              </w:rPr>
              <w:t>(2.0)</w:t>
            </w:r>
          </w:p>
        </w:tc>
      </w:tr>
      <w:tr>
        <w:trPr>
          <w:trHeight w:val="221"/>
        </w:trPr>
        <w:tc>
          <w:tcPr>
            <w:tcW w:w="4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Other</w:t>
            </w:r>
          </w:p>
        </w:tc>
        <w:tc>
          <w:tcPr>
            <w:tcW w:w="1420" w:type="dxa"/>
            <w:vAlign w:val="bottom"/>
            <w:shd w:val="clear" w:color="auto" w:fill="E5E6E7"/>
          </w:tcPr>
          <w:p>
            <w:pPr>
              <w:spacing w:after="0"/>
              <w:rPr>
                <w:sz w:val="19"/>
                <w:szCs w:val="19"/>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70</w:t>
            </w:r>
          </w:p>
        </w:tc>
        <w:tc>
          <w:tcPr>
            <w:tcW w:w="340" w:type="dxa"/>
            <w:vAlign w:val="bottom"/>
            <w:shd w:val="clear" w:color="auto" w:fill="E5E6E7"/>
          </w:tcPr>
          <w:p>
            <w:pPr>
              <w:spacing w:after="0"/>
              <w:rPr>
                <w:sz w:val="19"/>
                <w:szCs w:val="19"/>
                <w:color w:val="auto"/>
              </w:rPr>
            </w:pPr>
          </w:p>
        </w:tc>
        <w:tc>
          <w:tcPr>
            <w:tcW w:w="220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18"/>
                <w:szCs w:val="18"/>
                <w:color w:val="454546"/>
              </w:rPr>
              <w:t>(0.1)</w:t>
            </w: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454546"/>
              </w:rPr>
              <w:t>Changes in unrecognized tax benefits</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867</w:t>
            </w:r>
          </w:p>
        </w:tc>
        <w:tc>
          <w:tcPr>
            <w:tcW w:w="340" w:type="dxa"/>
            <w:vAlign w:val="bottom"/>
          </w:tcPr>
          <w:p>
            <w:pPr>
              <w:spacing w:after="0"/>
              <w:rPr>
                <w:sz w:val="19"/>
                <w:szCs w:val="19"/>
                <w:color w:val="auto"/>
              </w:rPr>
            </w:pP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54546"/>
              </w:rPr>
              <w:t>(1.0)</w:t>
            </w:r>
          </w:p>
        </w:tc>
      </w:tr>
      <w:tr>
        <w:trPr>
          <w:trHeight w:val="236"/>
        </w:trPr>
        <w:tc>
          <w:tcPr>
            <w:tcW w:w="474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rPr>
              <w:t>Total</w:t>
            </w:r>
          </w:p>
        </w:tc>
        <w:tc>
          <w:tcPr>
            <w:tcW w:w="1420" w:type="dxa"/>
            <w:vAlign w:val="bottom"/>
            <w:tcBorders>
              <w:top w:val="single" w:sz="8" w:color="454546"/>
              <w:bottom w:val="single" w:sz="8" w:color="454546"/>
            </w:tcBorders>
            <w:shd w:val="clear" w:color="auto" w:fill="E5E6E7"/>
          </w:tcPr>
          <w:p>
            <w:pPr>
              <w:jc w:val="right"/>
              <w:ind w:right="1230"/>
              <w:spacing w:after="0"/>
              <w:rPr>
                <w:sz w:val="20"/>
                <w:szCs w:val="20"/>
                <w:color w:val="auto"/>
              </w:rPr>
            </w:pPr>
            <w:r>
              <w:rPr>
                <w:rFonts w:ascii="Times New Roman" w:cs="Times New Roman" w:eastAsia="Times New Roman" w:hAnsi="Times New Roman"/>
                <w:sz w:val="18"/>
                <w:szCs w:val="18"/>
                <w:color w:val="454546"/>
                <w:w w:val="88"/>
              </w:rPr>
              <w:t>$</w:t>
            </w:r>
          </w:p>
        </w:tc>
        <w:tc>
          <w:tcPr>
            <w:tcW w:w="66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340" w:type="dxa"/>
            <w:vAlign w:val="bottom"/>
            <w:tcBorders>
              <w:top w:val="single" w:sz="8" w:color="E5E6E7"/>
              <w:bottom w:val="single" w:sz="8" w:color="E5E6E7"/>
            </w:tcBorders>
            <w:shd w:val="clear" w:color="auto" w:fill="E5E6E7"/>
          </w:tcPr>
          <w:p>
            <w:pPr>
              <w:spacing w:after="0"/>
              <w:rPr>
                <w:sz w:val="20"/>
                <w:szCs w:val="20"/>
                <w:color w:val="auto"/>
              </w:rPr>
            </w:pPr>
          </w:p>
        </w:tc>
        <w:tc>
          <w:tcPr>
            <w:tcW w:w="200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200" w:type="dxa"/>
            <w:vAlign w:val="bottom"/>
            <w:tcBorders>
              <w:top w:val="single" w:sz="8" w:color="E5E6E7"/>
              <w:bottom w:val="single" w:sz="8" w:color="E5E6E7"/>
            </w:tcBorders>
            <w:shd w:val="clear" w:color="auto" w:fill="E5E6E7"/>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tcBorders>
              <w:bottom w:val="single" w:sz="8" w:color="454546"/>
            </w:tcBorders>
          </w:tcPr>
          <w:p>
            <w:pPr>
              <w:spacing w:after="0" w:line="20" w:lineRule="exact"/>
              <w:rPr>
                <w:sz w:val="1"/>
                <w:szCs w:val="1"/>
                <w:color w:val="auto"/>
              </w:rPr>
            </w:pPr>
          </w:p>
        </w:tc>
        <w:tc>
          <w:tcPr>
            <w:tcW w:w="660" w:type="dxa"/>
            <w:vAlign w:val="bottom"/>
            <w:tcBorders>
              <w:bottom w:val="single" w:sz="8" w:color="454546"/>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4550410</wp:posOffset>
                </wp:positionH>
                <wp:positionV relativeFrom="paragraph">
                  <wp:posOffset>-1580515</wp:posOffset>
                </wp:positionV>
                <wp:extent cx="1271270" cy="14033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1270" cy="140335"/>
                        </a:xfrm>
                        <a:prstGeom prst="rect">
                          <a:avLst/>
                        </a:prstGeom>
                        <a:solidFill>
                          <a:srgbClr val="E5E6E7"/>
                        </a:solidFill>
                      </wps:spPr>
                      <wps:bodyPr/>
                    </wps:wsp>
                  </a:graphicData>
                </a:graphic>
              </wp:anchor>
            </w:drawing>
          </mc:Choice>
          <mc:Fallback>
            <w:pict>
              <v:rect id="Shape 25" o:spid="_x0000_s1050" style="position:absolute;margin-left:358.3pt;margin-top:-124.4499pt;width:100.1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25"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16"/>
          <w:szCs w:val="16"/>
          <w:color w:val="454546"/>
        </w:rPr>
        <w:t>State taxes include state valuation allowance and state uncertain tax positions; the net impact was zero due to the Company's full valuation allowance.</w:t>
      </w:r>
    </w:p>
    <w:p>
      <w:pPr>
        <w:spacing w:after="0" w:line="59"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The effective tax rate reconciliation for the year ended December 31, 2024 prior the adoption of ASU 2023-09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454546"/>
              </w:rPr>
              <w:t>U.S. federal taxes at statutory rate</w:t>
            </w:r>
          </w:p>
        </w:tc>
        <w:tc>
          <w:tcPr>
            <w:tcW w:w="2740" w:type="dxa"/>
            <w:vAlign w:val="bottom"/>
            <w:tcBorders>
              <w:bottom w:val="single" w:sz="8" w:color="454546"/>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454546"/>
              </w:rPr>
              <w:t>2024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20" w:type="dxa"/>
            <w:vAlign w:val="bottom"/>
            <w:vMerge w:val="continue"/>
          </w:tcPr>
          <w:p>
            <w:pPr>
              <w:spacing w:after="0"/>
              <w:rPr>
                <w:sz w:val="18"/>
                <w:szCs w:val="18"/>
                <w:color w:val="auto"/>
              </w:rPr>
            </w:pPr>
          </w:p>
        </w:tc>
        <w:tc>
          <w:tcPr>
            <w:tcW w:w="2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54546"/>
              </w:rPr>
              <w:t>21.0%</w:t>
            </w:r>
          </w:p>
        </w:tc>
        <w:tc>
          <w:tcPr>
            <w:tcW w:w="0" w:type="dxa"/>
            <w:vAlign w:val="bottom"/>
          </w:tcPr>
          <w:p>
            <w:pPr>
              <w:spacing w:after="0"/>
              <w:rPr>
                <w:sz w:val="1"/>
                <w:szCs w:val="1"/>
                <w:color w:val="auto"/>
              </w:rPr>
            </w:pPr>
          </w:p>
        </w:tc>
      </w:tr>
      <w:tr>
        <w:trPr>
          <w:trHeight w:val="225"/>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454546"/>
              </w:rPr>
              <w:t>State taxes (net of federal benefit)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Credits</w:t>
            </w:r>
          </w:p>
        </w:tc>
        <w:tc>
          <w:tcPr>
            <w:tcW w:w="2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2.7</w:t>
            </w:r>
          </w:p>
        </w:tc>
        <w:tc>
          <w:tcPr>
            <w:tcW w:w="2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454546"/>
              </w:rPr>
              <w:t>Stock-based compensation</w:t>
            </w:r>
          </w:p>
        </w:tc>
        <w:tc>
          <w:tcPr>
            <w:tcW w:w="2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54546"/>
              </w:rPr>
              <w:t>(0.2)</w:t>
            </w:r>
          </w:p>
        </w:tc>
        <w:tc>
          <w:tcPr>
            <w:tcW w:w="0" w:type="dxa"/>
            <w:vAlign w:val="bottom"/>
          </w:tcPr>
          <w:p>
            <w:pPr>
              <w:spacing w:after="0"/>
              <w:rPr>
                <w:sz w:val="1"/>
                <w:szCs w:val="1"/>
                <w:color w:val="auto"/>
              </w:rPr>
            </w:pPr>
          </w:p>
        </w:tc>
      </w:tr>
      <w:tr>
        <w:trPr>
          <w:trHeight w:val="221"/>
        </w:trPr>
        <w:tc>
          <w:tcPr>
            <w:tcW w:w="64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Change in valuation allowance</w:t>
            </w:r>
          </w:p>
        </w:tc>
        <w:tc>
          <w:tcPr>
            <w:tcW w:w="294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18"/>
                <w:szCs w:val="18"/>
                <w:color w:val="454546"/>
              </w:rPr>
              <w:t>(22.6)</w:t>
            </w:r>
          </w:p>
        </w:tc>
        <w:tc>
          <w:tcPr>
            <w:tcW w:w="0" w:type="dxa"/>
            <w:vAlign w:val="bottom"/>
          </w:tcPr>
          <w:p>
            <w:pPr>
              <w:spacing w:after="0"/>
              <w:rPr>
                <w:sz w:val="1"/>
                <w:szCs w:val="1"/>
                <w:color w:val="auto"/>
              </w:rPr>
            </w:pPr>
          </w:p>
        </w:tc>
      </w:tr>
      <w:tr>
        <w:trPr>
          <w:trHeight w:val="221"/>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454546"/>
              </w:rPr>
              <w:t>Other</w:t>
            </w:r>
          </w:p>
        </w:tc>
        <w:tc>
          <w:tcPr>
            <w:tcW w:w="2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54546"/>
              </w:rPr>
              <w:t>(1.9)</w:t>
            </w:r>
          </w:p>
        </w:tc>
        <w:tc>
          <w:tcPr>
            <w:tcW w:w="0" w:type="dxa"/>
            <w:vAlign w:val="bottom"/>
          </w:tcPr>
          <w:p>
            <w:pPr>
              <w:spacing w:after="0"/>
              <w:rPr>
                <w:sz w:val="1"/>
                <w:szCs w:val="1"/>
                <w:color w:val="auto"/>
              </w:rPr>
            </w:pPr>
          </w:p>
        </w:tc>
      </w:tr>
      <w:tr>
        <w:trPr>
          <w:trHeight w:val="236"/>
        </w:trPr>
        <w:tc>
          <w:tcPr>
            <w:tcW w:w="6420" w:type="dxa"/>
            <w:vAlign w:val="bottom"/>
            <w:tcBorders>
              <w:top w:val="single" w:sz="8" w:color="E5E6E7"/>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rPr>
              <w:t>Total</w:t>
            </w:r>
          </w:p>
        </w:tc>
        <w:tc>
          <w:tcPr>
            <w:tcW w:w="274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200" w:type="dxa"/>
            <w:vAlign w:val="bottom"/>
            <w:tcBorders>
              <w:top w:val="single" w:sz="8" w:color="E5E6E7"/>
              <w:bottom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74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Deferred Income Taxes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The tax effects of significant items comprising the Company’s deferred income taxes are as follows</w:t>
      </w:r>
      <w:r>
        <w:rPr>
          <w:rFonts w:ascii="Times New Roman" w:cs="Times New Roman" w:eastAsia="Times New Roman" w:hAnsi="Times New Roman"/>
          <w:sz w:val="20"/>
          <w:szCs w:val="20"/>
          <w:b w:val="1"/>
          <w:bCs w:val="1"/>
          <w:color w:val="454546"/>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Pr>
          <w:p>
            <w:pPr>
              <w:spacing w:after="0"/>
              <w:rPr>
                <w:sz w:val="19"/>
                <w:szCs w:val="19"/>
                <w:color w:val="auto"/>
              </w:rPr>
            </w:pPr>
          </w:p>
        </w:tc>
        <w:tc>
          <w:tcPr>
            <w:tcW w:w="1340" w:type="dxa"/>
            <w:vAlign w:val="bottom"/>
            <w:tcBorders>
              <w:bottom w:val="single" w:sz="8" w:color="454546"/>
            </w:tcBorders>
          </w:tcPr>
          <w:p>
            <w:pPr>
              <w:spacing w:after="0"/>
              <w:rPr>
                <w:sz w:val="19"/>
                <w:szCs w:val="19"/>
                <w:color w:val="auto"/>
              </w:rPr>
            </w:pPr>
          </w:p>
        </w:tc>
        <w:tc>
          <w:tcPr>
            <w:tcW w:w="1720" w:type="dxa"/>
            <w:vAlign w:val="bottom"/>
            <w:tcBorders>
              <w:bottom w:val="single" w:sz="8" w:color="454546"/>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1460" w:type="dxa"/>
            <w:vAlign w:val="bottom"/>
            <w:tcBorders>
              <w:bottom w:val="single" w:sz="8" w:color="454546"/>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760" w:type="dxa"/>
            <w:vAlign w:val="bottom"/>
          </w:tcPr>
          <w:p>
            <w:pPr>
              <w:spacing w:after="0"/>
              <w:rPr>
                <w:sz w:val="17"/>
                <w:szCs w:val="17"/>
                <w:color w:val="auto"/>
              </w:rPr>
            </w:pPr>
          </w:p>
        </w:tc>
        <w:tc>
          <w:tcPr>
            <w:tcW w:w="1340" w:type="dxa"/>
            <w:vAlign w:val="bottom"/>
            <w:tcBorders>
              <w:bottom w:val="single" w:sz="8" w:color="454546"/>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454546"/>
              </w:rPr>
              <w:t>2025</w:t>
            </w:r>
          </w:p>
        </w:tc>
        <w:tc>
          <w:tcPr>
            <w:tcW w:w="740" w:type="dxa"/>
            <w:vAlign w:val="bottom"/>
            <w:tcBorders>
              <w:bottom w:val="single" w:sz="8" w:color="454546"/>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bottom w:val="single" w:sz="8" w:color="454546"/>
            </w:tcBorders>
          </w:tcPr>
          <w:p>
            <w:pPr>
              <w:spacing w:after="0"/>
              <w:rPr>
                <w:sz w:val="17"/>
                <w:szCs w:val="17"/>
                <w:color w:val="auto"/>
              </w:rPr>
            </w:pPr>
          </w:p>
        </w:tc>
        <w:tc>
          <w:tcPr>
            <w:tcW w:w="1460" w:type="dxa"/>
            <w:vAlign w:val="bottom"/>
            <w:tcBorders>
              <w:bottom w:val="single" w:sz="8" w:color="454546"/>
            </w:tcBorders>
          </w:tcPr>
          <w:p>
            <w:pPr>
              <w:jc w:val="right"/>
              <w:ind w:right="770"/>
              <w:spacing w:after="0" w:line="202" w:lineRule="exact"/>
              <w:rPr>
                <w:sz w:val="20"/>
                <w:szCs w:val="20"/>
                <w:color w:val="auto"/>
              </w:rPr>
            </w:pPr>
            <w:r>
              <w:rPr>
                <w:rFonts w:ascii="Times New Roman" w:cs="Times New Roman" w:eastAsia="Times New Roman" w:hAnsi="Times New Roman"/>
                <w:sz w:val="18"/>
                <w:szCs w:val="18"/>
                <w:b w:val="1"/>
                <w:bCs w:val="1"/>
                <w:color w:val="454546"/>
              </w:rPr>
              <w:t>2024</w:t>
            </w:r>
          </w:p>
        </w:tc>
        <w:tc>
          <w:tcPr>
            <w:tcW w:w="80" w:type="dxa"/>
            <w:vAlign w:val="bottom"/>
          </w:tcPr>
          <w:p>
            <w:pPr>
              <w:spacing w:after="0"/>
              <w:rPr>
                <w:sz w:val="17"/>
                <w:szCs w:val="17"/>
                <w:color w:val="auto"/>
              </w:rPr>
            </w:pPr>
          </w:p>
        </w:tc>
      </w:tr>
      <w:tr>
        <w:trPr>
          <w:trHeight w:val="202"/>
        </w:trPr>
        <w:tc>
          <w:tcPr>
            <w:tcW w:w="4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454546"/>
              </w:rPr>
              <w:t>(In</w:t>
            </w:r>
          </w:p>
        </w:tc>
        <w:tc>
          <w:tcPr>
            <w:tcW w:w="980" w:type="dxa"/>
            <w:vAlign w:val="bottom"/>
            <w:gridSpan w:val="3"/>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454546"/>
                <w:w w:val="85"/>
              </w:rPr>
              <w:t>thousands)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7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Deferred tax assets:</w:t>
            </w:r>
          </w:p>
        </w:tc>
        <w:tc>
          <w:tcPr>
            <w:tcW w:w="1340" w:type="dxa"/>
            <w:vAlign w:val="bottom"/>
            <w:shd w:val="clear" w:color="auto" w:fill="E5E6E7"/>
          </w:tcPr>
          <w:p>
            <w:pPr>
              <w:spacing w:after="0"/>
              <w:rPr>
                <w:sz w:val="17"/>
                <w:szCs w:val="17"/>
                <w:color w:val="auto"/>
              </w:rPr>
            </w:pPr>
          </w:p>
        </w:tc>
        <w:tc>
          <w:tcPr>
            <w:tcW w:w="7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3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6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r>
      <w:tr>
        <w:trPr>
          <w:trHeight w:val="207"/>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Net operating losses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454546"/>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91,724</w:t>
            </w:r>
          </w:p>
        </w:tc>
        <w:tc>
          <w:tcPr>
            <w:tcW w:w="340" w:type="dxa"/>
            <w:vAlign w:val="bottom"/>
          </w:tcPr>
          <w:p>
            <w:pPr>
              <w:spacing w:after="0"/>
              <w:rPr>
                <w:sz w:val="17"/>
                <w:szCs w:val="17"/>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454546"/>
                <w:w w:val="88"/>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54546"/>
              </w:rPr>
              <w:t>66,609</w:t>
            </w:r>
          </w:p>
        </w:tc>
      </w:tr>
      <w:tr>
        <w:trPr>
          <w:trHeight w:val="207"/>
        </w:trPr>
        <w:tc>
          <w:tcPr>
            <w:tcW w:w="47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Capitalized research and development expenditure</w:t>
            </w:r>
          </w:p>
        </w:tc>
        <w:tc>
          <w:tcPr>
            <w:tcW w:w="1340" w:type="dxa"/>
            <w:vAlign w:val="bottom"/>
            <w:shd w:val="clear" w:color="auto" w:fill="E5E6E7"/>
          </w:tcPr>
          <w:p>
            <w:pPr>
              <w:spacing w:after="0"/>
              <w:rPr>
                <w:sz w:val="17"/>
                <w:szCs w:val="17"/>
                <w:color w:val="auto"/>
              </w:rPr>
            </w:pPr>
          </w:p>
        </w:tc>
        <w:tc>
          <w:tcPr>
            <w:tcW w:w="1100" w:type="dxa"/>
            <w:vAlign w:val="bottom"/>
            <w:gridSpan w:val="3"/>
            <w:shd w:val="clear" w:color="auto" w:fill="E5E6E7"/>
          </w:tcPr>
          <w:p>
            <w:pPr>
              <w:jc w:val="right"/>
              <w:ind w:right="360"/>
              <w:spacing w:after="0"/>
              <w:rPr>
                <w:sz w:val="20"/>
                <w:szCs w:val="20"/>
                <w:color w:val="auto"/>
              </w:rPr>
            </w:pPr>
            <w:r>
              <w:rPr>
                <w:rFonts w:ascii="Times New Roman" w:cs="Times New Roman" w:eastAsia="Times New Roman" w:hAnsi="Times New Roman"/>
                <w:sz w:val="18"/>
                <w:szCs w:val="18"/>
                <w:color w:val="454546"/>
              </w:rPr>
              <w:t>26,956</w:t>
            </w:r>
          </w:p>
        </w:tc>
        <w:tc>
          <w:tcPr>
            <w:tcW w:w="620" w:type="dxa"/>
            <w:vAlign w:val="bottom"/>
            <w:shd w:val="clear" w:color="auto" w:fill="E5E6E7"/>
          </w:tcPr>
          <w:p>
            <w:pPr>
              <w:spacing w:after="0"/>
              <w:rPr>
                <w:sz w:val="17"/>
                <w:szCs w:val="17"/>
                <w:color w:val="auto"/>
              </w:rPr>
            </w:pPr>
          </w:p>
        </w:tc>
        <w:tc>
          <w:tcPr>
            <w:tcW w:w="154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54546"/>
              </w:rPr>
              <w:t>36,151</w:t>
            </w:r>
          </w:p>
        </w:tc>
      </w:tr>
      <w:tr>
        <w:trPr>
          <w:trHeight w:val="207"/>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Tax credits</w:t>
            </w:r>
          </w:p>
        </w:tc>
        <w:tc>
          <w:tcPr>
            <w:tcW w:w="13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54546"/>
              </w:rPr>
              <w:t>21,929</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54546"/>
              </w:rPr>
              <w:t>19,292</w:t>
            </w:r>
          </w:p>
        </w:tc>
      </w:tr>
      <w:tr>
        <w:trPr>
          <w:trHeight w:val="207"/>
        </w:trPr>
        <w:tc>
          <w:tcPr>
            <w:tcW w:w="47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Stock-based compensation</w:t>
            </w:r>
          </w:p>
        </w:tc>
        <w:tc>
          <w:tcPr>
            <w:tcW w:w="1340" w:type="dxa"/>
            <w:vAlign w:val="bottom"/>
            <w:shd w:val="clear" w:color="auto" w:fill="E5E6E7"/>
          </w:tcPr>
          <w:p>
            <w:pPr>
              <w:spacing w:after="0"/>
              <w:rPr>
                <w:sz w:val="17"/>
                <w:szCs w:val="17"/>
                <w:color w:val="auto"/>
              </w:rPr>
            </w:pPr>
          </w:p>
        </w:tc>
        <w:tc>
          <w:tcPr>
            <w:tcW w:w="7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4,420</w:t>
            </w:r>
          </w:p>
        </w:tc>
        <w:tc>
          <w:tcPr>
            <w:tcW w:w="3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54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54546"/>
              </w:rPr>
              <w:t>3,624</w:t>
            </w:r>
          </w:p>
        </w:tc>
      </w:tr>
      <w:tr>
        <w:trPr>
          <w:trHeight w:val="207"/>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Lease Liability</w:t>
            </w:r>
          </w:p>
        </w:tc>
        <w:tc>
          <w:tcPr>
            <w:tcW w:w="1340" w:type="dxa"/>
            <w:vAlign w:val="bottom"/>
          </w:tcPr>
          <w:p>
            <w:pPr>
              <w:spacing w:after="0"/>
              <w:rPr>
                <w:sz w:val="17"/>
                <w:szCs w:val="17"/>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454546"/>
              </w:rPr>
              <w:t>2,274</w:t>
            </w:r>
          </w:p>
        </w:tc>
        <w:tc>
          <w:tcPr>
            <w:tcW w:w="620" w:type="dxa"/>
            <w:vAlign w:val="bottom"/>
          </w:tcPr>
          <w:p>
            <w:pPr>
              <w:spacing w:after="0"/>
              <w:rPr>
                <w:sz w:val="17"/>
                <w:szCs w:val="17"/>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54546"/>
              </w:rPr>
              <w:t>2,862</w:t>
            </w:r>
          </w:p>
        </w:tc>
      </w:tr>
      <w:tr>
        <w:trPr>
          <w:trHeight w:val="227"/>
        </w:trPr>
        <w:tc>
          <w:tcPr>
            <w:tcW w:w="47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Accrued expenses and other</w:t>
            </w:r>
          </w:p>
        </w:tc>
        <w:tc>
          <w:tcPr>
            <w:tcW w:w="1340" w:type="dxa"/>
            <w:vAlign w:val="bottom"/>
            <w:shd w:val="clear" w:color="auto" w:fill="E5E6E7"/>
          </w:tcPr>
          <w:p>
            <w:pPr>
              <w:spacing w:after="0"/>
              <w:rPr>
                <w:sz w:val="19"/>
                <w:szCs w:val="19"/>
                <w:color w:val="auto"/>
              </w:rPr>
            </w:pPr>
          </w:p>
        </w:tc>
        <w:tc>
          <w:tcPr>
            <w:tcW w:w="7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1,224</w:t>
            </w:r>
          </w:p>
        </w:tc>
        <w:tc>
          <w:tcPr>
            <w:tcW w:w="340" w:type="dxa"/>
            <w:vAlign w:val="bottom"/>
            <w:shd w:val="clear" w:color="auto" w:fill="E5E6E7"/>
          </w:tcPr>
          <w:p>
            <w:pPr>
              <w:spacing w:after="0"/>
              <w:rPr>
                <w:sz w:val="19"/>
                <w:szCs w:val="19"/>
                <w:color w:val="auto"/>
              </w:rPr>
            </w:pPr>
          </w:p>
        </w:tc>
        <w:tc>
          <w:tcPr>
            <w:tcW w:w="620" w:type="dxa"/>
            <w:vAlign w:val="bottom"/>
            <w:shd w:val="clear" w:color="auto" w:fill="E5E6E7"/>
          </w:tcPr>
          <w:p>
            <w:pPr>
              <w:spacing w:after="0"/>
              <w:rPr>
                <w:sz w:val="19"/>
                <w:szCs w:val="19"/>
                <w:color w:val="auto"/>
              </w:rPr>
            </w:pPr>
          </w:p>
        </w:tc>
        <w:tc>
          <w:tcPr>
            <w:tcW w:w="154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54546"/>
              </w:rPr>
              <w:t>1,188</w:t>
            </w:r>
          </w:p>
        </w:tc>
      </w:tr>
      <w:tr>
        <w:trPr>
          <w:trHeight w:val="182"/>
        </w:trPr>
        <w:tc>
          <w:tcPr>
            <w:tcW w:w="4760" w:type="dxa"/>
            <w:vAlign w:val="bottom"/>
            <w:tcBorders>
              <w:top w:val="single" w:sz="8" w:color="E5E6E7"/>
            </w:tcBorders>
          </w:tcPr>
          <w:p>
            <w:pPr>
              <w:spacing w:after="0" w:line="182" w:lineRule="exact"/>
              <w:rPr>
                <w:sz w:val="20"/>
                <w:szCs w:val="20"/>
                <w:color w:val="auto"/>
              </w:rPr>
            </w:pPr>
            <w:r>
              <w:rPr>
                <w:rFonts w:ascii="Times New Roman" w:cs="Times New Roman" w:eastAsia="Times New Roman" w:hAnsi="Times New Roman"/>
                <w:sz w:val="18"/>
                <w:szCs w:val="18"/>
                <w:color w:val="454546"/>
              </w:rPr>
              <w:t>Total deferred tax assets</w:t>
            </w:r>
          </w:p>
        </w:tc>
        <w:tc>
          <w:tcPr>
            <w:tcW w:w="1340" w:type="dxa"/>
            <w:vAlign w:val="bottom"/>
            <w:tcBorders>
              <w:top w:val="single" w:sz="8" w:color="454546"/>
            </w:tcBorders>
          </w:tcPr>
          <w:p>
            <w:pPr>
              <w:spacing w:after="0"/>
              <w:rPr>
                <w:sz w:val="15"/>
                <w:szCs w:val="15"/>
                <w:color w:val="auto"/>
              </w:rPr>
            </w:pPr>
          </w:p>
        </w:tc>
        <w:tc>
          <w:tcPr>
            <w:tcW w:w="740" w:type="dxa"/>
            <w:vAlign w:val="bottom"/>
            <w:tcBorders>
              <w:top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148,527</w:t>
            </w:r>
          </w:p>
        </w:tc>
        <w:tc>
          <w:tcPr>
            <w:tcW w:w="20" w:type="dxa"/>
            <w:vAlign w:val="bottom"/>
            <w:tcBorders>
              <w:top w:val="single" w:sz="8" w:color="E5E6E7"/>
            </w:tcBorders>
          </w:tcPr>
          <w:p>
            <w:pPr>
              <w:spacing w:after="0"/>
              <w:rPr>
                <w:sz w:val="15"/>
                <w:szCs w:val="15"/>
                <w:color w:val="auto"/>
              </w:rPr>
            </w:pPr>
          </w:p>
        </w:tc>
        <w:tc>
          <w:tcPr>
            <w:tcW w:w="340" w:type="dxa"/>
            <w:vAlign w:val="bottom"/>
            <w:tcBorders>
              <w:top w:val="single" w:sz="8" w:color="E5E6E7"/>
            </w:tcBorders>
          </w:tcPr>
          <w:p>
            <w:pPr>
              <w:spacing w:after="0"/>
              <w:rPr>
                <w:sz w:val="15"/>
                <w:szCs w:val="15"/>
                <w:color w:val="auto"/>
              </w:rPr>
            </w:pPr>
          </w:p>
        </w:tc>
        <w:tc>
          <w:tcPr>
            <w:tcW w:w="620" w:type="dxa"/>
            <w:vAlign w:val="bottom"/>
            <w:tcBorders>
              <w:top w:val="single" w:sz="8" w:color="454546"/>
            </w:tcBorders>
          </w:tcPr>
          <w:p>
            <w:pPr>
              <w:spacing w:after="0"/>
              <w:rPr>
                <w:sz w:val="15"/>
                <w:szCs w:val="15"/>
                <w:color w:val="auto"/>
              </w:rPr>
            </w:pPr>
          </w:p>
        </w:tc>
        <w:tc>
          <w:tcPr>
            <w:tcW w:w="1460" w:type="dxa"/>
            <w:vAlign w:val="bottom"/>
            <w:tcBorders>
              <w:top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129,726</w:t>
            </w:r>
          </w:p>
        </w:tc>
        <w:tc>
          <w:tcPr>
            <w:tcW w:w="80" w:type="dxa"/>
            <w:vAlign w:val="bottom"/>
            <w:tcBorders>
              <w:top w:val="single" w:sz="8" w:color="E5E6E7"/>
            </w:tcBorders>
          </w:tcPr>
          <w:p>
            <w:pPr>
              <w:spacing w:after="0"/>
              <w:rPr>
                <w:sz w:val="15"/>
                <w:szCs w:val="15"/>
                <w:color w:val="auto"/>
              </w:rPr>
            </w:pPr>
          </w:p>
        </w:tc>
      </w:tr>
      <w:tr>
        <w:trPr>
          <w:trHeight w:val="227"/>
        </w:trPr>
        <w:tc>
          <w:tcPr>
            <w:tcW w:w="47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Valuation allowance</w:t>
            </w:r>
          </w:p>
        </w:tc>
        <w:tc>
          <w:tcPr>
            <w:tcW w:w="1340" w:type="dxa"/>
            <w:vAlign w:val="bottom"/>
            <w:shd w:val="clear" w:color="auto" w:fill="E5E6E7"/>
          </w:tcPr>
          <w:p>
            <w:pPr>
              <w:spacing w:after="0"/>
              <w:rPr>
                <w:sz w:val="19"/>
                <w:szCs w:val="19"/>
                <w:color w:val="auto"/>
              </w:rPr>
            </w:pPr>
          </w:p>
        </w:tc>
        <w:tc>
          <w:tcPr>
            <w:tcW w:w="1100" w:type="dxa"/>
            <w:vAlign w:val="bottom"/>
            <w:gridSpan w:val="3"/>
            <w:shd w:val="clear" w:color="auto" w:fill="E5E6E7"/>
          </w:tcPr>
          <w:p>
            <w:pPr>
              <w:jc w:val="right"/>
              <w:ind w:right="300"/>
              <w:spacing w:after="0"/>
              <w:rPr>
                <w:sz w:val="20"/>
                <w:szCs w:val="20"/>
                <w:color w:val="auto"/>
              </w:rPr>
            </w:pPr>
            <w:r>
              <w:rPr>
                <w:rFonts w:ascii="Times New Roman" w:cs="Times New Roman" w:eastAsia="Times New Roman" w:hAnsi="Times New Roman"/>
                <w:sz w:val="18"/>
                <w:szCs w:val="18"/>
                <w:color w:val="454546"/>
              </w:rPr>
              <w:t>(146,130)</w:t>
            </w:r>
          </w:p>
        </w:tc>
        <w:tc>
          <w:tcPr>
            <w:tcW w:w="620" w:type="dxa"/>
            <w:vAlign w:val="bottom"/>
            <w:shd w:val="clear" w:color="auto" w:fill="E5E6E7"/>
          </w:tcPr>
          <w:p>
            <w:pPr>
              <w:spacing w:after="0"/>
              <w:rPr>
                <w:sz w:val="19"/>
                <w:szCs w:val="19"/>
                <w:color w:val="auto"/>
              </w:rPr>
            </w:pPr>
          </w:p>
        </w:tc>
        <w:tc>
          <w:tcPr>
            <w:tcW w:w="15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8"/>
                <w:szCs w:val="18"/>
                <w:color w:val="454546"/>
              </w:rPr>
              <w:t>(126,332)</w:t>
            </w:r>
          </w:p>
        </w:tc>
      </w:tr>
      <w:tr>
        <w:trPr>
          <w:trHeight w:val="182"/>
        </w:trPr>
        <w:tc>
          <w:tcPr>
            <w:tcW w:w="4760" w:type="dxa"/>
            <w:vAlign w:val="bottom"/>
            <w:tcBorders>
              <w:top w:val="single" w:sz="8" w:color="E5E6E7"/>
              <w:bottom w:val="single" w:sz="8" w:color="E5E6E7"/>
            </w:tcBorders>
          </w:tcPr>
          <w:p>
            <w:pPr>
              <w:spacing w:after="0" w:line="182" w:lineRule="exact"/>
              <w:rPr>
                <w:sz w:val="20"/>
                <w:szCs w:val="20"/>
                <w:color w:val="auto"/>
              </w:rPr>
            </w:pPr>
            <w:r>
              <w:rPr>
                <w:rFonts w:ascii="Times New Roman" w:cs="Times New Roman" w:eastAsia="Times New Roman" w:hAnsi="Times New Roman"/>
                <w:sz w:val="18"/>
                <w:szCs w:val="18"/>
                <w:color w:val="454546"/>
              </w:rPr>
              <w:t>Deferred tax assets, net of valuation allowance</w:t>
            </w:r>
          </w:p>
        </w:tc>
        <w:tc>
          <w:tcPr>
            <w:tcW w:w="1340" w:type="dxa"/>
            <w:vAlign w:val="bottom"/>
            <w:tcBorders>
              <w:top w:val="single" w:sz="8" w:color="454546"/>
              <w:bottom w:val="single" w:sz="8" w:color="454546"/>
            </w:tcBorders>
          </w:tcPr>
          <w:p>
            <w:pPr>
              <w:spacing w:after="0"/>
              <w:rPr>
                <w:sz w:val="15"/>
                <w:szCs w:val="15"/>
                <w:color w:val="auto"/>
              </w:rPr>
            </w:pPr>
          </w:p>
        </w:tc>
        <w:tc>
          <w:tcPr>
            <w:tcW w:w="740" w:type="dxa"/>
            <w:vAlign w:val="bottom"/>
            <w:tcBorders>
              <w:top w:val="single" w:sz="8" w:color="454546"/>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2,397</w:t>
            </w:r>
          </w:p>
        </w:tc>
        <w:tc>
          <w:tcPr>
            <w:tcW w:w="20" w:type="dxa"/>
            <w:vAlign w:val="bottom"/>
            <w:tcBorders>
              <w:top w:val="single" w:sz="8" w:color="E5E6E7"/>
              <w:bottom w:val="single" w:sz="8" w:color="E5E6E7"/>
            </w:tcBorders>
          </w:tcPr>
          <w:p>
            <w:pPr>
              <w:spacing w:after="0"/>
              <w:rPr>
                <w:sz w:val="15"/>
                <w:szCs w:val="15"/>
                <w:color w:val="auto"/>
              </w:rPr>
            </w:pPr>
          </w:p>
        </w:tc>
        <w:tc>
          <w:tcPr>
            <w:tcW w:w="340" w:type="dxa"/>
            <w:vAlign w:val="bottom"/>
            <w:tcBorders>
              <w:top w:val="single" w:sz="8" w:color="E5E6E7"/>
              <w:bottom w:val="single" w:sz="8" w:color="E5E6E7"/>
            </w:tcBorders>
          </w:tcPr>
          <w:p>
            <w:pPr>
              <w:spacing w:after="0"/>
              <w:rPr>
                <w:sz w:val="15"/>
                <w:szCs w:val="15"/>
                <w:color w:val="auto"/>
              </w:rPr>
            </w:pPr>
          </w:p>
        </w:tc>
        <w:tc>
          <w:tcPr>
            <w:tcW w:w="620" w:type="dxa"/>
            <w:vAlign w:val="bottom"/>
            <w:tcBorders>
              <w:top w:val="single" w:sz="8" w:color="454546"/>
              <w:bottom w:val="single" w:sz="8" w:color="454546"/>
            </w:tcBorders>
          </w:tcPr>
          <w:p>
            <w:pPr>
              <w:spacing w:after="0"/>
              <w:rPr>
                <w:sz w:val="15"/>
                <w:szCs w:val="15"/>
                <w:color w:val="auto"/>
              </w:rPr>
            </w:pPr>
          </w:p>
        </w:tc>
        <w:tc>
          <w:tcPr>
            <w:tcW w:w="1460" w:type="dxa"/>
            <w:vAlign w:val="bottom"/>
            <w:tcBorders>
              <w:top w:val="single" w:sz="8" w:color="454546"/>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3,394</w:t>
            </w:r>
          </w:p>
        </w:tc>
        <w:tc>
          <w:tcPr>
            <w:tcW w:w="80" w:type="dxa"/>
            <w:vAlign w:val="bottom"/>
            <w:tcBorders>
              <w:top w:val="single" w:sz="8" w:color="E5E6E7"/>
              <w:bottom w:val="single" w:sz="8" w:color="E5E6E7"/>
            </w:tcBorders>
          </w:tcPr>
          <w:p>
            <w:pPr>
              <w:spacing w:after="0"/>
              <w:rPr>
                <w:sz w:val="15"/>
                <w:szCs w:val="15"/>
                <w:color w:val="auto"/>
              </w:rPr>
            </w:pPr>
          </w:p>
        </w:tc>
      </w:tr>
      <w:tr>
        <w:trPr>
          <w:trHeight w:val="202"/>
        </w:trPr>
        <w:tc>
          <w:tcPr>
            <w:tcW w:w="4760" w:type="dxa"/>
            <w:vAlign w:val="bottom"/>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Deferred tax liabilities:</w:t>
            </w:r>
          </w:p>
        </w:tc>
        <w:tc>
          <w:tcPr>
            <w:tcW w:w="1340" w:type="dxa"/>
            <w:vAlign w:val="bottom"/>
            <w:shd w:val="clear" w:color="auto" w:fill="E5E6E7"/>
          </w:tcPr>
          <w:p>
            <w:pPr>
              <w:spacing w:after="0"/>
              <w:rPr>
                <w:sz w:val="17"/>
                <w:szCs w:val="17"/>
                <w:color w:val="auto"/>
              </w:rPr>
            </w:pPr>
          </w:p>
        </w:tc>
        <w:tc>
          <w:tcPr>
            <w:tcW w:w="7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340" w:type="dxa"/>
            <w:vAlign w:val="bottom"/>
            <w:shd w:val="clear" w:color="auto" w:fill="E5E6E7"/>
          </w:tcPr>
          <w:p>
            <w:pPr>
              <w:spacing w:after="0"/>
              <w:rPr>
                <w:sz w:val="17"/>
                <w:szCs w:val="17"/>
                <w:color w:val="auto"/>
              </w:rPr>
            </w:pPr>
          </w:p>
        </w:tc>
        <w:tc>
          <w:tcPr>
            <w:tcW w:w="620" w:type="dxa"/>
            <w:vAlign w:val="bottom"/>
            <w:shd w:val="clear" w:color="auto" w:fill="E5E6E7"/>
          </w:tcPr>
          <w:p>
            <w:pPr>
              <w:spacing w:after="0"/>
              <w:rPr>
                <w:sz w:val="17"/>
                <w:szCs w:val="17"/>
                <w:color w:val="auto"/>
              </w:rPr>
            </w:pPr>
          </w:p>
        </w:tc>
        <w:tc>
          <w:tcPr>
            <w:tcW w:w="146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r>
      <w:tr>
        <w:trPr>
          <w:trHeight w:val="207"/>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Right-of-use asset</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(1,978)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(2,500)</w:t>
            </w:r>
          </w:p>
        </w:tc>
        <w:tc>
          <w:tcPr>
            <w:tcW w:w="80" w:type="dxa"/>
            <w:vAlign w:val="bottom"/>
          </w:tcPr>
          <w:p>
            <w:pPr>
              <w:spacing w:after="0"/>
              <w:rPr>
                <w:sz w:val="17"/>
                <w:szCs w:val="17"/>
                <w:color w:val="auto"/>
              </w:rPr>
            </w:pPr>
          </w:p>
        </w:tc>
      </w:tr>
      <w:tr>
        <w:trPr>
          <w:trHeight w:val="227"/>
        </w:trPr>
        <w:tc>
          <w:tcPr>
            <w:tcW w:w="47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Property and equipment</w:t>
            </w:r>
          </w:p>
        </w:tc>
        <w:tc>
          <w:tcPr>
            <w:tcW w:w="1340" w:type="dxa"/>
            <w:vAlign w:val="bottom"/>
            <w:shd w:val="clear" w:color="auto" w:fill="E5E6E7"/>
          </w:tcPr>
          <w:p>
            <w:pPr>
              <w:spacing w:after="0"/>
              <w:rPr>
                <w:sz w:val="19"/>
                <w:szCs w:val="19"/>
                <w:color w:val="auto"/>
              </w:rPr>
            </w:pPr>
          </w:p>
        </w:tc>
        <w:tc>
          <w:tcPr>
            <w:tcW w:w="1100" w:type="dxa"/>
            <w:vAlign w:val="bottom"/>
            <w:gridSpan w:val="3"/>
            <w:shd w:val="clear" w:color="auto" w:fill="E5E6E7"/>
          </w:tcPr>
          <w:p>
            <w:pPr>
              <w:jc w:val="right"/>
              <w:ind w:right="300"/>
              <w:spacing w:after="0"/>
              <w:rPr>
                <w:sz w:val="20"/>
                <w:szCs w:val="20"/>
                <w:color w:val="auto"/>
              </w:rPr>
            </w:pPr>
            <w:r>
              <w:rPr>
                <w:rFonts w:ascii="Times New Roman" w:cs="Times New Roman" w:eastAsia="Times New Roman" w:hAnsi="Times New Roman"/>
                <w:sz w:val="18"/>
                <w:szCs w:val="18"/>
                <w:color w:val="454546"/>
              </w:rPr>
              <w:t>(419)</w:t>
            </w:r>
          </w:p>
        </w:tc>
        <w:tc>
          <w:tcPr>
            <w:tcW w:w="620" w:type="dxa"/>
            <w:vAlign w:val="bottom"/>
            <w:shd w:val="clear" w:color="auto" w:fill="E5E6E7"/>
          </w:tcPr>
          <w:p>
            <w:pPr>
              <w:spacing w:after="0"/>
              <w:rPr>
                <w:sz w:val="19"/>
                <w:szCs w:val="19"/>
                <w:color w:val="auto"/>
              </w:rPr>
            </w:pPr>
          </w:p>
        </w:tc>
        <w:tc>
          <w:tcPr>
            <w:tcW w:w="15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8"/>
                <w:szCs w:val="18"/>
                <w:color w:val="454546"/>
              </w:rPr>
              <w:t>(894)</w:t>
            </w:r>
          </w:p>
        </w:tc>
      </w:tr>
      <w:tr>
        <w:trPr>
          <w:trHeight w:val="182"/>
        </w:trPr>
        <w:tc>
          <w:tcPr>
            <w:tcW w:w="4760" w:type="dxa"/>
            <w:vAlign w:val="bottom"/>
            <w:tcBorders>
              <w:top w:val="single" w:sz="8" w:color="E5E6E7"/>
            </w:tcBorders>
          </w:tcPr>
          <w:p>
            <w:pPr>
              <w:spacing w:after="0" w:line="182" w:lineRule="exact"/>
              <w:rPr>
                <w:sz w:val="20"/>
                <w:szCs w:val="20"/>
                <w:color w:val="auto"/>
              </w:rPr>
            </w:pPr>
            <w:r>
              <w:rPr>
                <w:rFonts w:ascii="Times New Roman" w:cs="Times New Roman" w:eastAsia="Times New Roman" w:hAnsi="Times New Roman"/>
                <w:sz w:val="18"/>
                <w:szCs w:val="18"/>
                <w:color w:val="454546"/>
              </w:rPr>
              <w:t>Net deferred tax assets</w:t>
            </w:r>
          </w:p>
        </w:tc>
        <w:tc>
          <w:tcPr>
            <w:tcW w:w="1340" w:type="dxa"/>
            <w:vAlign w:val="bottom"/>
            <w:tcBorders>
              <w:top w:val="single" w:sz="8" w:color="454546"/>
              <w:bottom w:val="single" w:sz="8" w:color="454546"/>
            </w:tcBorders>
          </w:tcPr>
          <w:p>
            <w:pPr>
              <w:jc w:val="right"/>
              <w:ind w:right="1150"/>
              <w:spacing w:after="0" w:line="182" w:lineRule="exact"/>
              <w:rPr>
                <w:sz w:val="20"/>
                <w:szCs w:val="20"/>
                <w:color w:val="auto"/>
              </w:rPr>
            </w:pPr>
            <w:r>
              <w:rPr>
                <w:rFonts w:ascii="Times New Roman" w:cs="Times New Roman" w:eastAsia="Times New Roman" w:hAnsi="Times New Roman"/>
                <w:sz w:val="18"/>
                <w:szCs w:val="18"/>
                <w:color w:val="454546"/>
                <w:w w:val="88"/>
              </w:rPr>
              <w:t>$</w:t>
            </w:r>
          </w:p>
        </w:tc>
        <w:tc>
          <w:tcPr>
            <w:tcW w:w="740" w:type="dxa"/>
            <w:vAlign w:val="bottom"/>
            <w:tcBorders>
              <w:top w:val="single" w:sz="8" w:color="454546"/>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w:t>
            </w:r>
          </w:p>
        </w:tc>
        <w:tc>
          <w:tcPr>
            <w:tcW w:w="20" w:type="dxa"/>
            <w:vAlign w:val="bottom"/>
            <w:tcBorders>
              <w:top w:val="single" w:sz="8" w:color="E5E6E7"/>
            </w:tcBorders>
          </w:tcPr>
          <w:p>
            <w:pPr>
              <w:spacing w:after="0"/>
              <w:rPr>
                <w:sz w:val="15"/>
                <w:szCs w:val="15"/>
                <w:color w:val="auto"/>
              </w:rPr>
            </w:pPr>
          </w:p>
        </w:tc>
        <w:tc>
          <w:tcPr>
            <w:tcW w:w="340" w:type="dxa"/>
            <w:vAlign w:val="bottom"/>
            <w:tcBorders>
              <w:top w:val="single" w:sz="8" w:color="E5E6E7"/>
            </w:tcBorders>
          </w:tcPr>
          <w:p>
            <w:pPr>
              <w:spacing w:after="0"/>
              <w:rPr>
                <w:sz w:val="15"/>
                <w:szCs w:val="15"/>
                <w:color w:val="auto"/>
              </w:rPr>
            </w:pPr>
          </w:p>
        </w:tc>
        <w:tc>
          <w:tcPr>
            <w:tcW w:w="620" w:type="dxa"/>
            <w:vAlign w:val="bottom"/>
            <w:tcBorders>
              <w:top w:val="single" w:sz="8" w:color="454546"/>
              <w:bottom w:val="single" w:sz="8" w:color="454546"/>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454546"/>
                <w:w w:val="88"/>
              </w:rPr>
              <w:t>$</w:t>
            </w:r>
          </w:p>
        </w:tc>
        <w:tc>
          <w:tcPr>
            <w:tcW w:w="1460" w:type="dxa"/>
            <w:vAlign w:val="bottom"/>
            <w:tcBorders>
              <w:top w:val="single" w:sz="8" w:color="454546"/>
              <w:bottom w:val="single" w:sz="8" w:color="454546"/>
            </w:tcBorders>
          </w:tcPr>
          <w:p>
            <w:pPr>
              <w:jc w:val="right"/>
              <w:spacing w:after="0" w:line="182" w:lineRule="exact"/>
              <w:rPr>
                <w:sz w:val="20"/>
                <w:szCs w:val="20"/>
                <w:color w:val="auto"/>
              </w:rPr>
            </w:pPr>
            <w:r>
              <w:rPr>
                <w:rFonts w:ascii="Times New Roman" w:cs="Times New Roman" w:eastAsia="Times New Roman" w:hAnsi="Times New Roman"/>
                <w:sz w:val="18"/>
                <w:szCs w:val="18"/>
                <w:color w:val="454546"/>
              </w:rPr>
              <w:t>—</w:t>
            </w:r>
          </w:p>
        </w:tc>
        <w:tc>
          <w:tcPr>
            <w:tcW w:w="80" w:type="dxa"/>
            <w:vAlign w:val="bottom"/>
            <w:tcBorders>
              <w:top w:val="single" w:sz="8" w:color="E5E6E7"/>
            </w:tcBorders>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454546"/>
            </w:tcBorders>
          </w:tcPr>
          <w:p>
            <w:pPr>
              <w:spacing w:after="0" w:line="20" w:lineRule="exact"/>
              <w:rPr>
                <w:sz w:val="1"/>
                <w:szCs w:val="1"/>
                <w:color w:val="auto"/>
              </w:rPr>
            </w:pPr>
          </w:p>
        </w:tc>
        <w:tc>
          <w:tcPr>
            <w:tcW w:w="14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127</w:t>
      </w:r>
    </w:p>
    <w:p>
      <w:pPr>
        <w:sectPr>
          <w:pgSz w:w="12240" w:h="15840" w:orient="portrait"/>
          <w:cols w:equalWidth="0" w:num="1">
            <w:col w:w="9360"/>
          </w:cols>
          <w:pgMar w:left="1440" w:top="1420" w:right="1440" w:bottom="175" w:gutter="0" w:footer="0" w:header="0"/>
          <w:type w:val="continuous"/>
        </w:sectPr>
      </w:pPr>
    </w:p>
    <w:bookmarkStart w:id="129" w:name="page130"/>
    <w:bookmarkEnd w:id="129"/>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Beginning January 1, 2022, the Tax Cuts and Jobs Act eliminated the option to deduct research and development expenditures in the current year and requires taxpayers to capitalize such expenses pursuant to Internal Revenue Code of 1986, as amended (IRC) Section 174. The capitalized expenses are amortized over a 5-year period for domestic expenses and a 15-year period for foreign expenses. In July 2025, legislation commonly referred to as the One Big Beautiful Bill Act (“OBBBA”) was enacted, which includes provisions affecting U.S. corporate income tax laws, including changes related to the treatment of domestic research and development expenditures. Certain provisions of the OBBBA are effective for tax years beginning after December 31, 2025, while others are effective in 2025. Additionally, the OBBBA allows immediate deduction of domestic research and development expenditures under Section 174 for tax years beginning after December 31, 2024. The Company has reflected the effects of the enactment of OBBBA for the fiscal year ended December 31, 2025. The Company will continue to evaluate the impact of enacted tax law changes on future periods.</w:t>
      </w:r>
    </w:p>
    <w:p>
      <w:pPr>
        <w:spacing w:after="0" w:line="8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The tax benefit of net operating losses, capitalized research expenses,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$19.8 million and $25.0 million during the years ended December 31, 2025 and 2024, respectively. The increase in valuation allowance during the year ended December 31, 2025, was primarily due to the increase in deferred tax assets from 2025 federal net operating losses.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Net Operating Loss and Tax Credit Carryforwards</w:t>
      </w:r>
    </w:p>
    <w:p>
      <w:pPr>
        <w:spacing w:after="0" w:line="120"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454546"/>
        </w:rPr>
        <w:t>As of December 31, 2025, the Company’s net operating loss and tax carryforwards are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b w:val="1"/>
                <w:bCs w:val="1"/>
                <w:color w:val="454546"/>
              </w:rPr>
              <w:t>(In thousands)</w:t>
            </w:r>
          </w:p>
        </w:tc>
        <w:tc>
          <w:tcPr>
            <w:tcW w:w="14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b w:val="1"/>
                <w:bCs w:val="1"/>
                <w:color w:val="454546"/>
              </w:rPr>
              <w:t>Amount</w:t>
            </w:r>
          </w:p>
        </w:tc>
        <w:tc>
          <w:tcPr>
            <w:tcW w:w="660" w:type="dxa"/>
            <w:vAlign w:val="bottom"/>
            <w:tcBorders>
              <w:bottom w:val="single" w:sz="8" w:color="454546"/>
            </w:tcBorders>
          </w:tcPr>
          <w:p>
            <w:pPr>
              <w:spacing w:after="0"/>
              <w:rPr>
                <w:sz w:val="19"/>
                <w:szCs w:val="19"/>
                <w:color w:val="auto"/>
              </w:rPr>
            </w:pPr>
          </w:p>
        </w:tc>
        <w:tc>
          <w:tcPr>
            <w:tcW w:w="360" w:type="dxa"/>
            <w:vAlign w:val="bottom"/>
            <w:tcBorders>
              <w:bottom w:val="single" w:sz="8" w:color="E5E6E7"/>
            </w:tcBorders>
          </w:tcPr>
          <w:p>
            <w:pPr>
              <w:spacing w:after="0"/>
              <w:rPr>
                <w:sz w:val="19"/>
                <w:szCs w:val="19"/>
                <w:color w:val="auto"/>
              </w:rPr>
            </w:pPr>
          </w:p>
        </w:tc>
        <w:tc>
          <w:tcPr>
            <w:tcW w:w="2120" w:type="dxa"/>
            <w:vAlign w:val="bottom"/>
            <w:tcBorders>
              <w:bottom w:val="single" w:sz="8" w:color="454546"/>
            </w:tcBorders>
          </w:tcPr>
          <w:p>
            <w:pPr>
              <w:ind w:left="320"/>
              <w:spacing w:after="0"/>
              <w:rPr>
                <w:sz w:val="20"/>
                <w:szCs w:val="20"/>
                <w:color w:val="auto"/>
              </w:rPr>
            </w:pPr>
            <w:r>
              <w:rPr>
                <w:rFonts w:ascii="Times New Roman" w:cs="Times New Roman" w:eastAsia="Times New Roman" w:hAnsi="Times New Roman"/>
                <w:sz w:val="18"/>
                <w:szCs w:val="18"/>
                <w:b w:val="1"/>
                <w:bCs w:val="1"/>
                <w:color w:val="454546"/>
              </w:rPr>
              <w:t>Expiration in years</w:t>
            </w:r>
          </w:p>
        </w:tc>
      </w:tr>
      <w:tr>
        <w:trPr>
          <w:trHeight w:val="202"/>
        </w:trPr>
        <w:tc>
          <w:tcPr>
            <w:tcW w:w="4780" w:type="dxa"/>
            <w:vAlign w:val="bottom"/>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Net operating losses, federal (post-December 31, 2017)</w:t>
            </w:r>
          </w:p>
        </w:tc>
        <w:tc>
          <w:tcPr>
            <w:tcW w:w="1440" w:type="dxa"/>
            <w:vAlign w:val="bottom"/>
            <w:shd w:val="clear" w:color="auto" w:fill="E5E6E7"/>
          </w:tcPr>
          <w:p>
            <w:pPr>
              <w:jc w:val="right"/>
              <w:ind w:right="1250"/>
              <w:spacing w:after="0" w:line="202" w:lineRule="exact"/>
              <w:rPr>
                <w:sz w:val="20"/>
                <w:szCs w:val="20"/>
                <w:color w:val="auto"/>
              </w:rPr>
            </w:pPr>
            <w:r>
              <w:rPr>
                <w:rFonts w:ascii="Times New Roman" w:cs="Times New Roman" w:eastAsia="Times New Roman" w:hAnsi="Times New Roman"/>
                <w:sz w:val="18"/>
                <w:szCs w:val="18"/>
                <w:color w:val="454546"/>
                <w:w w:val="88"/>
              </w:rPr>
              <w:t>$</w:t>
            </w:r>
          </w:p>
        </w:tc>
        <w:tc>
          <w:tcPr>
            <w:tcW w:w="660" w:type="dxa"/>
            <w:vAlign w:val="bottom"/>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411,375</w:t>
            </w:r>
          </w:p>
        </w:tc>
        <w:tc>
          <w:tcPr>
            <w:tcW w:w="360" w:type="dxa"/>
            <w:vAlign w:val="bottom"/>
            <w:shd w:val="clear" w:color="auto" w:fill="E5E6E7"/>
          </w:tcPr>
          <w:p>
            <w:pPr>
              <w:spacing w:after="0"/>
              <w:rPr>
                <w:sz w:val="17"/>
                <w:szCs w:val="17"/>
                <w:color w:val="auto"/>
              </w:rPr>
            </w:pPr>
          </w:p>
        </w:tc>
        <w:tc>
          <w:tcPr>
            <w:tcW w:w="2120" w:type="dxa"/>
            <w:vAlign w:val="bottom"/>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Do Not Expire</w:t>
            </w:r>
          </w:p>
        </w:tc>
      </w:tr>
      <w:tr>
        <w:trPr>
          <w:trHeight w:val="20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454546"/>
              </w:rPr>
              <w:t>Net operating losses, federal (pre-January 1, 2018)</w:t>
            </w: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454546"/>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3,093</w:t>
            </w:r>
          </w:p>
        </w:tc>
        <w:tc>
          <w:tcPr>
            <w:tcW w:w="36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454546"/>
              </w:rPr>
              <w:t>2036 - 2037</w:t>
            </w:r>
          </w:p>
        </w:tc>
      </w:tr>
      <w:tr>
        <w:trPr>
          <w:trHeight w:val="207"/>
        </w:trPr>
        <w:tc>
          <w:tcPr>
            <w:tcW w:w="478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Net operating losses, state</w:t>
            </w:r>
          </w:p>
        </w:tc>
        <w:tc>
          <w:tcPr>
            <w:tcW w:w="1440" w:type="dxa"/>
            <w:vAlign w:val="bottom"/>
            <w:shd w:val="clear" w:color="auto" w:fill="E5E6E7"/>
          </w:tcPr>
          <w:p>
            <w:pPr>
              <w:jc w:val="right"/>
              <w:ind w:right="1250"/>
              <w:spacing w:after="0"/>
              <w:rPr>
                <w:sz w:val="20"/>
                <w:szCs w:val="20"/>
                <w:color w:val="auto"/>
              </w:rPr>
            </w:pPr>
            <w:r>
              <w:rPr>
                <w:rFonts w:ascii="Times New Roman" w:cs="Times New Roman" w:eastAsia="Times New Roman" w:hAnsi="Times New Roman"/>
                <w:sz w:val="18"/>
                <w:szCs w:val="18"/>
                <w:color w:val="454546"/>
                <w:w w:val="88"/>
              </w:rPr>
              <w:t>$</w:t>
            </w: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63,520</w:t>
            </w:r>
          </w:p>
        </w:tc>
        <w:tc>
          <w:tcPr>
            <w:tcW w:w="360" w:type="dxa"/>
            <w:vAlign w:val="bottom"/>
            <w:shd w:val="clear" w:color="auto" w:fill="E5E6E7"/>
          </w:tcPr>
          <w:p>
            <w:pPr>
              <w:spacing w:after="0"/>
              <w:rPr>
                <w:sz w:val="17"/>
                <w:szCs w:val="17"/>
                <w:color w:val="auto"/>
              </w:rPr>
            </w:pPr>
          </w:p>
        </w:tc>
        <w:tc>
          <w:tcPr>
            <w:tcW w:w="21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2036 - 2040</w:t>
            </w:r>
          </w:p>
        </w:tc>
      </w:tr>
      <w:tr>
        <w:trPr>
          <w:trHeight w:val="20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454546"/>
              </w:rPr>
              <w:t>Tax credits, federal</w:t>
            </w: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454546"/>
                <w:w w:val="88"/>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454546"/>
              </w:rPr>
              <w:t>22,306</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454546"/>
              </w:rPr>
              <w:t>2040 - 2044</w:t>
            </w:r>
          </w:p>
        </w:tc>
      </w:tr>
      <w:tr>
        <w:trPr>
          <w:trHeight w:val="207"/>
        </w:trPr>
        <w:tc>
          <w:tcPr>
            <w:tcW w:w="478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Tax credits, state</w:t>
            </w:r>
          </w:p>
        </w:tc>
        <w:tc>
          <w:tcPr>
            <w:tcW w:w="1440" w:type="dxa"/>
            <w:vAlign w:val="bottom"/>
            <w:shd w:val="clear" w:color="auto" w:fill="E5E6E7"/>
          </w:tcPr>
          <w:p>
            <w:pPr>
              <w:jc w:val="right"/>
              <w:ind w:right="1250"/>
              <w:spacing w:after="0"/>
              <w:rPr>
                <w:sz w:val="20"/>
                <w:szCs w:val="20"/>
                <w:color w:val="auto"/>
              </w:rPr>
            </w:pPr>
            <w:r>
              <w:rPr>
                <w:rFonts w:ascii="Times New Roman" w:cs="Times New Roman" w:eastAsia="Times New Roman" w:hAnsi="Times New Roman"/>
                <w:sz w:val="18"/>
                <w:szCs w:val="18"/>
                <w:color w:val="454546"/>
                <w:w w:val="88"/>
              </w:rPr>
              <w:t>$</w:t>
            </w:r>
          </w:p>
        </w:tc>
        <w:tc>
          <w:tcPr>
            <w:tcW w:w="1020" w:type="dxa"/>
            <w:vAlign w:val="bottom"/>
            <w:gridSpan w:val="2"/>
            <w:shd w:val="clear" w:color="auto" w:fill="E5E6E7"/>
          </w:tcPr>
          <w:p>
            <w:pPr>
              <w:jc w:val="right"/>
              <w:ind w:right="360"/>
              <w:spacing w:after="0"/>
              <w:rPr>
                <w:sz w:val="20"/>
                <w:szCs w:val="20"/>
                <w:color w:val="auto"/>
              </w:rPr>
            </w:pPr>
            <w:r>
              <w:rPr>
                <w:rFonts w:ascii="Times New Roman" w:cs="Times New Roman" w:eastAsia="Times New Roman" w:hAnsi="Times New Roman"/>
                <w:sz w:val="18"/>
                <w:szCs w:val="18"/>
                <w:color w:val="454546"/>
              </w:rPr>
              <w:t>8,880</w:t>
            </w:r>
          </w:p>
        </w:tc>
        <w:tc>
          <w:tcPr>
            <w:tcW w:w="212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Do Not Expire</w:t>
            </w:r>
          </w:p>
        </w:tc>
      </w:tr>
    </w:tbl>
    <w:p>
      <w:pPr>
        <w:spacing w:after="0" w:line="10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Under Section 382 of the IRC,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The Company has not completed a detailed analysis under Section 382. Based on a preliminary assessment, changes in ownership may have occurred that could result in limitations on the utilization of net operating loss carryforwards and other tax attributes. However, the extent of any such limitation has not been determined. The Company will continue to monitor ownership changes and evaluate the impact of Section 382 on its tax attributes. The Company’s ability to use its remaining net operating loss carryforwards may be further limited if the Company experiences a Section 382 ownership change as a result of future changes in its stock ownership. Any such limitation is not expected to have a material impact on the Company’s financial statements due to the full valuation allowance recorded against its deferred tax assets.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Unrecognized Tax Benefits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A reconciliation of the beginning and ending amount of unrecognized tax benefits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Pr>
          <w:p>
            <w:pPr>
              <w:spacing w:after="0"/>
              <w:rPr>
                <w:sz w:val="19"/>
                <w:szCs w:val="19"/>
                <w:color w:val="auto"/>
              </w:rPr>
            </w:pPr>
          </w:p>
        </w:tc>
        <w:tc>
          <w:tcPr>
            <w:tcW w:w="1460" w:type="dxa"/>
            <w:vAlign w:val="bottom"/>
            <w:tcBorders>
              <w:bottom w:val="single" w:sz="8" w:color="454546"/>
            </w:tcBorders>
          </w:tcPr>
          <w:p>
            <w:pPr>
              <w:spacing w:after="0"/>
              <w:rPr>
                <w:sz w:val="19"/>
                <w:szCs w:val="19"/>
                <w:color w:val="auto"/>
              </w:rPr>
            </w:pPr>
          </w:p>
        </w:tc>
        <w:tc>
          <w:tcPr>
            <w:tcW w:w="1620" w:type="dxa"/>
            <w:vAlign w:val="bottom"/>
            <w:tcBorders>
              <w:bottom w:val="single" w:sz="8" w:color="454546"/>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454546"/>
              </w:rPr>
              <w:t>December 31,</w:t>
            </w:r>
          </w:p>
        </w:tc>
        <w:tc>
          <w:tcPr>
            <w:tcW w:w="1460" w:type="dxa"/>
            <w:vAlign w:val="bottom"/>
            <w:tcBorders>
              <w:bottom w:val="single" w:sz="8" w:color="454546"/>
            </w:tcBorders>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4760" w:type="dxa"/>
            <w:vAlign w:val="bottom"/>
          </w:tcPr>
          <w:p>
            <w:pPr>
              <w:spacing w:after="0"/>
              <w:rPr>
                <w:sz w:val="17"/>
                <w:szCs w:val="17"/>
                <w:color w:val="auto"/>
              </w:rPr>
            </w:pPr>
          </w:p>
        </w:tc>
        <w:tc>
          <w:tcPr>
            <w:tcW w:w="1460" w:type="dxa"/>
            <w:vAlign w:val="bottom"/>
            <w:tcBorders>
              <w:bottom w:val="single" w:sz="8" w:color="454546"/>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454546"/>
              </w:rPr>
              <w:t>2025</w:t>
            </w:r>
          </w:p>
        </w:tc>
        <w:tc>
          <w:tcPr>
            <w:tcW w:w="640" w:type="dxa"/>
            <w:vAlign w:val="bottom"/>
            <w:tcBorders>
              <w:bottom w:val="single" w:sz="8" w:color="454546"/>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Borders>
              <w:bottom w:val="single" w:sz="8" w:color="454546"/>
            </w:tcBorders>
          </w:tcPr>
          <w:p>
            <w:pPr>
              <w:spacing w:after="0"/>
              <w:rPr>
                <w:sz w:val="17"/>
                <w:szCs w:val="17"/>
                <w:color w:val="auto"/>
              </w:rPr>
            </w:pPr>
          </w:p>
        </w:tc>
        <w:tc>
          <w:tcPr>
            <w:tcW w:w="1460" w:type="dxa"/>
            <w:vAlign w:val="bottom"/>
            <w:tcBorders>
              <w:bottom w:val="single" w:sz="8" w:color="454546"/>
            </w:tcBorders>
          </w:tcPr>
          <w:p>
            <w:pPr>
              <w:jc w:val="right"/>
              <w:ind w:right="770"/>
              <w:spacing w:after="0" w:line="202" w:lineRule="exact"/>
              <w:rPr>
                <w:sz w:val="20"/>
                <w:szCs w:val="20"/>
                <w:color w:val="auto"/>
              </w:rPr>
            </w:pPr>
            <w:r>
              <w:rPr>
                <w:rFonts w:ascii="Times New Roman" w:cs="Times New Roman" w:eastAsia="Times New Roman" w:hAnsi="Times New Roman"/>
                <w:sz w:val="18"/>
                <w:szCs w:val="18"/>
                <w:b w:val="1"/>
                <w:bCs w:val="1"/>
                <w:color w:val="454546"/>
              </w:rPr>
              <w:t>2024</w:t>
            </w:r>
          </w:p>
        </w:tc>
        <w:tc>
          <w:tcPr>
            <w:tcW w:w="60" w:type="dxa"/>
            <w:vAlign w:val="bottom"/>
          </w:tcPr>
          <w:p>
            <w:pPr>
              <w:spacing w:after="0"/>
              <w:rPr>
                <w:sz w:val="17"/>
                <w:szCs w:val="17"/>
                <w:color w:val="auto"/>
              </w:rPr>
            </w:pPr>
          </w:p>
        </w:tc>
      </w:tr>
      <w:tr>
        <w:trPr>
          <w:trHeight w:val="202"/>
        </w:trPr>
        <w:tc>
          <w:tcPr>
            <w:tcW w:w="4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454546"/>
              </w:rPr>
              <w:t>(In</w:t>
            </w:r>
          </w:p>
        </w:tc>
        <w:tc>
          <w:tcPr>
            <w:tcW w:w="980" w:type="dxa"/>
            <w:vAlign w:val="bottom"/>
            <w:gridSpan w:val="2"/>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454546"/>
                <w:w w:val="85"/>
              </w:rPr>
              <w:t>thousands)</w:t>
            </w: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47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Balance at beginning of year</w:t>
            </w:r>
          </w:p>
        </w:tc>
        <w:tc>
          <w:tcPr>
            <w:tcW w:w="1460" w:type="dxa"/>
            <w:vAlign w:val="bottom"/>
            <w:shd w:val="clear" w:color="auto" w:fill="E5E6E7"/>
          </w:tcPr>
          <w:p>
            <w:pPr>
              <w:jc w:val="right"/>
              <w:ind w:right="1270"/>
              <w:spacing w:after="0"/>
              <w:rPr>
                <w:sz w:val="20"/>
                <w:szCs w:val="20"/>
                <w:color w:val="auto"/>
              </w:rPr>
            </w:pPr>
            <w:r>
              <w:rPr>
                <w:rFonts w:ascii="Times New Roman" w:cs="Times New Roman" w:eastAsia="Times New Roman" w:hAnsi="Times New Roman"/>
                <w:sz w:val="18"/>
                <w:szCs w:val="18"/>
                <w:color w:val="454546"/>
                <w:w w:val="88"/>
              </w:rPr>
              <w:t>$</w:t>
            </w:r>
          </w:p>
        </w:tc>
        <w:tc>
          <w:tcPr>
            <w:tcW w:w="1000" w:type="dxa"/>
            <w:vAlign w:val="bottom"/>
            <w:gridSpan w:val="2"/>
            <w:shd w:val="clear" w:color="auto" w:fill="E5E6E7"/>
          </w:tcPr>
          <w:p>
            <w:pPr>
              <w:jc w:val="right"/>
              <w:ind w:right="270"/>
              <w:spacing w:after="0"/>
              <w:rPr>
                <w:sz w:val="20"/>
                <w:szCs w:val="20"/>
                <w:color w:val="auto"/>
              </w:rPr>
            </w:pPr>
            <w:r>
              <w:rPr>
                <w:rFonts w:ascii="Times New Roman" w:cs="Times New Roman" w:eastAsia="Times New Roman" w:hAnsi="Times New Roman"/>
                <w:sz w:val="18"/>
                <w:szCs w:val="18"/>
                <w:color w:val="454546"/>
              </w:rPr>
              <w:t>6,357</w:t>
            </w:r>
          </w:p>
        </w:tc>
        <w:tc>
          <w:tcPr>
            <w:tcW w:w="620" w:type="dxa"/>
            <w:vAlign w:val="bottom"/>
            <w:shd w:val="clear" w:color="auto" w:fill="E5E6E7"/>
          </w:tcPr>
          <w:p>
            <w:pPr>
              <w:jc w:val="right"/>
              <w:ind w:right="430"/>
              <w:spacing w:after="0"/>
              <w:rPr>
                <w:sz w:val="20"/>
                <w:szCs w:val="20"/>
                <w:color w:val="auto"/>
              </w:rPr>
            </w:pPr>
            <w:r>
              <w:rPr>
                <w:rFonts w:ascii="Times New Roman" w:cs="Times New Roman" w:eastAsia="Times New Roman" w:hAnsi="Times New Roman"/>
                <w:sz w:val="18"/>
                <w:szCs w:val="18"/>
                <w:color w:val="454546"/>
                <w:w w:val="88"/>
              </w:rPr>
              <w:t>$</w:t>
            </w:r>
          </w:p>
        </w:tc>
        <w:tc>
          <w:tcPr>
            <w:tcW w:w="15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54546"/>
              </w:rPr>
              <w:t>4,521</w:t>
            </w: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454546"/>
              </w:rPr>
              <w:t>Additions based on tax positions related to current year</w:t>
            </w:r>
          </w:p>
        </w:tc>
        <w:tc>
          <w:tcPr>
            <w:tcW w:w="1460" w:type="dxa"/>
            <w:vAlign w:val="bottom"/>
          </w:tcPr>
          <w:p>
            <w:pPr>
              <w:spacing w:after="0"/>
              <w:rPr>
                <w:sz w:val="17"/>
                <w:szCs w:val="17"/>
                <w:color w:val="auto"/>
              </w:rPr>
            </w:pP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454546"/>
              </w:rPr>
              <w:t>900</w:t>
            </w:r>
          </w:p>
        </w:tc>
        <w:tc>
          <w:tcPr>
            <w:tcW w:w="6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54546"/>
              </w:rPr>
              <w:t>1,414</w:t>
            </w:r>
          </w:p>
        </w:tc>
      </w:tr>
      <w:tr>
        <w:trPr>
          <w:trHeight w:val="207"/>
        </w:trPr>
        <w:tc>
          <w:tcPr>
            <w:tcW w:w="47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Additions based on tax positions related to prior years</w:t>
            </w:r>
          </w:p>
        </w:tc>
        <w:tc>
          <w:tcPr>
            <w:tcW w:w="1460" w:type="dxa"/>
            <w:vAlign w:val="bottom"/>
            <w:shd w:val="clear" w:color="auto" w:fill="E5E6E7"/>
          </w:tcPr>
          <w:p>
            <w:pPr>
              <w:spacing w:after="0"/>
              <w:rPr>
                <w:sz w:val="17"/>
                <w:szCs w:val="17"/>
                <w:color w:val="auto"/>
              </w:rPr>
            </w:pPr>
          </w:p>
        </w:tc>
        <w:tc>
          <w:tcPr>
            <w:tcW w:w="1000" w:type="dxa"/>
            <w:vAlign w:val="bottom"/>
            <w:gridSpan w:val="2"/>
            <w:shd w:val="clear" w:color="auto" w:fill="E5E6E7"/>
          </w:tcPr>
          <w:p>
            <w:pPr>
              <w:jc w:val="right"/>
              <w:ind w:right="270"/>
              <w:spacing w:after="0"/>
              <w:rPr>
                <w:sz w:val="20"/>
                <w:szCs w:val="20"/>
                <w:color w:val="auto"/>
              </w:rPr>
            </w:pPr>
            <w:r>
              <w:rPr>
                <w:rFonts w:ascii="Times New Roman" w:cs="Times New Roman" w:eastAsia="Times New Roman" w:hAnsi="Times New Roman"/>
                <w:sz w:val="18"/>
                <w:szCs w:val="18"/>
                <w:color w:val="454546"/>
              </w:rPr>
              <w:t>—</w:t>
            </w:r>
          </w:p>
        </w:tc>
        <w:tc>
          <w:tcPr>
            <w:tcW w:w="620" w:type="dxa"/>
            <w:vAlign w:val="bottom"/>
            <w:shd w:val="clear" w:color="auto" w:fill="E5E6E7"/>
          </w:tcPr>
          <w:p>
            <w:pPr>
              <w:spacing w:after="0"/>
              <w:rPr>
                <w:sz w:val="17"/>
                <w:szCs w:val="17"/>
                <w:color w:val="auto"/>
              </w:rPr>
            </w:pPr>
          </w:p>
        </w:tc>
        <w:tc>
          <w:tcPr>
            <w:tcW w:w="15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54546"/>
              </w:rPr>
              <w:t>422</w:t>
            </w: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454546"/>
              </w:rPr>
              <w:t>Reductions for tax positions related to prior years</w:t>
            </w:r>
          </w:p>
        </w:tc>
        <w:tc>
          <w:tcPr>
            <w:tcW w:w="1460" w:type="dxa"/>
            <w:vAlign w:val="bottom"/>
          </w:tcPr>
          <w:p>
            <w:pPr>
              <w:spacing w:after="0"/>
              <w:rPr>
                <w:sz w:val="17"/>
                <w:szCs w:val="17"/>
                <w:color w:val="auto"/>
              </w:rPr>
            </w:pP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454546"/>
              </w:rPr>
              <w:t>—</w:t>
            </w:r>
          </w:p>
        </w:tc>
        <w:tc>
          <w:tcPr>
            <w:tcW w:w="6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54546"/>
              </w:rPr>
              <w:t>—</w:t>
            </w:r>
          </w:p>
        </w:tc>
      </w:tr>
      <w:tr>
        <w:trPr>
          <w:trHeight w:val="202"/>
        </w:trPr>
        <w:tc>
          <w:tcPr>
            <w:tcW w:w="4760" w:type="dxa"/>
            <w:vAlign w:val="bottom"/>
            <w:tcBorders>
              <w:top w:val="single" w:sz="8" w:color="E5E6E7"/>
            </w:tcBorders>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54546"/>
              </w:rPr>
              <w:t>Balance at end of year</w:t>
            </w:r>
          </w:p>
        </w:tc>
        <w:tc>
          <w:tcPr>
            <w:tcW w:w="1460" w:type="dxa"/>
            <w:vAlign w:val="bottom"/>
            <w:tcBorders>
              <w:top w:val="single" w:sz="8" w:color="454546"/>
              <w:bottom w:val="single" w:sz="8" w:color="454546"/>
            </w:tcBorders>
            <w:shd w:val="clear" w:color="auto" w:fill="E5E6E7"/>
          </w:tcPr>
          <w:p>
            <w:pPr>
              <w:jc w:val="right"/>
              <w:ind w:right="1270"/>
              <w:spacing w:after="0" w:line="202" w:lineRule="exact"/>
              <w:rPr>
                <w:sz w:val="20"/>
                <w:szCs w:val="20"/>
                <w:color w:val="auto"/>
              </w:rPr>
            </w:pPr>
            <w:r>
              <w:rPr>
                <w:rFonts w:ascii="Times New Roman" w:cs="Times New Roman" w:eastAsia="Times New Roman" w:hAnsi="Times New Roman"/>
                <w:sz w:val="18"/>
                <w:szCs w:val="18"/>
                <w:color w:val="454546"/>
                <w:w w:val="88"/>
              </w:rPr>
              <w:t>$</w:t>
            </w:r>
          </w:p>
        </w:tc>
        <w:tc>
          <w:tcPr>
            <w:tcW w:w="64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7,257</w:t>
            </w:r>
          </w:p>
        </w:tc>
        <w:tc>
          <w:tcPr>
            <w:tcW w:w="360" w:type="dxa"/>
            <w:vAlign w:val="bottom"/>
            <w:tcBorders>
              <w:top w:val="single" w:sz="8" w:color="E5E6E7"/>
            </w:tcBorders>
            <w:shd w:val="clear" w:color="auto" w:fill="E5E6E7"/>
          </w:tcPr>
          <w:p>
            <w:pPr>
              <w:spacing w:after="0"/>
              <w:rPr>
                <w:sz w:val="17"/>
                <w:szCs w:val="17"/>
                <w:color w:val="auto"/>
              </w:rPr>
            </w:pPr>
          </w:p>
        </w:tc>
        <w:tc>
          <w:tcPr>
            <w:tcW w:w="620" w:type="dxa"/>
            <w:vAlign w:val="bottom"/>
            <w:tcBorders>
              <w:top w:val="single" w:sz="8" w:color="454546"/>
              <w:bottom w:val="single" w:sz="8" w:color="454546"/>
            </w:tcBorders>
            <w:shd w:val="clear" w:color="auto" w:fill="E5E6E7"/>
          </w:tcPr>
          <w:p>
            <w:pPr>
              <w:jc w:val="right"/>
              <w:ind w:right="430"/>
              <w:spacing w:after="0" w:line="202" w:lineRule="exact"/>
              <w:rPr>
                <w:sz w:val="20"/>
                <w:szCs w:val="20"/>
                <w:color w:val="auto"/>
              </w:rPr>
            </w:pPr>
            <w:r>
              <w:rPr>
                <w:rFonts w:ascii="Times New Roman" w:cs="Times New Roman" w:eastAsia="Times New Roman" w:hAnsi="Times New Roman"/>
                <w:sz w:val="18"/>
                <w:szCs w:val="18"/>
                <w:color w:val="454546"/>
                <w:w w:val="88"/>
              </w:rPr>
              <w:t>$</w:t>
            </w:r>
          </w:p>
        </w:tc>
        <w:tc>
          <w:tcPr>
            <w:tcW w:w="1460" w:type="dxa"/>
            <w:vAlign w:val="bottom"/>
            <w:tcBorders>
              <w:top w:val="single" w:sz="8" w:color="454546"/>
              <w:bottom w:val="single" w:sz="8" w:color="454546"/>
            </w:tcBorders>
            <w:shd w:val="clear" w:color="auto" w:fill="E5E6E7"/>
          </w:tcPr>
          <w:p>
            <w:pPr>
              <w:jc w:val="right"/>
              <w:spacing w:after="0" w:line="202" w:lineRule="exact"/>
              <w:rPr>
                <w:sz w:val="20"/>
                <w:szCs w:val="20"/>
                <w:color w:val="auto"/>
              </w:rPr>
            </w:pPr>
            <w:r>
              <w:rPr>
                <w:rFonts w:ascii="Times New Roman" w:cs="Times New Roman" w:eastAsia="Times New Roman" w:hAnsi="Times New Roman"/>
                <w:sz w:val="18"/>
                <w:szCs w:val="18"/>
                <w:color w:val="454546"/>
              </w:rPr>
              <w:t>6,357</w:t>
            </w:r>
          </w:p>
        </w:tc>
        <w:tc>
          <w:tcPr>
            <w:tcW w:w="60" w:type="dxa"/>
            <w:vAlign w:val="bottom"/>
            <w:tcBorders>
              <w:top w:val="single" w:sz="8" w:color="E5E6E7"/>
            </w:tcBorders>
            <w:shd w:val="clear" w:color="auto" w:fill="E5E6E7"/>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Borders>
              <w:bottom w:val="single" w:sz="8" w:color="454546"/>
            </w:tcBorders>
          </w:tcPr>
          <w:p>
            <w:pPr>
              <w:spacing w:after="0" w:line="20" w:lineRule="exact"/>
              <w:rPr>
                <w:sz w:val="1"/>
                <w:szCs w:val="1"/>
                <w:color w:val="auto"/>
              </w:rPr>
            </w:pPr>
          </w:p>
        </w:tc>
        <w:tc>
          <w:tcPr>
            <w:tcW w:w="640" w:type="dxa"/>
            <w:vAlign w:val="bottom"/>
            <w:tcBorders>
              <w:bottom w:val="single" w:sz="8" w:color="454546"/>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454546"/>
            </w:tcBorders>
          </w:tcPr>
          <w:p>
            <w:pPr>
              <w:spacing w:after="0" w:line="20" w:lineRule="exact"/>
              <w:rPr>
                <w:sz w:val="1"/>
                <w:szCs w:val="1"/>
                <w:color w:val="auto"/>
              </w:rPr>
            </w:pPr>
          </w:p>
        </w:tc>
        <w:tc>
          <w:tcPr>
            <w:tcW w:w="14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128</w:t>
      </w:r>
    </w:p>
    <w:p>
      <w:pPr>
        <w:sectPr>
          <w:pgSz w:w="12240" w:h="15840" w:orient="portrait"/>
          <w:cols w:equalWidth="0" w:num="1">
            <w:col w:w="9360"/>
          </w:cols>
          <w:pgMar w:left="1440" w:top="1420" w:right="1440" w:bottom="175" w:gutter="0" w:footer="0" w:header="0"/>
          <w:type w:val="continuous"/>
        </w:sectPr>
      </w:pPr>
    </w:p>
    <w:bookmarkStart w:id="130" w:name="page131"/>
    <w:bookmarkEnd w:id="130"/>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The entire amount of the unrecognized tax benefits would not impact the Company’s effective tax rate if recognized as the Company continues to maintain a full valuation allowance against its deferred tax assets. The Company has elected to include interest and penalties as a component of tax expense. During the years ended December 31, 2025 and 2024,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Cash paid for income taxes, net of refunds, was $0 for the year ended December 31,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10. Net Loss Per Share</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Basic and diluted loss per share are computed by dividing net loss by the weighted-average number of common shares outstanding during the reporting period. The following potentially dilutive securities were excluded from the calculation of diluted net loss per share for the periods presented because the effect would have been anti-dilutive:</w:t>
      </w:r>
    </w:p>
    <w:tbl>
      <w:tblPr>
        <w:tblLayout w:type="fixed"/>
        <w:tblInd w:w="0" w:type="dxa"/>
        <w:tblCellMar>
          <w:top w:w="0" w:type="dxa"/>
          <w:left w:w="0" w:type="dxa"/>
          <w:bottom w:w="0" w:type="dxa"/>
          <w:right w:w="0" w:type="dxa"/>
        </w:tblCellMar>
      </w:tblPr>
      <w:tr>
        <w:trPr>
          <w:trHeight w:val="183"/>
        </w:trPr>
        <w:tc>
          <w:tcPr>
            <w:tcW w:w="6040" w:type="dxa"/>
            <w:vAlign w:val="bottom"/>
          </w:tcPr>
          <w:p>
            <w:pPr>
              <w:spacing w:after="0"/>
              <w:rPr>
                <w:sz w:val="15"/>
                <w:szCs w:val="15"/>
                <w:color w:val="auto"/>
              </w:rPr>
            </w:pPr>
          </w:p>
        </w:tc>
        <w:tc>
          <w:tcPr>
            <w:tcW w:w="2200" w:type="dxa"/>
            <w:vAlign w:val="bottom"/>
            <w:tcBorders>
              <w:bottom w:val="single" w:sz="8" w:color="454546"/>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60" w:type="dxa"/>
            <w:vAlign w:val="bottom"/>
            <w:tcBorders>
              <w:bottom w:val="single" w:sz="8" w:color="454546"/>
            </w:tcBorders>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6040" w:type="dxa"/>
            <w:vAlign w:val="bottom"/>
            <w:tcBorders>
              <w:bottom w:val="single" w:sz="8" w:color="E5E6E7"/>
            </w:tcBorders>
          </w:tcPr>
          <w:p>
            <w:pPr>
              <w:spacing w:after="0"/>
              <w:rPr>
                <w:sz w:val="16"/>
                <w:szCs w:val="16"/>
                <w:color w:val="auto"/>
              </w:rPr>
            </w:pPr>
          </w:p>
        </w:tc>
        <w:tc>
          <w:tcPr>
            <w:tcW w:w="1540" w:type="dxa"/>
            <w:vAlign w:val="bottom"/>
            <w:tcBorders>
              <w:bottom w:val="single" w:sz="8" w:color="454546"/>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180" w:type="dxa"/>
            <w:vAlign w:val="bottom"/>
            <w:tcBorders>
              <w:bottom w:val="single" w:sz="8" w:color="E5E6E7"/>
            </w:tcBorders>
          </w:tcPr>
          <w:p>
            <w:pPr>
              <w:spacing w:after="0"/>
              <w:rPr>
                <w:sz w:val="16"/>
                <w:szCs w:val="16"/>
                <w:color w:val="auto"/>
              </w:rPr>
            </w:pPr>
          </w:p>
        </w:tc>
        <w:tc>
          <w:tcPr>
            <w:tcW w:w="480" w:type="dxa"/>
            <w:vAlign w:val="bottom"/>
            <w:tcBorders>
              <w:bottom w:val="single" w:sz="8" w:color="454546"/>
            </w:tcBorders>
          </w:tcPr>
          <w:p>
            <w:pPr>
              <w:spacing w:after="0"/>
              <w:rPr>
                <w:sz w:val="16"/>
                <w:szCs w:val="16"/>
                <w:color w:val="auto"/>
              </w:rPr>
            </w:pPr>
          </w:p>
        </w:tc>
        <w:tc>
          <w:tcPr>
            <w:tcW w:w="1060" w:type="dxa"/>
            <w:vAlign w:val="bottom"/>
            <w:tcBorders>
              <w:bottom w:val="single" w:sz="8" w:color="454546"/>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5E6E7"/>
            </w:tcBorders>
          </w:tcPr>
          <w:p>
            <w:pPr>
              <w:spacing w:after="0"/>
              <w:rPr>
                <w:sz w:val="16"/>
                <w:szCs w:val="16"/>
                <w:color w:val="auto"/>
              </w:rPr>
            </w:pPr>
          </w:p>
        </w:tc>
      </w:tr>
      <w:tr>
        <w:trPr>
          <w:trHeight w:val="239"/>
        </w:trPr>
        <w:tc>
          <w:tcPr>
            <w:tcW w:w="6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Outstanding stock options and restricted stock units</w:t>
            </w:r>
          </w:p>
        </w:tc>
        <w:tc>
          <w:tcPr>
            <w:tcW w:w="1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13,587,030</w:t>
            </w:r>
          </w:p>
        </w:tc>
        <w:tc>
          <w:tcPr>
            <w:tcW w:w="180" w:type="dxa"/>
            <w:vAlign w:val="bottom"/>
            <w:shd w:val="clear" w:color="auto" w:fill="E5E6E7"/>
          </w:tcPr>
          <w:p>
            <w:pPr>
              <w:spacing w:after="0"/>
              <w:rPr>
                <w:sz w:val="20"/>
                <w:szCs w:val="20"/>
                <w:color w:val="auto"/>
              </w:rPr>
            </w:pPr>
          </w:p>
        </w:tc>
        <w:tc>
          <w:tcPr>
            <w:tcW w:w="48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10,608,154</w:t>
            </w:r>
          </w:p>
        </w:tc>
        <w:tc>
          <w:tcPr>
            <w:tcW w:w="60" w:type="dxa"/>
            <w:vAlign w:val="bottom"/>
            <w:shd w:val="clear" w:color="auto" w:fill="E5E6E7"/>
          </w:tcPr>
          <w:p>
            <w:pPr>
              <w:spacing w:after="0"/>
              <w:rPr>
                <w:sz w:val="20"/>
                <w:szCs w:val="20"/>
                <w:color w:val="auto"/>
              </w:rPr>
            </w:pPr>
          </w:p>
        </w:tc>
      </w:tr>
      <w:tr>
        <w:trPr>
          <w:trHeight w:val="244"/>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454546"/>
              </w:rPr>
              <w:t>Outstanding Lender Warrant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73,649</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171,848</w:t>
            </w:r>
          </w:p>
        </w:tc>
        <w:tc>
          <w:tcPr>
            <w:tcW w:w="60" w:type="dxa"/>
            <w:vAlign w:val="bottom"/>
          </w:tcPr>
          <w:p>
            <w:pPr>
              <w:spacing w:after="0"/>
              <w:rPr>
                <w:sz w:val="21"/>
                <w:szCs w:val="21"/>
                <w:color w:val="auto"/>
              </w:rPr>
            </w:pPr>
          </w:p>
        </w:tc>
      </w:tr>
      <w:tr>
        <w:trPr>
          <w:trHeight w:val="244"/>
        </w:trPr>
        <w:tc>
          <w:tcPr>
            <w:tcW w:w="6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Outstanding Series A and B Warrants</w:t>
            </w:r>
          </w:p>
        </w:tc>
        <w:tc>
          <w:tcPr>
            <w:tcW w:w="1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109,231,250</w:t>
            </w:r>
          </w:p>
        </w:tc>
        <w:tc>
          <w:tcPr>
            <w:tcW w:w="180" w:type="dxa"/>
            <w:vAlign w:val="bottom"/>
            <w:shd w:val="clear" w:color="auto" w:fill="E5E6E7"/>
          </w:tcPr>
          <w:p>
            <w:pPr>
              <w:spacing w:after="0"/>
              <w:rPr>
                <w:sz w:val="21"/>
                <w:szCs w:val="21"/>
                <w:color w:val="auto"/>
              </w:rPr>
            </w:pPr>
          </w:p>
        </w:tc>
        <w:tc>
          <w:tcPr>
            <w:tcW w:w="48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21"/>
                <w:szCs w:val="21"/>
                <w:color w:val="auto"/>
              </w:rPr>
            </w:pPr>
          </w:p>
        </w:tc>
      </w:tr>
      <w:tr>
        <w:trPr>
          <w:trHeight w:val="244"/>
        </w:trPr>
        <w:tc>
          <w:tcPr>
            <w:tcW w:w="60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Outstanding December 2025 Warrants</w:t>
            </w:r>
          </w:p>
        </w:tc>
        <w:tc>
          <w:tcPr>
            <w:tcW w:w="15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50,000,000</w:t>
            </w:r>
          </w:p>
        </w:tc>
        <w:tc>
          <w:tcPr>
            <w:tcW w:w="180" w:type="dxa"/>
            <w:vAlign w:val="bottom"/>
            <w:tcBorders>
              <w:bottom w:val="single" w:sz="8" w:color="E5E6E7"/>
            </w:tcBorders>
          </w:tcPr>
          <w:p>
            <w:pPr>
              <w:spacing w:after="0"/>
              <w:rPr>
                <w:sz w:val="21"/>
                <w:szCs w:val="21"/>
                <w:color w:val="auto"/>
              </w:rPr>
            </w:pPr>
          </w:p>
        </w:tc>
        <w:tc>
          <w:tcPr>
            <w:tcW w:w="480" w:type="dxa"/>
            <w:vAlign w:val="bottom"/>
            <w:tcBorders>
              <w:bottom w:val="single" w:sz="8" w:color="454546"/>
            </w:tcBorders>
          </w:tcPr>
          <w:p>
            <w:pPr>
              <w:spacing w:after="0"/>
              <w:rPr>
                <w:sz w:val="21"/>
                <w:szCs w:val="21"/>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5E6E7"/>
            </w:tcBorders>
          </w:tcPr>
          <w:p>
            <w:pPr>
              <w:spacing w:after="0"/>
              <w:rPr>
                <w:sz w:val="21"/>
                <w:szCs w:val="21"/>
                <w:color w:val="auto"/>
              </w:rPr>
            </w:pPr>
          </w:p>
        </w:tc>
      </w:tr>
      <w:tr>
        <w:trPr>
          <w:trHeight w:val="239"/>
        </w:trPr>
        <w:tc>
          <w:tcPr>
            <w:tcW w:w="60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54546"/>
              </w:rPr>
              <w:t>Total</w:t>
            </w:r>
          </w:p>
        </w:tc>
        <w:tc>
          <w:tcPr>
            <w:tcW w:w="15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172,891,929</w:t>
            </w:r>
          </w:p>
        </w:tc>
        <w:tc>
          <w:tcPr>
            <w:tcW w:w="180" w:type="dxa"/>
            <w:vAlign w:val="bottom"/>
            <w:shd w:val="clear" w:color="auto" w:fill="E5E6E7"/>
          </w:tcPr>
          <w:p>
            <w:pPr>
              <w:spacing w:after="0"/>
              <w:rPr>
                <w:sz w:val="20"/>
                <w:szCs w:val="20"/>
                <w:color w:val="auto"/>
              </w:rPr>
            </w:pPr>
          </w:p>
        </w:tc>
        <w:tc>
          <w:tcPr>
            <w:tcW w:w="480" w:type="dxa"/>
            <w:vAlign w:val="bottom"/>
            <w:tcBorders>
              <w:bottom w:val="single" w:sz="8" w:color="454546"/>
            </w:tcBorders>
            <w:shd w:val="clear" w:color="auto" w:fill="E5E6E7"/>
          </w:tcPr>
          <w:p>
            <w:pPr>
              <w:spacing w:after="0"/>
              <w:rPr>
                <w:sz w:val="20"/>
                <w:szCs w:val="20"/>
                <w:color w:val="auto"/>
              </w:rPr>
            </w:pP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10,780,002</w:t>
            </w:r>
          </w:p>
        </w:tc>
        <w:tc>
          <w:tcPr>
            <w:tcW w:w="60" w:type="dxa"/>
            <w:vAlign w:val="bottom"/>
            <w:shd w:val="clear" w:color="auto" w:fill="E5E6E7"/>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154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454546"/>
            </w:tcBorders>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11. Workforce Reduction</w:t>
      </w:r>
    </w:p>
    <w:p>
      <w:pPr>
        <w:spacing w:after="0" w:line="124"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19"/>
          <w:szCs w:val="19"/>
          <w:color w:val="454546"/>
        </w:rPr>
        <w:t xml:space="preserve">On March 27, 2025, the Company approved cost containment measures, including a committed plan to reduce its workforce (the 2025 Workforce Reduction), in alignment with the Company's focus on generating data from the MyPEAK </w:t>
      </w:r>
      <w:r>
        <w:rPr>
          <w:rFonts w:ascii="Times New Roman" w:cs="Times New Roman" w:eastAsia="Times New Roman" w:hAnsi="Times New Roman"/>
          <w:sz w:val="25"/>
          <w:szCs w:val="25"/>
          <w:color w:val="454546"/>
          <w:vertAlign w:val="superscript"/>
        </w:rPr>
        <w:t>TM</w:t>
      </w:r>
      <w:r>
        <w:rPr>
          <w:rFonts w:ascii="Times New Roman" w:cs="Times New Roman" w:eastAsia="Times New Roman" w:hAnsi="Times New Roman"/>
          <w:sz w:val="19"/>
          <w:szCs w:val="19"/>
          <w:color w:val="454546"/>
        </w:rPr>
        <w:t>-1 and RIDGE</w:t>
      </w:r>
      <w:r>
        <w:rPr>
          <w:rFonts w:ascii="Times New Roman" w:cs="Times New Roman" w:eastAsia="Times New Roman" w:hAnsi="Times New Roman"/>
          <w:sz w:val="25"/>
          <w:szCs w:val="25"/>
          <w:color w:val="454546"/>
          <w:vertAlign w:val="superscript"/>
        </w:rPr>
        <w:t>TM</w:t>
      </w:r>
      <w:r>
        <w:rPr>
          <w:rFonts w:ascii="Times New Roman" w:cs="Times New Roman" w:eastAsia="Times New Roman" w:hAnsi="Times New Roman"/>
          <w:sz w:val="19"/>
          <w:szCs w:val="19"/>
          <w:color w:val="454546"/>
        </w:rPr>
        <w:t>-1 clinical trials of TN-201 and TN-401, respectively. During the year ended December 31, 2025, the Company recognized $1.3 million of aggregate charges, related to the 2025 Workforce Reduction, primarily related to employee cash severance and continuing health insurance benefits. As of December 31, 2025, the Company expected to recognize additional estimated charges of $1.6 million, which reflects substantially all of the remaining charges related to the 2025 Workforce Reduction by the end of the second quarter of 2026.</w:t>
      </w:r>
    </w:p>
    <w:p>
      <w:pPr>
        <w:spacing w:after="0" w:line="7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On May 14, 2024, the Company announced cost containment measures, including a committed plan to reduce its workforce (the 2024 Workforce Reduction) by approximately 22%. The cost containment measures align with the Company's focus on generating data from its clinical-stage gene therapy programs. The 2024 Workforce Reduction was completed as of September 30, 2024. During the year ended December 31, 2024, the Company recognized $1.4 million of aggregate charges, primarily related to employee cash severance and continuing health insurance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12. Segment Reporting</w:t>
      </w:r>
    </w:p>
    <w:p>
      <w:pPr>
        <w:spacing w:after="0" w:line="12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 Company is a clinical-stage biotechnology company focused on discovering, developing and delivering curative therapies that address the underlying drivers of heart disease and has one operating and reportable segment. The Company’s chief operating decision marker (CODM) is the chief executive officer.</w:t>
      </w:r>
    </w:p>
    <w:p>
      <w:pPr>
        <w:spacing w:after="0" w:line="10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The statement of operations includes research and development expenses, general and administrative expenses, interest income, and income taxes; the Company has not generated any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w:t>
      </w:r>
    </w:p>
    <w:p>
      <w:pPr>
        <w:spacing w:after="0" w:line="77"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 provides information about the Company’s operating expenses by function and includes a reconciliation to net loss.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129</w:t>
      </w:r>
    </w:p>
    <w:p>
      <w:pPr>
        <w:sectPr>
          <w:pgSz w:w="12240" w:h="15840" w:orient="portrait"/>
          <w:cols w:equalWidth="0" w:num="1">
            <w:col w:w="9360"/>
          </w:cols>
          <w:pgMar w:left="1440" w:top="1420" w:right="1440" w:bottom="175"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454546"/>
              </w:rPr>
              <w:t>Year Ended December 31,</w:t>
            </w:r>
          </w:p>
        </w:tc>
      </w:tr>
      <w:tr>
        <w:trPr>
          <w:trHeight w:val="216"/>
        </w:trPr>
        <w:tc>
          <w:tcPr>
            <w:tcW w:w="6340" w:type="dxa"/>
            <w:vAlign w:val="bottom"/>
            <w:tcBorders>
              <w:bottom w:val="single" w:sz="8" w:color="E5E6E7"/>
            </w:tcBorders>
          </w:tcPr>
          <w:p>
            <w:pPr>
              <w:spacing w:after="0"/>
              <w:rPr>
                <w:sz w:val="18"/>
                <w:szCs w:val="18"/>
                <w:color w:val="auto"/>
              </w:rPr>
            </w:pPr>
          </w:p>
        </w:tc>
        <w:tc>
          <w:tcPr>
            <w:tcW w:w="260" w:type="dxa"/>
            <w:vAlign w:val="bottom"/>
            <w:tcBorders>
              <w:top w:val="single" w:sz="8" w:color="454546"/>
              <w:bottom w:val="single" w:sz="8" w:color="454546"/>
            </w:tcBorders>
          </w:tcPr>
          <w:p>
            <w:pPr>
              <w:spacing w:after="0"/>
              <w:rPr>
                <w:sz w:val="18"/>
                <w:szCs w:val="18"/>
                <w:color w:val="auto"/>
              </w:rPr>
            </w:pPr>
          </w:p>
        </w:tc>
        <w:tc>
          <w:tcPr>
            <w:tcW w:w="1080" w:type="dxa"/>
            <w:vAlign w:val="bottom"/>
            <w:tcBorders>
              <w:top w:val="single" w:sz="8" w:color="454546"/>
              <w:bottom w:val="single" w:sz="8" w:color="454546"/>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454546"/>
              </w:rPr>
              <w:t>2025</w:t>
            </w:r>
          </w:p>
        </w:tc>
        <w:tc>
          <w:tcPr>
            <w:tcW w:w="160" w:type="dxa"/>
            <w:vAlign w:val="bottom"/>
            <w:tcBorders>
              <w:top w:val="single" w:sz="8" w:color="454546"/>
              <w:bottom w:val="single" w:sz="8" w:color="E5E6E7"/>
            </w:tcBorders>
          </w:tcPr>
          <w:p>
            <w:pPr>
              <w:spacing w:after="0"/>
              <w:rPr>
                <w:sz w:val="18"/>
                <w:szCs w:val="18"/>
                <w:color w:val="auto"/>
              </w:rPr>
            </w:pPr>
          </w:p>
        </w:tc>
        <w:tc>
          <w:tcPr>
            <w:tcW w:w="100" w:type="dxa"/>
            <w:vAlign w:val="bottom"/>
            <w:tcBorders>
              <w:top w:val="single" w:sz="8" w:color="454546"/>
              <w:bottom w:val="single" w:sz="8" w:color="E5E6E7"/>
            </w:tcBorders>
          </w:tcPr>
          <w:p>
            <w:pPr>
              <w:spacing w:after="0"/>
              <w:rPr>
                <w:sz w:val="18"/>
                <w:szCs w:val="18"/>
                <w:color w:val="auto"/>
              </w:rPr>
            </w:pPr>
          </w:p>
        </w:tc>
        <w:tc>
          <w:tcPr>
            <w:tcW w:w="280" w:type="dxa"/>
            <w:vAlign w:val="bottom"/>
            <w:tcBorders>
              <w:top w:val="single" w:sz="8" w:color="454546"/>
              <w:bottom w:val="single" w:sz="8" w:color="454546"/>
            </w:tcBorders>
          </w:tcPr>
          <w:p>
            <w:pPr>
              <w:spacing w:after="0"/>
              <w:rPr>
                <w:sz w:val="18"/>
                <w:szCs w:val="18"/>
                <w:color w:val="auto"/>
              </w:rPr>
            </w:pPr>
          </w:p>
        </w:tc>
        <w:tc>
          <w:tcPr>
            <w:tcW w:w="1060" w:type="dxa"/>
            <w:vAlign w:val="bottom"/>
            <w:tcBorders>
              <w:top w:val="single" w:sz="8" w:color="454546"/>
              <w:bottom w:val="single" w:sz="8" w:color="454546"/>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454546"/>
              </w:rPr>
              <w:t>2024</w:t>
            </w:r>
          </w:p>
        </w:tc>
        <w:tc>
          <w:tcPr>
            <w:tcW w:w="80" w:type="dxa"/>
            <w:vAlign w:val="bottom"/>
            <w:tcBorders>
              <w:bottom w:val="single" w:sz="8" w:color="E5E6E7"/>
            </w:tcBorders>
          </w:tcPr>
          <w:p>
            <w:pPr>
              <w:spacing w:after="0"/>
              <w:rPr>
                <w:sz w:val="18"/>
                <w:szCs w:val="18"/>
                <w:color w:val="auto"/>
              </w:rPr>
            </w:pPr>
          </w:p>
        </w:tc>
      </w:tr>
      <w:tr>
        <w:trPr>
          <w:trHeight w:val="216"/>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Operating expenses:</w:t>
            </w:r>
          </w:p>
        </w:tc>
        <w:tc>
          <w:tcPr>
            <w:tcW w:w="260" w:type="dxa"/>
            <w:vAlign w:val="bottom"/>
            <w:shd w:val="clear" w:color="auto" w:fill="E5E6E7"/>
          </w:tcPr>
          <w:p>
            <w:pPr>
              <w:spacing w:after="0"/>
              <w:rPr>
                <w:sz w:val="18"/>
                <w:szCs w:val="18"/>
                <w:color w:val="auto"/>
              </w:rPr>
            </w:pPr>
          </w:p>
        </w:tc>
        <w:tc>
          <w:tcPr>
            <w:tcW w:w="108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21"/>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Research and development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54546"/>
              </w:rPr>
              <w:t>Clinical</w:t>
            </w:r>
          </w:p>
        </w:tc>
        <w:tc>
          <w:tcPr>
            <w:tcW w:w="260" w:type="dxa"/>
            <w:vAlign w:val="bottom"/>
            <w:shd w:val="clear" w:color="auto" w:fill="E5E6E7"/>
          </w:tcPr>
          <w:p>
            <w:pPr>
              <w:jc w:val="right"/>
              <w:ind w:right="95"/>
              <w:spacing w:after="0"/>
              <w:rPr>
                <w:sz w:val="20"/>
                <w:szCs w:val="20"/>
                <w:color w:val="auto"/>
              </w:rPr>
            </w:pPr>
            <w:r>
              <w:rPr>
                <w:rFonts w:ascii="Times New Roman" w:cs="Times New Roman" w:eastAsia="Times New Roman" w:hAnsi="Times New Roman"/>
                <w:sz w:val="17"/>
                <w:szCs w:val="17"/>
                <w:color w:val="454546"/>
                <w:w w:val="70"/>
              </w:rPr>
              <w:t>$</w:t>
            </w: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19,944</w:t>
            </w:r>
          </w:p>
        </w:tc>
        <w:tc>
          <w:tcPr>
            <w:tcW w:w="160" w:type="dxa"/>
            <w:vAlign w:val="bottom"/>
            <w:shd w:val="clear" w:color="auto" w:fill="E5E6E7"/>
          </w:tcPr>
          <w:p>
            <w:pPr>
              <w:spacing w:after="0"/>
              <w:rPr>
                <w:sz w:val="19"/>
                <w:szCs w:val="19"/>
                <w:color w:val="auto"/>
              </w:rPr>
            </w:pPr>
          </w:p>
        </w:tc>
        <w:tc>
          <w:tcPr>
            <w:tcW w:w="380" w:type="dxa"/>
            <w:vAlign w:val="bottom"/>
            <w:gridSpan w:val="2"/>
            <w:shd w:val="clear" w:color="auto" w:fill="E5E6E7"/>
          </w:tcPr>
          <w:p>
            <w:pPr>
              <w:jc w:val="right"/>
              <w:ind w:right="115"/>
              <w:spacing w:after="0"/>
              <w:rPr>
                <w:sz w:val="20"/>
                <w:szCs w:val="20"/>
                <w:color w:val="auto"/>
              </w:rPr>
            </w:pPr>
            <w:r>
              <w:rPr>
                <w:rFonts w:ascii="Times New Roman" w:cs="Times New Roman" w:eastAsia="Times New Roman" w:hAnsi="Times New Roman"/>
                <w:sz w:val="18"/>
                <w:szCs w:val="18"/>
                <w:color w:val="454546"/>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26,024</w:t>
            </w:r>
          </w:p>
        </w:tc>
        <w:tc>
          <w:tcPr>
            <w:tcW w:w="80" w:type="dxa"/>
            <w:vAlign w:val="bottom"/>
            <w:shd w:val="clear" w:color="auto" w:fill="E5E6E7"/>
          </w:tcPr>
          <w:p>
            <w:pPr>
              <w:spacing w:after="0"/>
              <w:rPr>
                <w:sz w:val="19"/>
                <w:szCs w:val="19"/>
                <w:color w:val="auto"/>
              </w:rPr>
            </w:pPr>
          </w:p>
        </w:tc>
      </w:tr>
      <w:tr>
        <w:trPr>
          <w:trHeight w:val="221"/>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454546"/>
              </w:rPr>
              <w:t>Manufacturing (pre-commercial)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17,715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23,433</w:t>
            </w: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54546"/>
              </w:rPr>
              <w:t>Research</w:t>
            </w:r>
          </w:p>
        </w:tc>
        <w:tc>
          <w:tcPr>
            <w:tcW w:w="260" w:type="dxa"/>
            <w:vAlign w:val="bottom"/>
            <w:shd w:val="clear" w:color="auto" w:fill="E5E6E7"/>
          </w:tcPr>
          <w:p>
            <w:pPr>
              <w:spacing w:after="0"/>
              <w:rPr>
                <w:sz w:val="19"/>
                <w:szCs w:val="19"/>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16,469</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20,858</w:t>
            </w:r>
          </w:p>
        </w:tc>
        <w:tc>
          <w:tcPr>
            <w:tcW w:w="80" w:type="dxa"/>
            <w:vAlign w:val="bottom"/>
            <w:shd w:val="clear" w:color="auto" w:fill="E5E6E7"/>
          </w:tcPr>
          <w:p>
            <w:pPr>
              <w:spacing w:after="0"/>
              <w:rPr>
                <w:sz w:val="19"/>
                <w:szCs w:val="19"/>
                <w:color w:val="auto"/>
              </w:rPr>
            </w:pPr>
          </w:p>
        </w:tc>
      </w:tr>
      <w:tr>
        <w:trPr>
          <w:trHeight w:val="221"/>
        </w:trPr>
        <w:tc>
          <w:tcPr>
            <w:tcW w:w="6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18"/>
                <w:szCs w:val="18"/>
                <w:color w:val="454546"/>
              </w:rPr>
              <w:t>Other</w:t>
            </w:r>
          </w:p>
        </w:tc>
        <w:tc>
          <w:tcPr>
            <w:tcW w:w="260" w:type="dxa"/>
            <w:vAlign w:val="bottom"/>
            <w:tcBorders>
              <w:bottom w:val="single" w:sz="8" w:color="454546"/>
            </w:tcBorders>
          </w:tcPr>
          <w:p>
            <w:pPr>
              <w:spacing w:after="0"/>
              <w:rPr>
                <w:sz w:val="19"/>
                <w:szCs w:val="19"/>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14,479</w:t>
            </w:r>
          </w:p>
        </w:tc>
        <w:tc>
          <w:tcPr>
            <w:tcW w:w="160" w:type="dxa"/>
            <w:vAlign w:val="bottom"/>
            <w:tcBorders>
              <w:bottom w:val="single" w:sz="8" w:color="E5E6E7"/>
            </w:tcBorders>
          </w:tcPr>
          <w:p>
            <w:pPr>
              <w:spacing w:after="0"/>
              <w:rPr>
                <w:sz w:val="19"/>
                <w:szCs w:val="19"/>
                <w:color w:val="auto"/>
              </w:rPr>
            </w:pPr>
          </w:p>
        </w:tc>
        <w:tc>
          <w:tcPr>
            <w:tcW w:w="100" w:type="dxa"/>
            <w:vAlign w:val="bottom"/>
            <w:tcBorders>
              <w:bottom w:val="single" w:sz="8" w:color="E5E6E7"/>
            </w:tcBorders>
          </w:tcPr>
          <w:p>
            <w:pPr>
              <w:spacing w:after="0"/>
              <w:rPr>
                <w:sz w:val="19"/>
                <w:szCs w:val="19"/>
                <w:color w:val="auto"/>
              </w:rPr>
            </w:pPr>
          </w:p>
        </w:tc>
        <w:tc>
          <w:tcPr>
            <w:tcW w:w="280" w:type="dxa"/>
            <w:vAlign w:val="bottom"/>
            <w:tcBorders>
              <w:bottom w:val="single" w:sz="8" w:color="454546"/>
            </w:tcBorders>
          </w:tcPr>
          <w:p>
            <w:pPr>
              <w:spacing w:after="0"/>
              <w:rPr>
                <w:sz w:val="19"/>
                <w:szCs w:val="19"/>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16,427</w:t>
            </w:r>
          </w:p>
        </w:tc>
        <w:tc>
          <w:tcPr>
            <w:tcW w:w="80" w:type="dxa"/>
            <w:vAlign w:val="bottom"/>
            <w:tcBorders>
              <w:bottom w:val="single" w:sz="8" w:color="E5E6E7"/>
            </w:tcBorders>
          </w:tcPr>
          <w:p>
            <w:pPr>
              <w:spacing w:after="0"/>
              <w:rPr>
                <w:sz w:val="19"/>
                <w:szCs w:val="19"/>
                <w:color w:val="auto"/>
              </w:rPr>
            </w:pPr>
          </w:p>
        </w:tc>
      </w:tr>
      <w:tr>
        <w:trPr>
          <w:trHeight w:val="216"/>
        </w:trPr>
        <w:tc>
          <w:tcPr>
            <w:tcW w:w="6340" w:type="dxa"/>
            <w:vAlign w:val="bottom"/>
            <w:shd w:val="clear" w:color="auto" w:fill="E5E6E7"/>
          </w:tcPr>
          <w:p>
            <w:pPr>
              <w:ind w:left="300"/>
              <w:spacing w:after="0"/>
              <w:rPr>
                <w:sz w:val="20"/>
                <w:szCs w:val="20"/>
                <w:color w:val="auto"/>
              </w:rPr>
            </w:pPr>
            <w:r>
              <w:rPr>
                <w:rFonts w:ascii="Times New Roman" w:cs="Times New Roman" w:eastAsia="Times New Roman" w:hAnsi="Times New Roman"/>
                <w:sz w:val="18"/>
                <w:szCs w:val="18"/>
                <w:color w:val="454546"/>
              </w:rPr>
              <w:t>Total Research and development</w:t>
            </w:r>
          </w:p>
        </w:tc>
        <w:tc>
          <w:tcPr>
            <w:tcW w:w="260" w:type="dxa"/>
            <w:vAlign w:val="bottom"/>
            <w:shd w:val="clear" w:color="auto" w:fill="E5E6E7"/>
          </w:tcPr>
          <w:p>
            <w:pPr>
              <w:jc w:val="right"/>
              <w:ind w:right="95"/>
              <w:spacing w:after="0"/>
              <w:rPr>
                <w:sz w:val="20"/>
                <w:szCs w:val="20"/>
                <w:color w:val="auto"/>
              </w:rPr>
            </w:pPr>
            <w:r>
              <w:rPr>
                <w:rFonts w:ascii="Times New Roman" w:cs="Times New Roman" w:eastAsia="Times New Roman" w:hAnsi="Times New Roman"/>
                <w:sz w:val="17"/>
                <w:szCs w:val="17"/>
                <w:color w:val="454546"/>
                <w:w w:val="70"/>
              </w:rPr>
              <w:t>$</w:t>
            </w: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68,607</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jc w:val="right"/>
              <w:ind w:right="115"/>
              <w:spacing w:after="0"/>
              <w:rPr>
                <w:sz w:val="20"/>
                <w:szCs w:val="20"/>
                <w:color w:val="auto"/>
              </w:rPr>
            </w:pPr>
            <w:r>
              <w:rPr>
                <w:rFonts w:ascii="Times New Roman" w:cs="Times New Roman" w:eastAsia="Times New Roman" w:hAnsi="Times New Roman"/>
                <w:sz w:val="17"/>
                <w:szCs w:val="17"/>
                <w:color w:val="454546"/>
                <w:w w:val="70"/>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86,742</w:t>
            </w:r>
          </w:p>
        </w:tc>
        <w:tc>
          <w:tcPr>
            <w:tcW w:w="80" w:type="dxa"/>
            <w:vAlign w:val="bottom"/>
            <w:shd w:val="clear" w:color="auto" w:fill="E5E6E7"/>
          </w:tcPr>
          <w:p>
            <w:pPr>
              <w:spacing w:after="0"/>
              <w:rPr>
                <w:sz w:val="18"/>
                <w:szCs w:val="18"/>
                <w:color w:val="auto"/>
              </w:rPr>
            </w:pPr>
          </w:p>
        </w:tc>
      </w:tr>
      <w:tr>
        <w:trPr>
          <w:trHeight w:val="221"/>
        </w:trPr>
        <w:tc>
          <w:tcPr>
            <w:tcW w:w="634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18"/>
                <w:szCs w:val="18"/>
                <w:color w:val="454546"/>
              </w:rPr>
              <w:t>General and administrative</w:t>
            </w:r>
          </w:p>
        </w:tc>
        <w:tc>
          <w:tcPr>
            <w:tcW w:w="260" w:type="dxa"/>
            <w:vAlign w:val="bottom"/>
            <w:tcBorders>
              <w:bottom w:val="single" w:sz="8" w:color="454546"/>
            </w:tcBorders>
          </w:tcPr>
          <w:p>
            <w:pPr>
              <w:spacing w:after="0"/>
              <w:rPr>
                <w:sz w:val="19"/>
                <w:szCs w:val="19"/>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24,724</w:t>
            </w:r>
          </w:p>
        </w:tc>
        <w:tc>
          <w:tcPr>
            <w:tcW w:w="160" w:type="dxa"/>
            <w:vAlign w:val="bottom"/>
            <w:tcBorders>
              <w:bottom w:val="single" w:sz="8" w:color="E5E6E7"/>
            </w:tcBorders>
          </w:tcPr>
          <w:p>
            <w:pPr>
              <w:spacing w:after="0"/>
              <w:rPr>
                <w:sz w:val="19"/>
                <w:szCs w:val="19"/>
                <w:color w:val="auto"/>
              </w:rPr>
            </w:pPr>
          </w:p>
        </w:tc>
        <w:tc>
          <w:tcPr>
            <w:tcW w:w="100" w:type="dxa"/>
            <w:vAlign w:val="bottom"/>
            <w:tcBorders>
              <w:bottom w:val="single" w:sz="8" w:color="E5E6E7"/>
            </w:tcBorders>
          </w:tcPr>
          <w:p>
            <w:pPr>
              <w:spacing w:after="0"/>
              <w:rPr>
                <w:sz w:val="19"/>
                <w:szCs w:val="19"/>
                <w:color w:val="auto"/>
              </w:rPr>
            </w:pPr>
          </w:p>
        </w:tc>
        <w:tc>
          <w:tcPr>
            <w:tcW w:w="280" w:type="dxa"/>
            <w:vAlign w:val="bottom"/>
            <w:tcBorders>
              <w:bottom w:val="single" w:sz="8" w:color="454546"/>
            </w:tcBorders>
          </w:tcPr>
          <w:p>
            <w:pPr>
              <w:spacing w:after="0"/>
              <w:rPr>
                <w:sz w:val="19"/>
                <w:szCs w:val="19"/>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29,206</w:t>
            </w:r>
          </w:p>
        </w:tc>
        <w:tc>
          <w:tcPr>
            <w:tcW w:w="80" w:type="dxa"/>
            <w:vAlign w:val="bottom"/>
            <w:tcBorders>
              <w:bottom w:val="single" w:sz="8" w:color="E5E6E7"/>
            </w:tcBorders>
          </w:tcPr>
          <w:p>
            <w:pPr>
              <w:spacing w:after="0"/>
              <w:rPr>
                <w:sz w:val="19"/>
                <w:szCs w:val="19"/>
                <w:color w:val="auto"/>
              </w:rPr>
            </w:pPr>
          </w:p>
        </w:tc>
      </w:tr>
      <w:tr>
        <w:trPr>
          <w:trHeight w:val="216"/>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54546"/>
              </w:rPr>
              <w:t>Total operating expenses</w:t>
            </w:r>
          </w:p>
        </w:tc>
        <w:tc>
          <w:tcPr>
            <w:tcW w:w="260" w:type="dxa"/>
            <w:vAlign w:val="bottom"/>
            <w:tcBorders>
              <w:bottom w:val="single" w:sz="8" w:color="454546"/>
            </w:tcBorders>
            <w:shd w:val="clear" w:color="auto" w:fill="E5E6E7"/>
          </w:tcPr>
          <w:p>
            <w:pPr>
              <w:spacing w:after="0"/>
              <w:rPr>
                <w:sz w:val="18"/>
                <w:szCs w:val="18"/>
                <w:color w:val="auto"/>
              </w:rPr>
            </w:pP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93,331</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tcBorders>
              <w:bottom w:val="single" w:sz="8" w:color="454546"/>
            </w:tcBorders>
            <w:shd w:val="clear" w:color="auto" w:fill="E5E6E7"/>
          </w:tcPr>
          <w:p>
            <w:pPr>
              <w:spacing w:after="0"/>
              <w:rPr>
                <w:sz w:val="18"/>
                <w:szCs w:val="18"/>
                <w:color w:val="auto"/>
              </w:rPr>
            </w:pP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115,948</w:t>
            </w:r>
          </w:p>
        </w:tc>
        <w:tc>
          <w:tcPr>
            <w:tcW w:w="80" w:type="dxa"/>
            <w:vAlign w:val="bottom"/>
            <w:shd w:val="clear" w:color="auto" w:fill="E5E6E7"/>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454546"/>
              </w:rPr>
              <w:t>Loss from operations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(93,331)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(115,948)</w:t>
            </w:r>
          </w:p>
        </w:tc>
        <w:tc>
          <w:tcPr>
            <w:tcW w:w="80" w:type="dxa"/>
            <w:vAlign w:val="bottom"/>
          </w:tcPr>
          <w:p>
            <w:pPr>
              <w:spacing w:after="0"/>
              <w:rPr>
                <w:sz w:val="18"/>
                <w:szCs w:val="18"/>
                <w:color w:val="auto"/>
              </w:rPr>
            </w:pP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Other income, net:</w:t>
            </w:r>
          </w:p>
        </w:tc>
        <w:tc>
          <w:tcPr>
            <w:tcW w:w="26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21"/>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454546"/>
              </w:rPr>
              <w:t>Interest income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4,737</w:t>
            </w: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18"/>
                <w:szCs w:val="18"/>
                <w:color w:val="454546"/>
              </w:rPr>
              <w:t>Other income, net</w:t>
            </w:r>
          </w:p>
        </w:tc>
        <w:tc>
          <w:tcPr>
            <w:tcW w:w="260" w:type="dxa"/>
            <w:vAlign w:val="bottom"/>
            <w:tcBorders>
              <w:bottom w:val="single" w:sz="8" w:color="454546"/>
            </w:tcBorders>
            <w:shd w:val="clear" w:color="auto" w:fill="E5E6E7"/>
          </w:tcPr>
          <w:p>
            <w:pPr>
              <w:spacing w:after="0"/>
              <w:rPr>
                <w:sz w:val="19"/>
                <w:szCs w:val="19"/>
                <w:color w:val="auto"/>
              </w:rPr>
            </w:pP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52</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80" w:type="dxa"/>
            <w:vAlign w:val="bottom"/>
            <w:tcBorders>
              <w:bottom w:val="single" w:sz="8" w:color="454546"/>
            </w:tcBorders>
            <w:shd w:val="clear" w:color="auto" w:fill="E5E6E7"/>
          </w:tcPr>
          <w:p>
            <w:pPr>
              <w:spacing w:after="0"/>
              <w:rPr>
                <w:sz w:val="19"/>
                <w:szCs w:val="19"/>
                <w:color w:val="auto"/>
              </w:rPr>
            </w:pP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82</w:t>
            </w:r>
          </w:p>
        </w:tc>
        <w:tc>
          <w:tcPr>
            <w:tcW w:w="80" w:type="dxa"/>
            <w:vAlign w:val="bottom"/>
            <w:shd w:val="clear" w:color="auto" w:fill="E5E6E7"/>
          </w:tcPr>
          <w:p>
            <w:pPr>
              <w:spacing w:after="0"/>
              <w:rPr>
                <w:sz w:val="19"/>
                <w:szCs w:val="19"/>
                <w:color w:val="auto"/>
              </w:rPr>
            </w:pPr>
          </w:p>
        </w:tc>
      </w:tr>
      <w:tr>
        <w:trPr>
          <w:trHeight w:val="216"/>
        </w:trPr>
        <w:tc>
          <w:tcPr>
            <w:tcW w:w="6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18"/>
                <w:szCs w:val="18"/>
                <w:color w:val="454546"/>
              </w:rPr>
              <w:t>Total other income, net</w:t>
            </w:r>
          </w:p>
        </w:tc>
        <w:tc>
          <w:tcPr>
            <w:tcW w:w="260" w:type="dxa"/>
            <w:vAlign w:val="bottom"/>
            <w:tcBorders>
              <w:bottom w:val="single" w:sz="8" w:color="454546"/>
            </w:tcBorders>
          </w:tcPr>
          <w:p>
            <w:pPr>
              <w:spacing w:after="0"/>
              <w:rPr>
                <w:sz w:val="18"/>
                <w:szCs w:val="18"/>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2,734</w:t>
            </w:r>
          </w:p>
        </w:tc>
        <w:tc>
          <w:tcPr>
            <w:tcW w:w="160" w:type="dxa"/>
            <w:vAlign w:val="bottom"/>
            <w:tcBorders>
              <w:bottom w:val="single" w:sz="8" w:color="E5E6E7"/>
            </w:tcBorders>
          </w:tcPr>
          <w:p>
            <w:pPr>
              <w:spacing w:after="0"/>
              <w:rPr>
                <w:sz w:val="18"/>
                <w:szCs w:val="18"/>
                <w:color w:val="auto"/>
              </w:rPr>
            </w:pPr>
          </w:p>
        </w:tc>
        <w:tc>
          <w:tcPr>
            <w:tcW w:w="100" w:type="dxa"/>
            <w:vAlign w:val="bottom"/>
            <w:tcBorders>
              <w:bottom w:val="single" w:sz="8" w:color="E5E6E7"/>
            </w:tcBorders>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4,819</w:t>
            </w:r>
          </w:p>
        </w:tc>
        <w:tc>
          <w:tcPr>
            <w:tcW w:w="80" w:type="dxa"/>
            <w:vAlign w:val="bottom"/>
            <w:tcBorders>
              <w:bottom w:val="single" w:sz="8" w:color="E5E6E7"/>
            </w:tcBorders>
          </w:tcPr>
          <w:p>
            <w:pPr>
              <w:spacing w:after="0"/>
              <w:rPr>
                <w:sz w:val="18"/>
                <w:szCs w:val="18"/>
                <w:color w:val="auto"/>
              </w:rPr>
            </w:pPr>
          </w:p>
        </w:tc>
      </w:tr>
      <w:tr>
        <w:trPr>
          <w:trHeight w:val="216"/>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54546"/>
              </w:rPr>
              <w:t>Net loss before income tax expense</w:t>
            </w:r>
          </w:p>
        </w:tc>
        <w:tc>
          <w:tcPr>
            <w:tcW w:w="260" w:type="dxa"/>
            <w:vAlign w:val="bottom"/>
            <w:shd w:val="clear" w:color="auto" w:fill="E5E6E7"/>
          </w:tcPr>
          <w:p>
            <w:pPr>
              <w:spacing w:after="0"/>
              <w:rPr>
                <w:sz w:val="18"/>
                <w:szCs w:val="18"/>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(90,597)</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(111,129)</w:t>
            </w:r>
          </w:p>
        </w:tc>
        <w:tc>
          <w:tcPr>
            <w:tcW w:w="80" w:type="dxa"/>
            <w:vAlign w:val="bottom"/>
            <w:shd w:val="clear" w:color="auto" w:fill="E5E6E7"/>
          </w:tcPr>
          <w:p>
            <w:pPr>
              <w:spacing w:after="0"/>
              <w:rPr>
                <w:sz w:val="18"/>
                <w:szCs w:val="18"/>
                <w:color w:val="auto"/>
              </w:rPr>
            </w:pPr>
          </w:p>
        </w:tc>
      </w:tr>
      <w:tr>
        <w:trPr>
          <w:trHeight w:val="221"/>
        </w:trPr>
        <w:tc>
          <w:tcPr>
            <w:tcW w:w="63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454546"/>
              </w:rPr>
              <w:t>Income tax expense</w:t>
            </w:r>
          </w:p>
        </w:tc>
        <w:tc>
          <w:tcPr>
            <w:tcW w:w="260" w:type="dxa"/>
            <w:vAlign w:val="bottom"/>
            <w:tcBorders>
              <w:bottom w:val="single" w:sz="8" w:color="454546"/>
            </w:tcBorders>
          </w:tcPr>
          <w:p>
            <w:pPr>
              <w:spacing w:after="0"/>
              <w:rPr>
                <w:sz w:val="19"/>
                <w:szCs w:val="19"/>
                <w:color w:val="auto"/>
              </w:rPr>
            </w:pPr>
          </w:p>
        </w:tc>
        <w:tc>
          <w:tcPr>
            <w:tcW w:w="10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160" w:type="dxa"/>
            <w:vAlign w:val="bottom"/>
            <w:tcBorders>
              <w:bottom w:val="single" w:sz="8" w:color="E5E6E7"/>
            </w:tcBorders>
          </w:tcPr>
          <w:p>
            <w:pPr>
              <w:spacing w:after="0"/>
              <w:rPr>
                <w:sz w:val="19"/>
                <w:szCs w:val="19"/>
                <w:color w:val="auto"/>
              </w:rPr>
            </w:pPr>
          </w:p>
        </w:tc>
        <w:tc>
          <w:tcPr>
            <w:tcW w:w="100" w:type="dxa"/>
            <w:vAlign w:val="bottom"/>
            <w:tcBorders>
              <w:bottom w:val="single" w:sz="8" w:color="E5E6E7"/>
            </w:tcBorders>
          </w:tcPr>
          <w:p>
            <w:pPr>
              <w:spacing w:after="0"/>
              <w:rPr>
                <w:sz w:val="19"/>
                <w:szCs w:val="19"/>
                <w:color w:val="auto"/>
              </w:rPr>
            </w:pPr>
          </w:p>
        </w:tc>
        <w:tc>
          <w:tcPr>
            <w:tcW w:w="280" w:type="dxa"/>
            <w:vAlign w:val="bottom"/>
            <w:tcBorders>
              <w:bottom w:val="single" w:sz="8" w:color="454546"/>
            </w:tcBorders>
          </w:tcPr>
          <w:p>
            <w:pPr>
              <w:spacing w:after="0"/>
              <w:rPr>
                <w:sz w:val="19"/>
                <w:szCs w:val="19"/>
                <w:color w:val="auto"/>
              </w:rPr>
            </w:pPr>
          </w:p>
        </w:tc>
        <w:tc>
          <w:tcPr>
            <w:tcW w:w="10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80" w:type="dxa"/>
            <w:vAlign w:val="bottom"/>
            <w:tcBorders>
              <w:bottom w:val="single" w:sz="8" w:color="E5E6E7"/>
            </w:tcBorders>
          </w:tcPr>
          <w:p>
            <w:pPr>
              <w:spacing w:after="0"/>
              <w:rPr>
                <w:sz w:val="19"/>
                <w:szCs w:val="19"/>
                <w:color w:val="auto"/>
              </w:rPr>
            </w:pPr>
          </w:p>
        </w:tc>
      </w:tr>
      <w:tr>
        <w:trPr>
          <w:trHeight w:val="236"/>
        </w:trPr>
        <w:tc>
          <w:tcPr>
            <w:tcW w:w="634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18"/>
                <w:szCs w:val="18"/>
                <w:color w:val="454546"/>
              </w:rPr>
              <w:t>Net loss</w:t>
            </w:r>
          </w:p>
        </w:tc>
        <w:tc>
          <w:tcPr>
            <w:tcW w:w="260" w:type="dxa"/>
            <w:vAlign w:val="bottom"/>
            <w:tcBorders>
              <w:bottom w:val="single" w:sz="8" w:color="454546"/>
            </w:tcBorders>
            <w:shd w:val="clear" w:color="auto" w:fill="E5E6E7"/>
          </w:tcPr>
          <w:p>
            <w:pPr>
              <w:jc w:val="right"/>
              <w:ind w:right="95"/>
              <w:spacing w:after="0"/>
              <w:rPr>
                <w:sz w:val="20"/>
                <w:szCs w:val="20"/>
                <w:color w:val="auto"/>
              </w:rPr>
            </w:pPr>
            <w:r>
              <w:rPr>
                <w:rFonts w:ascii="Times New Roman" w:cs="Times New Roman" w:eastAsia="Times New Roman" w:hAnsi="Times New Roman"/>
                <w:sz w:val="17"/>
                <w:szCs w:val="17"/>
                <w:color w:val="454546"/>
                <w:w w:val="70"/>
              </w:rPr>
              <w:t>$</w:t>
            </w:r>
          </w:p>
        </w:tc>
        <w:tc>
          <w:tcPr>
            <w:tcW w:w="10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(90,597)</w:t>
            </w:r>
          </w:p>
        </w:tc>
        <w:tc>
          <w:tcPr>
            <w:tcW w:w="160" w:type="dxa"/>
            <w:vAlign w:val="bottom"/>
            <w:tcBorders>
              <w:bottom w:val="single" w:sz="8" w:color="E5E6E7"/>
            </w:tcBorders>
            <w:shd w:val="clear" w:color="auto" w:fill="E5E6E7"/>
          </w:tcPr>
          <w:p>
            <w:pPr>
              <w:spacing w:after="0"/>
              <w:rPr>
                <w:sz w:val="20"/>
                <w:szCs w:val="20"/>
                <w:color w:val="auto"/>
              </w:rPr>
            </w:pPr>
          </w:p>
        </w:tc>
        <w:tc>
          <w:tcPr>
            <w:tcW w:w="100" w:type="dxa"/>
            <w:vAlign w:val="bottom"/>
            <w:tcBorders>
              <w:bottom w:val="single" w:sz="8" w:color="E5E6E7"/>
            </w:tcBorders>
            <w:shd w:val="clear" w:color="auto" w:fill="E5E6E7"/>
          </w:tcPr>
          <w:p>
            <w:pPr>
              <w:spacing w:after="0"/>
              <w:rPr>
                <w:sz w:val="20"/>
                <w:szCs w:val="20"/>
                <w:color w:val="auto"/>
              </w:rPr>
            </w:pPr>
          </w:p>
        </w:tc>
        <w:tc>
          <w:tcPr>
            <w:tcW w:w="280" w:type="dxa"/>
            <w:vAlign w:val="bottom"/>
            <w:tcBorders>
              <w:bottom w:val="single" w:sz="8" w:color="454546"/>
            </w:tcBorders>
            <w:shd w:val="clear" w:color="auto" w:fill="E5E6E7"/>
          </w:tcPr>
          <w:p>
            <w:pPr>
              <w:jc w:val="right"/>
              <w:ind w:right="115"/>
              <w:spacing w:after="0"/>
              <w:rPr>
                <w:sz w:val="20"/>
                <w:szCs w:val="20"/>
                <w:color w:val="auto"/>
              </w:rPr>
            </w:pPr>
            <w:r>
              <w:rPr>
                <w:rFonts w:ascii="Times New Roman" w:cs="Times New Roman" w:eastAsia="Times New Roman" w:hAnsi="Times New Roman"/>
                <w:sz w:val="17"/>
                <w:szCs w:val="17"/>
                <w:color w:val="454546"/>
                <w:w w:val="70"/>
              </w:rPr>
              <w:t>$</w:t>
            </w:r>
          </w:p>
        </w:tc>
        <w:tc>
          <w:tcPr>
            <w:tcW w:w="10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54546"/>
              </w:rPr>
              <w:t>(111,129)</w:t>
            </w:r>
          </w:p>
        </w:tc>
        <w:tc>
          <w:tcPr>
            <w:tcW w:w="80" w:type="dxa"/>
            <w:vAlign w:val="bottom"/>
            <w:tcBorders>
              <w:bottom w:val="single" w:sz="8" w:color="E5E6E7"/>
            </w:tcBorders>
            <w:shd w:val="clear" w:color="auto" w:fill="E5E6E7"/>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454546"/>
            </w:tcBorders>
          </w:tcPr>
          <w:p>
            <w:pPr>
              <w:spacing w:after="0" w:line="20" w:lineRule="exact"/>
              <w:rPr>
                <w:sz w:val="1"/>
                <w:szCs w:val="1"/>
                <w:color w:val="auto"/>
              </w:rPr>
            </w:pPr>
          </w:p>
        </w:tc>
        <w:tc>
          <w:tcPr>
            <w:tcW w:w="108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13. Subsequent Events</w:t>
      </w:r>
    </w:p>
    <w:p>
      <w:pPr>
        <w:spacing w:after="0" w:line="244" w:lineRule="exact"/>
        <w:rPr>
          <w:sz w:val="20"/>
          <w:szCs w:val="20"/>
          <w:color w:val="auto"/>
        </w:rPr>
      </w:pPr>
    </w:p>
    <w:p>
      <w:pPr>
        <w:jc w:val="both"/>
        <w:ind w:right="380" w:firstLine="490"/>
        <w:spacing w:after="0" w:line="258" w:lineRule="auto"/>
        <w:rPr>
          <w:sz w:val="20"/>
          <w:szCs w:val="20"/>
          <w:color w:val="auto"/>
        </w:rPr>
      </w:pPr>
      <w:r>
        <w:rPr>
          <w:rFonts w:ascii="Times New Roman" w:cs="Times New Roman" w:eastAsia="Times New Roman" w:hAnsi="Times New Roman"/>
          <w:sz w:val="20"/>
          <w:szCs w:val="20"/>
          <w:color w:val="454546"/>
        </w:rPr>
        <w:t>In March 2026, the Company entered into a collaboration agreement with Alnylam Pharmaceuticals, Inc. (Alnylam), pursuant to which both parties agreed to a research collaboration to discover and validate novel gene targets for the potential treatment of cardiovascular disease.</w:t>
      </w:r>
    </w:p>
    <w:p>
      <w:pPr>
        <w:spacing w:after="0" w:line="6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454546"/>
        </w:rPr>
        <w:t xml:space="preserve">Together, both parties will nominate an aggregate of 15 targets, align on which targets to move forward into the collaboration and then collaborate for a period of twenty-four (24) months (which may be extended for completion of the work) during which the parties will conduct </w:t>
      </w:r>
      <w:r>
        <w:rPr>
          <w:rFonts w:ascii="Times New Roman" w:cs="Times New Roman" w:eastAsia="Times New Roman" w:hAnsi="Times New Roman"/>
          <w:sz w:val="19"/>
          <w:szCs w:val="19"/>
          <w:i w:val="1"/>
          <w:iCs w:val="1"/>
          <w:color w:val="454546"/>
        </w:rPr>
        <w:t>in vitro</w:t>
      </w:r>
      <w:r>
        <w:rPr>
          <w:rFonts w:ascii="Times New Roman" w:cs="Times New Roman" w:eastAsia="Times New Roman" w:hAnsi="Times New Roman"/>
          <w:sz w:val="19"/>
          <w:szCs w:val="19"/>
          <w:color w:val="454546"/>
        </w:rPr>
        <w:t xml:space="preserve"> and </w:t>
      </w:r>
      <w:r>
        <w:rPr>
          <w:rFonts w:ascii="Times New Roman" w:cs="Times New Roman" w:eastAsia="Times New Roman" w:hAnsi="Times New Roman"/>
          <w:sz w:val="19"/>
          <w:szCs w:val="19"/>
          <w:i w:val="1"/>
          <w:iCs w:val="1"/>
          <w:color w:val="454546"/>
        </w:rPr>
        <w:t>in vivo</w:t>
      </w:r>
      <w:r>
        <w:rPr>
          <w:rFonts w:ascii="Times New Roman" w:cs="Times New Roman" w:eastAsia="Times New Roman" w:hAnsi="Times New Roman"/>
          <w:sz w:val="19"/>
          <w:szCs w:val="19"/>
          <w:color w:val="454546"/>
        </w:rPr>
        <w:t xml:space="preserve"> validation activities under a mutually agreed research plan and budget. Each party will be solely responsible for its own costs incurred to conduct its activities under the research plan, except that Alnylam will reimburse the Company for full-time employees</w:t>
      </w:r>
    </w:p>
    <w:p>
      <w:pPr>
        <w:spacing w:after="0" w:line="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454546"/>
        </w:rPr>
        <w:t>and out-of-pocket costs and expenses incurred by the Company in accordance with the agreed-upon research budget. After completion of the validation activities, Alnylam will be solely responsible, at its own expense, for all development, manufacture, regulatory and commercialization activities for any products directed to a collaboration target.</w:t>
      </w:r>
    </w:p>
    <w:p>
      <w:pPr>
        <w:spacing w:after="0" w:line="8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Pursuant to the terms of the collaboration agreement, Alnylam will pay the Company an upfront payment of up to $10.0 million within thirty (30) days after Alnylam’s receipt of an invoice from the Company. The upfront payment is subject to $ 500,000 reductions for up to eight Company nominated targets that do not meet certain agreed-upon standards and that the joint steering committee chooses not to advance. The Company is also eligible to receive up to an aggregate of $1.1 billion in development, regulatory and sales-based milestones related to products directed to targets nominated by the Company.</w:t>
      </w:r>
    </w:p>
    <w:p>
      <w:pPr>
        <w:sectPr>
          <w:pgSz w:w="12240" w:h="15840" w:orient="portrait"/>
          <w:cols w:equalWidth="0" w:num="1">
            <w:col w:w="9360"/>
          </w:cols>
          <w:pgMar w:left="1440" w:top="1433"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130</w:t>
      </w:r>
    </w:p>
    <w:p>
      <w:pPr>
        <w:sectPr>
          <w:pgSz w:w="12240" w:h="15840" w:orient="portrait"/>
          <w:cols w:equalWidth="0" w:num="1">
            <w:col w:w="9360"/>
          </w:cols>
          <w:pgMar w:left="1440" w:top="1433" w:right="1440" w:bottom="175" w:gutter="0" w:footer="0" w:header="0"/>
          <w:type w:val="continuous"/>
        </w:sectPr>
      </w:pPr>
    </w:p>
    <w:bookmarkStart w:id="132" w:name="page133"/>
    <w:bookmarkEnd w:id="13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 Changes in and Disagreements With Accountants on Accounting and Financial Disclosure.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5454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9A. Controls and Procedures.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454546"/>
        </w:rPr>
        <w:t>Evaluation of Disclosure Controls and Procedures</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management, with the participation and supervision of our Chief Executive Officer, who is our principal executive officer and who is also serving as our interim principal financial officer, has evaluated our disclosure controls and procedures (as defined in Rules 13a-15(e) and 15d-15(e) under the Exchange Act) as of the end of the period covered by this Annual Report on Form 10-K. Based on that evaluation, our Chief Executive Officer and interim principal financial officer has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454546"/>
        </w:rPr>
        <w:t>Management’s Annual Report on Internal Control over Financial Reporting</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Our management is responsible for establishing and maintaining adequate internal control over financial reporting (as defined in Rule 13a-15(f) under the Exchange Act). Under the supervision of and with the participation of our principal executive officer and interim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As an emerging growth company, we are not required to provide, and this Annual Report on Form 10-K does not include an attestation report on our internal control over financial reporting issued by our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454546"/>
        </w:rPr>
        <w:t>Changes in Internal Control over Financial Reporting</w:t>
      </w:r>
    </w:p>
    <w:p>
      <w:pPr>
        <w:spacing w:after="0" w:line="12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There were no changes in our internal control over financial reporting (as defined in Exchange Act Rules 13a-15(f) and 15d-15(f)) during the quarter ended December 31, 2025 that have materially affected, or are reasonably likely to materially affect, our internal control over financial reporting.</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454546"/>
        </w:rPr>
        <w:t>Inherent Limitations on Effectiveness of Controls</w:t>
      </w:r>
    </w:p>
    <w:p>
      <w:pPr>
        <w:spacing w:after="0" w:line="12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131</w:t>
      </w:r>
    </w:p>
    <w:p>
      <w:pPr>
        <w:sectPr>
          <w:pgSz w:w="12240" w:h="15840" w:orient="portrait"/>
          <w:cols w:equalWidth="0" w:num="1">
            <w:col w:w="9360"/>
          </w:cols>
          <w:pgMar w:left="1440" w:top="1440" w:right="1440" w:bottom="175"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454546"/>
        </w:rPr>
        <w:t>Item 9B. Other Information.</w:t>
      </w:r>
    </w:p>
    <w:p>
      <w:pPr>
        <w:spacing w:after="0" w:line="12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During our last fiscal quarter, no director or officer, as defined in Rule 16a-1(f), adopted or terminated a “Rule 10b5-1 trading arrangement” or a “non-Rule 10b5-1 trading arrangement,” each as defined in Regulation S-K Item 408.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132</w:t>
      </w:r>
    </w:p>
    <w:p>
      <w:pPr>
        <w:sectPr>
          <w:pgSz w:w="12240" w:h="15840" w:orient="portrait"/>
          <w:cols w:equalWidth="0" w:num="1">
            <w:col w:w="9360"/>
          </w:cols>
          <w:pgMar w:left="1440" w:top="1416" w:right="1440" w:bottom="175"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454546"/>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10. Directors, Executive Officers and Corporate Governance.</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2025, and is incorporated herein by reference.</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454546"/>
        </w:rPr>
        <w:t>Code of Ethics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spacing w:after="0" w:line="74" w:lineRule="exact"/>
        <w:rPr>
          <w:sz w:val="20"/>
          <w:szCs w:val="20"/>
          <w:color w:val="auto"/>
        </w:rPr>
      </w:pPr>
    </w:p>
    <w:p>
      <w:pPr>
        <w:jc w:val="both"/>
        <w:ind w:right="180" w:firstLine="490"/>
        <w:spacing w:after="0" w:line="252" w:lineRule="auto"/>
        <w:rPr>
          <w:sz w:val="20"/>
          <w:szCs w:val="20"/>
          <w:color w:val="auto"/>
        </w:rPr>
      </w:pPr>
      <w:r>
        <w:rPr>
          <w:rFonts w:ascii="Times New Roman" w:cs="Times New Roman" w:eastAsia="Times New Roman" w:hAnsi="Times New Roman"/>
          <w:sz w:val="20"/>
          <w:szCs w:val="20"/>
          <w:color w:val="454546"/>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11. Executive Compensation.</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2025, and is incorporated herein by reference.</w:t>
      </w:r>
    </w:p>
    <w:p>
      <w:pPr>
        <w:spacing w:after="0" w:line="16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454546"/>
        </w:rPr>
        <w:t>Item 12. Security Ownership of Certain Beneficial Owners and Management and Related Stockholder Matters.</w:t>
      </w:r>
    </w:p>
    <w:p>
      <w:pPr>
        <w:spacing w:after="0" w:line="36"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2025,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13. Certain Relationships and Related Transactions, and Director Independence.</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2025,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14. Principal Accounting Fees and Services.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454546"/>
        </w:rPr>
        <w:t>Information required by this item will be contained in our definitive Proxy Statement to be filed with the SEC on Schedule 14A within 120 days of December 31, 2025, and is incorporated herein by reference.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133</w:t>
      </w:r>
    </w:p>
    <w:p>
      <w:pPr>
        <w:sectPr>
          <w:pgSz w:w="12240" w:h="15840" w:orient="portrait"/>
          <w:cols w:equalWidth="0" w:num="1">
            <w:col w:w="9360"/>
          </w:cols>
          <w:pgMar w:left="1440" w:top="1416" w:right="1440" w:bottom="175"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454546"/>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15. Exhibits, Financial Statement Schedules.</w:t>
      </w:r>
    </w:p>
    <w:p>
      <w:pPr>
        <w:spacing w:after="0" w:line="124" w:lineRule="exact"/>
        <w:rPr>
          <w:sz w:val="20"/>
          <w:szCs w:val="20"/>
          <w:color w:val="auto"/>
        </w:rPr>
      </w:pPr>
    </w:p>
    <w:p>
      <w:pPr>
        <w:ind w:left="980" w:hanging="490"/>
        <w:spacing w:after="0"/>
        <w:tabs>
          <w:tab w:leader="none" w:pos="980" w:val="left"/>
        </w:tabs>
        <w:numPr>
          <w:ilvl w:val="0"/>
          <w:numId w:val="5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following documents are filed as a part of the report:</w:t>
      </w:r>
    </w:p>
    <w:p>
      <w:pPr>
        <w:spacing w:after="0" w:line="120" w:lineRule="exact"/>
        <w:rPr>
          <w:rFonts w:ascii="Times New Roman" w:cs="Times New Roman" w:eastAsia="Times New Roman" w:hAnsi="Times New Roman"/>
          <w:sz w:val="20"/>
          <w:szCs w:val="20"/>
          <w:color w:val="454546"/>
        </w:rPr>
      </w:pPr>
    </w:p>
    <w:p>
      <w:pPr>
        <w:ind w:left="1440" w:right="160" w:hanging="490"/>
        <w:spacing w:after="0" w:line="277" w:lineRule="auto"/>
        <w:tabs>
          <w:tab w:leader="none" w:pos="1440" w:val="left"/>
        </w:tabs>
        <w:numPr>
          <w:ilvl w:val="1"/>
          <w:numId w:val="5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Financial Statements: The financial statements filed as part of this Annual Report are included in Part II, Item 8 of this Annual Report.</w:t>
      </w:r>
    </w:p>
    <w:p>
      <w:pPr>
        <w:spacing w:after="0" w:line="49" w:lineRule="exact"/>
        <w:rPr>
          <w:rFonts w:ascii="Times New Roman" w:cs="Times New Roman" w:eastAsia="Times New Roman" w:hAnsi="Times New Roman"/>
          <w:sz w:val="20"/>
          <w:szCs w:val="20"/>
          <w:color w:val="454546"/>
        </w:rPr>
      </w:pPr>
    </w:p>
    <w:p>
      <w:pPr>
        <w:ind w:left="1440" w:right="260" w:hanging="490"/>
        <w:spacing w:after="0" w:line="258" w:lineRule="auto"/>
        <w:tabs>
          <w:tab w:leader="none" w:pos="1440" w:val="left"/>
        </w:tabs>
        <w:numPr>
          <w:ilvl w:val="1"/>
          <w:numId w:val="5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68" w:lineRule="exact"/>
        <w:rPr>
          <w:rFonts w:ascii="Times New Roman" w:cs="Times New Roman" w:eastAsia="Times New Roman" w:hAnsi="Times New Roman"/>
          <w:sz w:val="20"/>
          <w:szCs w:val="20"/>
          <w:color w:val="454546"/>
        </w:rPr>
      </w:pPr>
    </w:p>
    <w:p>
      <w:pPr>
        <w:ind w:left="1440" w:right="340" w:hanging="490"/>
        <w:spacing w:after="0" w:line="277" w:lineRule="auto"/>
        <w:tabs>
          <w:tab w:leader="none" w:pos="1440" w:val="left"/>
        </w:tabs>
        <w:numPr>
          <w:ilvl w:val="1"/>
          <w:numId w:val="5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Exhibits: The exhibits listed in the accompanying index to exhibits are filed or incorporated by reference as part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134</w:t>
      </w:r>
    </w:p>
    <w:p>
      <w:pPr>
        <w:sectPr>
          <w:pgSz w:w="12240" w:h="15840" w:orient="portrait"/>
          <w:cols w:equalWidth="0" w:num="1">
            <w:col w:w="9360"/>
          </w:cols>
          <w:pgMar w:left="1440" w:top="1416" w:right="1440" w:bottom="175"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454546"/>
        </w:rPr>
        <w:t>Exhibit Index</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4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 w:type="dxa"/>
            <w:vAlign w:val="bottom"/>
            <w:tcBorders>
              <w:bottom w:val="single" w:sz="8" w:color="454546"/>
            </w:tcBorders>
          </w:tcPr>
          <w:p>
            <w:pPr>
              <w:ind w:left="180"/>
              <w:spacing w:after="0"/>
              <w:rPr>
                <w:sz w:val="20"/>
                <w:szCs w:val="20"/>
                <w:color w:val="auto"/>
              </w:rPr>
            </w:pPr>
            <w:r>
              <w:rPr>
                <w:rFonts w:ascii="Times New Roman" w:cs="Times New Roman" w:eastAsia="Times New Roman" w:hAnsi="Times New Roman"/>
                <w:sz w:val="16"/>
                <w:szCs w:val="16"/>
                <w:b w:val="1"/>
                <w:bCs w:val="1"/>
                <w:color w:val="454546"/>
              </w:rPr>
              <w:t>Number</w:t>
            </w:r>
          </w:p>
        </w:tc>
        <w:tc>
          <w:tcPr>
            <w:tcW w:w="468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454546"/>
              </w:rPr>
              <w:t>Description</w:t>
            </w:r>
          </w:p>
        </w:tc>
        <w:tc>
          <w:tcPr>
            <w:tcW w:w="6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454546"/>
              </w:rPr>
              <w:t>Form</w:t>
            </w:r>
          </w:p>
        </w:tc>
        <w:tc>
          <w:tcPr>
            <w:tcW w:w="12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454546"/>
              </w:rPr>
              <w:t>File No.</w:t>
            </w:r>
          </w:p>
        </w:tc>
        <w:tc>
          <w:tcPr>
            <w:tcW w:w="8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54546"/>
              </w:rPr>
              <w:t>Filing Date</w:t>
            </w:r>
          </w:p>
        </w:tc>
        <w:tc>
          <w:tcPr>
            <w:tcW w:w="0" w:type="dxa"/>
            <w:vAlign w:val="bottom"/>
          </w:tcPr>
          <w:p>
            <w:pPr>
              <w:spacing w:after="0"/>
              <w:rPr>
                <w:sz w:val="1"/>
                <w:szCs w:val="1"/>
                <w:color w:val="auto"/>
              </w:rPr>
            </w:pPr>
          </w:p>
        </w:tc>
      </w:tr>
      <w:tr>
        <w:trPr>
          <w:trHeight w:val="211"/>
        </w:trPr>
        <w:tc>
          <w:tcPr>
            <w:tcW w:w="9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54546"/>
              </w:rPr>
              <w:t>3.1</w:t>
            </w:r>
          </w:p>
        </w:tc>
        <w:tc>
          <w:tcPr>
            <w:tcW w:w="4680" w:type="dxa"/>
            <w:vAlign w:val="bottom"/>
          </w:tcPr>
          <w:p>
            <w:pPr>
              <w:ind w:left="80"/>
              <w:spacing w:after="0" w:line="210" w:lineRule="exact"/>
              <w:rPr>
                <w:sz w:val="20"/>
                <w:szCs w:val="20"/>
                <w:color w:val="auto"/>
              </w:rPr>
            </w:pPr>
            <w:r>
              <w:rPr>
                <w:rFonts w:ascii="Times New Roman" w:cs="Times New Roman" w:eastAsia="Times New Roman" w:hAnsi="Times New Roman"/>
                <w:sz w:val="20"/>
                <w:szCs w:val="20"/>
                <w:color w:val="454546"/>
              </w:rPr>
              <w:t>Composite Amended and Restated Certificate of</w:t>
            </w:r>
          </w:p>
        </w:tc>
        <w:tc>
          <w:tcPr>
            <w:tcW w:w="640" w:type="dxa"/>
            <w:vAlign w:val="bottom"/>
          </w:tcPr>
          <w:p>
            <w:pPr>
              <w:ind w:left="80"/>
              <w:spacing w:after="0" w:line="210" w:lineRule="exact"/>
              <w:rPr>
                <w:sz w:val="20"/>
                <w:szCs w:val="20"/>
                <w:color w:val="auto"/>
              </w:rPr>
            </w:pPr>
            <w:r>
              <w:rPr>
                <w:rFonts w:ascii="Times New Roman" w:cs="Times New Roman" w:eastAsia="Times New Roman" w:hAnsi="Times New Roman"/>
                <w:sz w:val="20"/>
                <w:szCs w:val="20"/>
                <w:color w:val="454546"/>
              </w:rPr>
              <w:t>10-Q</w:t>
            </w:r>
          </w:p>
        </w:tc>
        <w:tc>
          <w:tcPr>
            <w:tcW w:w="1200" w:type="dxa"/>
            <w:vAlign w:val="bottom"/>
          </w:tcPr>
          <w:p>
            <w:pPr>
              <w:ind w:left="100"/>
              <w:spacing w:after="0" w:line="210" w:lineRule="exact"/>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line="210" w:lineRule="exact"/>
              <w:rPr>
                <w:sz w:val="20"/>
                <w:szCs w:val="20"/>
                <w:color w:val="auto"/>
              </w:rPr>
            </w:pPr>
            <w:r>
              <w:rPr>
                <w:rFonts w:ascii="Times New Roman" w:cs="Times New Roman" w:eastAsia="Times New Roman" w:hAnsi="Times New Roman"/>
                <w:sz w:val="20"/>
                <w:szCs w:val="20"/>
                <w:color w:val="454546"/>
              </w:rPr>
              <w:t>3.1</w:t>
            </w:r>
          </w:p>
        </w:tc>
        <w:tc>
          <w:tcPr>
            <w:tcW w:w="1020" w:type="dxa"/>
            <w:vAlign w:val="bottom"/>
          </w:tcPr>
          <w:p>
            <w:pPr>
              <w:ind w:left="80"/>
              <w:spacing w:after="0" w:line="210" w:lineRule="exact"/>
              <w:rPr>
                <w:sz w:val="20"/>
                <w:szCs w:val="20"/>
                <w:color w:val="auto"/>
              </w:rPr>
            </w:pPr>
            <w:r>
              <w:rPr>
                <w:rFonts w:ascii="Times New Roman" w:cs="Times New Roman" w:eastAsia="Times New Roman" w:hAnsi="Times New Roman"/>
                <w:sz w:val="20"/>
                <w:szCs w:val="20"/>
                <w:color w:val="454546"/>
              </w:rPr>
              <w:t>8-9-2023</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Incorporation of the Tenaya Therapeutics, Inc.</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3.2</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Amended and Restated Bylaws of Tenaya Therapeutics,</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3.1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3-21-2023</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Inc.</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4.1</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Specimen common stock certificate of the Registrant.</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4.2*</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Description of Securities of the Registrant.</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4.3</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Warrant to Purchase Stock</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10-Q</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11-6-2024</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4.4</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Form of Series A Warrant to Purchase Common Stock</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3-4-2025</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4.5</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Form of Series B Warrant to Purchase Common Stock</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3-4-2025</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4.6</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Form of Warrant to Purchase Stock</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w w:val="98"/>
              </w:rPr>
              <w:t>12-12-2025</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4.7</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Warrant Agent Agreement by and between</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10-Q</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4.1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w w:val="98"/>
              </w:rPr>
              <w:t>11-10-2025</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Computershare Trust Company, N.A. and the Registrant</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Form of Indemnification Agreement between the</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Registrant and each of its directors and executive</w:t>
            </w: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10.2</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officers.</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vMerge w:val="continue"/>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Amended and Restated 2016 Equity Incentive Plan and</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10.3</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forms of agreement thereunder.</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vMerge w:val="continue"/>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2021 Equity Incentive Plan and forms of agreements</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10-K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3-23-2022</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thereunder.</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10.4</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2021 Employee Stock Purchase Plan and forms of</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10.4</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10.5</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agreements thereunder.</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vMerge w:val="continue"/>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2024 Inducement Equity Incentive Plan, as amended,</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1-30-2026</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and forms of agreements thereunder</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10.6</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Employment Letter between the Registrant and Faraz</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10.5</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10.7</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Ali, M.B.A.</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vMerge w:val="continue"/>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Employment Letter between the Registrant and</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10.8</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Whittemore (Whit) Tingley, M.D., Ph.D.</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10.8</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Employment Letter between the Registrant and</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10-K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10.10</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3-10-2025</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Tomohiro Higa, M.B.A.</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454546"/>
              </w:rPr>
              <w:t>10.9</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Executive Change in Control and Severance Plan.</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6-12-2023</w:t>
            </w:r>
          </w:p>
        </w:tc>
        <w:tc>
          <w:tcPr>
            <w:tcW w:w="0" w:type="dxa"/>
            <w:vAlign w:val="bottom"/>
          </w:tcPr>
          <w:p>
            <w:pPr>
              <w:spacing w:after="0"/>
              <w:rPr>
                <w:sz w:val="1"/>
                <w:szCs w:val="1"/>
                <w:color w:val="auto"/>
              </w:rPr>
            </w:pPr>
          </w:p>
        </w:tc>
      </w:tr>
      <w:tr>
        <w:trPr>
          <w:trHeight w:val="245"/>
        </w:trPr>
        <w:tc>
          <w:tcPr>
            <w:tcW w:w="9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454546"/>
              </w:rPr>
              <w:t>10.10</w:t>
            </w:r>
            <w:r>
              <w:rPr>
                <w:rFonts w:ascii="Times New Roman" w:cs="Times New Roman" w:eastAsia="Times New Roman" w:hAnsi="Times New Roman"/>
                <w:sz w:val="26"/>
                <w:szCs w:val="26"/>
                <w:color w:val="454546"/>
                <w:vertAlign w:val="superscript"/>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Executive Incentive Compensation Plan.</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10.13</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454546"/>
              </w:rPr>
              <w:t>10.11</w:t>
            </w:r>
            <w:r>
              <w:rPr>
                <w:rFonts w:ascii="Times New Roman" w:cs="Times New Roman" w:eastAsia="Times New Roman" w:hAnsi="Times New Roman"/>
                <w:sz w:val="26"/>
                <w:szCs w:val="26"/>
                <w:color w:val="454546"/>
                <w:vertAlign w:val="superscript"/>
              </w:rPr>
              <w:t>+</w:t>
            </w:r>
            <w:r>
              <w:rPr>
                <w:rFonts w:ascii="Times New Roman" w:cs="Times New Roman" w:eastAsia="Times New Roman" w:hAnsi="Times New Roman"/>
                <w:sz w:val="20"/>
                <w:szCs w:val="20"/>
                <w:color w:val="454546"/>
              </w:rPr>
              <w:t>*</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Outside Director Compensation Policy.</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10.12</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Lease between HCP Oyster Point III LLC and the</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10.10</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Registrant dated as of September 6, 2016.</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10.13</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First Amendment to Lease between HCP Oyster Point</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10-Q</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8-8-2024</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III LLC and the Registrant dated as of September 6,</w:t>
            </w: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2016.</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10.14</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Lease between Terreno Park Union City LLC and the</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S-1/A</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333-257820</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10.11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7-26-2021</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Registrant dated as of February 12, 2021.</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10.15</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Loan and Security Agreement by and between Silicon</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S-3</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333-266741</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8-10-2022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Valley Bank, a division of First-Citizens Bank &amp; Trust</w:t>
            </w: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Company and Tenaya Therapeutics, Inc.</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10.16</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Sales Agreement, dated August 10, 2022, by and</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S-3</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333-266741</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1.2</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8-10-2022</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between Tenaya Therapeutics, Inc. and SVB Securities</w:t>
            </w: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LLC</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19.1</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Insider Trading Policy</w:t>
            </w: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10-K</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001-40656</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19.1</w:t>
            </w:r>
          </w:p>
        </w:tc>
        <w:tc>
          <w:tcPr>
            <w:tcW w:w="102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3-10-2025</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23.1*</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Consent of Deloitte &amp; Touche LLP, Independent</w:t>
            </w: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Registered Public Accounting Firm.</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24.1*</w:t>
            </w: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Power of Attorney (included on the signature page to</w:t>
            </w: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940" w:type="dxa"/>
            <w:vAlign w:val="bottom"/>
          </w:tcPr>
          <w:p>
            <w:pPr>
              <w:spacing w:after="0"/>
              <w:rPr>
                <w:sz w:val="23"/>
                <w:szCs w:val="23"/>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this Annual Report on Form 10-K).</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-7825740</wp:posOffset>
            </wp:positionV>
            <wp:extent cx="5949950" cy="7212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extLst>
                    </a:blip>
                    <a:srcRect/>
                    <a:stretch>
                      <a:fillRect/>
                    </a:stretch>
                  </pic:blipFill>
                  <pic:spPr bwMode="auto">
                    <a:xfrm>
                      <a:off x="0" y="0"/>
                      <a:ext cx="5949950" cy="7212330"/>
                    </a:xfrm>
                    <a:prstGeom prst="rect">
                      <a:avLst/>
                    </a:prstGeom>
                    <a:noFill/>
                  </pic:spPr>
                </pic:pic>
              </a:graphicData>
            </a:graphic>
          </wp:anchor>
        </w:drawing>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135</w:t>
      </w:r>
    </w:p>
    <w:p>
      <w:pPr>
        <w:sectPr>
          <w:pgSz w:w="12240" w:h="15840" w:orient="portrait"/>
          <w:cols w:equalWidth="0" w:num="1">
            <w:col w:w="9360"/>
          </w:cols>
          <w:pgMar w:left="1440" w:top="1416" w:right="1440" w:bottom="175"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31.1*</w:t>
            </w: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Certification of Principal Executive Officer and</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Principal Financial Officer Pursuant to Rules 13a-14(a)</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and 15d-14(a) under the Securities Exchange Act of</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1934, as Adopted Pursuant to Section 302 of the</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940" w:type="dxa"/>
            <w:vAlign w:val="bottom"/>
          </w:tcPr>
          <w:p>
            <w:pPr>
              <w:spacing w:after="0"/>
              <w:rPr>
                <w:sz w:val="21"/>
                <w:szCs w:val="21"/>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Sarbanes-Oxley Act of 2002.</w:t>
            </w:r>
          </w:p>
        </w:tc>
        <w:tc>
          <w:tcPr>
            <w:tcW w:w="1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32.1†*</w:t>
            </w: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Certification of Principal Executive Officer and</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Principal Financial Officer Pursuant to 18 U.S.C.</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Section 1350, as Adopted Pursuant to Section 906 of the</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940" w:type="dxa"/>
            <w:vAlign w:val="bottom"/>
          </w:tcPr>
          <w:p>
            <w:pPr>
              <w:spacing w:after="0"/>
              <w:rPr>
                <w:sz w:val="21"/>
                <w:szCs w:val="21"/>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Sarbanes-Oxley Act of 2002.</w:t>
            </w:r>
          </w:p>
        </w:tc>
        <w:tc>
          <w:tcPr>
            <w:tcW w:w="1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97</w:t>
            </w: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Compensation Recovery Policy.</w:t>
            </w:r>
          </w:p>
        </w:tc>
        <w:tc>
          <w:tcPr>
            <w:tcW w:w="176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10-K   001-40656</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454546"/>
              </w:rPr>
              <w:t>97</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3-18-2024</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101.INS*</w:t>
            </w: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Inline XBRL Instance Document–the instance document</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does not appear in the Interactive Data File as its XBRL</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940" w:type="dxa"/>
            <w:vAlign w:val="bottom"/>
          </w:tcPr>
          <w:p>
            <w:pPr>
              <w:spacing w:after="0"/>
              <w:rPr>
                <w:sz w:val="21"/>
                <w:szCs w:val="21"/>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tags are embedded within the Inline XBRL document.</w:t>
            </w:r>
          </w:p>
        </w:tc>
        <w:tc>
          <w:tcPr>
            <w:tcW w:w="1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101.SCH*</w:t>
            </w: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Inline XBRL Taxonomy Extension Schema With</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940" w:type="dxa"/>
            <w:vAlign w:val="bottom"/>
          </w:tcPr>
          <w:p>
            <w:pPr>
              <w:spacing w:after="0"/>
              <w:rPr>
                <w:sz w:val="21"/>
                <w:szCs w:val="21"/>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Embedded Linkbase Documents</w:t>
            </w:r>
          </w:p>
        </w:tc>
        <w:tc>
          <w:tcPr>
            <w:tcW w:w="1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454546"/>
              </w:rPr>
              <w:t>104*</w:t>
            </w: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Cover page formatted as Inline XBRL and contained in</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6"/>
        </w:trPr>
        <w:tc>
          <w:tcPr>
            <w:tcW w:w="940" w:type="dxa"/>
            <w:vAlign w:val="bottom"/>
          </w:tcPr>
          <w:p>
            <w:pPr>
              <w:spacing w:after="0"/>
              <w:rPr>
                <w:sz w:val="23"/>
                <w:szCs w:val="23"/>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20"/>
                <w:szCs w:val="20"/>
                <w:color w:val="454546"/>
              </w:rPr>
              <w:t>Exhibit 101</w:t>
            </w: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-2550160</wp:posOffset>
            </wp:positionV>
            <wp:extent cx="5943600" cy="2540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extLst>
                    </a:blip>
                    <a:srcRect/>
                    <a:stretch>
                      <a:fillRect/>
                    </a:stretch>
                  </pic:blipFill>
                  <pic:spPr bwMode="auto">
                    <a:xfrm>
                      <a:off x="0" y="0"/>
                      <a:ext cx="5943600" cy="2540000"/>
                    </a:xfrm>
                    <a:prstGeom prst="rect">
                      <a:avLst/>
                    </a:prstGeom>
                    <a:noFill/>
                  </pic:spPr>
                </pic:pic>
              </a:graphicData>
            </a:graphic>
          </wp:anchor>
        </w:drawing>
      </w:r>
    </w:p>
    <w:p>
      <w:pPr>
        <w:spacing w:after="0" w:line="228" w:lineRule="exact"/>
        <w:rPr>
          <w:sz w:val="20"/>
          <w:szCs w:val="20"/>
          <w:color w:val="auto"/>
        </w:rPr>
      </w:pPr>
    </w:p>
    <w:p>
      <w:pPr>
        <w:ind w:left="720" w:hanging="720"/>
        <w:spacing w:after="0"/>
        <w:tabs>
          <w:tab w:leader="none" w:pos="720" w:val="left"/>
        </w:tabs>
        <w:numPr>
          <w:ilvl w:val="0"/>
          <w:numId w:val="53"/>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color w:val="454546"/>
        </w:rPr>
        <w:t>Filed herewith</w:t>
      </w:r>
      <w:r>
        <w:rPr>
          <w:rFonts w:ascii="Times New Roman" w:cs="Times New Roman" w:eastAsia="Times New Roman" w:hAnsi="Times New Roman"/>
          <w:sz w:val="20"/>
          <w:szCs w:val="20"/>
          <w:b w:val="1"/>
          <w:bCs w:val="1"/>
          <w:color w:val="454546"/>
        </w:rPr>
        <w:t>.</w:t>
      </w:r>
    </w:p>
    <w:p>
      <w:pPr>
        <w:spacing w:after="0" w:line="124" w:lineRule="exact"/>
        <w:rPr>
          <w:sz w:val="20"/>
          <w:szCs w:val="20"/>
          <w:color w:val="auto"/>
        </w:rPr>
      </w:pPr>
    </w:p>
    <w:p>
      <w:pPr>
        <w:ind w:left="720" w:hanging="720"/>
        <w:spacing w:after="0"/>
        <w:tabs>
          <w:tab w:leader="none" w:pos="720" w:val="left"/>
        </w:tabs>
        <w:numPr>
          <w:ilvl w:val="0"/>
          <w:numId w:val="5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Management contract, compensatory plan or agreement.</w:t>
      </w:r>
    </w:p>
    <w:p>
      <w:pPr>
        <w:spacing w:after="0" w:line="120" w:lineRule="exact"/>
        <w:rPr>
          <w:sz w:val="20"/>
          <w:szCs w:val="20"/>
          <w:color w:val="auto"/>
        </w:rPr>
      </w:pPr>
    </w:p>
    <w:p>
      <w:pPr>
        <w:ind w:right="220"/>
        <w:spacing w:after="0" w:line="253" w:lineRule="auto"/>
        <w:tabs>
          <w:tab w:leader="none" w:pos="720" w:val="left"/>
        </w:tabs>
        <w:numPr>
          <w:ilvl w:val="0"/>
          <w:numId w:val="55"/>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color w:val="454546"/>
        </w:rPr>
        <w:t>The certifications attached as Exhibit 32.1 that accompany this Annual Report on Form 10-K are not deemed filed with the Securities and Exchange Commission and are not to be incorporated by reference into any filing of the Registrant under the Securities Act or the Exchange Act, whether made before or after the date of this Annual Report on Form 10-K, irrespective of any general incorporation language contained in such filing.</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136</w:t>
      </w:r>
    </w:p>
    <w:p>
      <w:pPr>
        <w:sectPr>
          <w:pgSz w:w="12240" w:h="15840" w:orient="portrait"/>
          <w:cols w:equalWidth="0" w:num="1">
            <w:col w:w="9360"/>
          </w:cols>
          <w:pgMar w:left="1440" w:top="1435" w:right="1440" w:bottom="175"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454546"/>
        </w:rPr>
        <w:t>SIGNATURES</w:t>
      </w:r>
    </w:p>
    <w:p>
      <w:pPr>
        <w:spacing w:after="0" w:line="244"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454546"/>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454546"/>
        </w:rPr>
        <w:t>.</w:t>
      </w:r>
    </w:p>
    <w:p>
      <w:pPr>
        <w:spacing w:after="0" w:line="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454546"/>
        </w:rPr>
        <w:t>TENAYA THERAPEUTICS, INC.</w:t>
      </w:r>
    </w:p>
    <w:p>
      <w:pPr>
        <w:spacing w:after="0" w:line="26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20"/>
          <w:szCs w:val="20"/>
          <w:color w:val="454546"/>
        </w:rPr>
        <w:t>Date: March 11, 2026</w:t>
      </w:r>
      <w:r>
        <w:rPr>
          <w:sz w:val="20"/>
          <w:szCs w:val="20"/>
          <w:color w:val="auto"/>
        </w:rPr>
        <w:tab/>
      </w:r>
      <w:r>
        <w:rPr>
          <w:rFonts w:ascii="Times New Roman" w:cs="Times New Roman" w:eastAsia="Times New Roman" w:hAnsi="Times New Roman"/>
          <w:sz w:val="20"/>
          <w:szCs w:val="20"/>
          <w:color w:val="454546"/>
        </w:rPr>
        <w:t>By: /s/ Faraz Ali, 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3181985</wp:posOffset>
                </wp:positionH>
                <wp:positionV relativeFrom="paragraph">
                  <wp:posOffset>13970</wp:posOffset>
                </wp:positionV>
                <wp:extent cx="27616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1615" cy="4763"/>
                        </a:xfrm>
                        <a:prstGeom prst="line">
                          <a:avLst/>
                        </a:prstGeom>
                        <a:solidFill>
                          <a:srgbClr val="FFFFFF"/>
                        </a:solidFill>
                        <a:ln w="3175">
                          <a:solidFill>
                            <a:srgbClr val="454546"/>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55pt,1.1pt" to="468pt,1.1pt" o:allowincell="f" strokecolor="#454546" strokeweight="0.25pt"/>
            </w:pict>
          </mc:Fallback>
        </mc:AlternateContent>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454546"/>
        </w:rPr>
        <w:t>Faraz Ali, M.B.A.</w:t>
      </w:r>
    </w:p>
    <w:p>
      <w:pPr>
        <w:spacing w:after="0" w:line="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454546"/>
        </w:rPr>
        <w:t>Chief Executive Officer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POWER OF ATTORNEY</w:t>
      </w:r>
    </w:p>
    <w:p>
      <w:pPr>
        <w:spacing w:after="0" w:line="24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KNOW ALL PERSONS BY THESE PRESENTS, that each person whose signature appears below constitutes and appoints Faraz Ali and Tomohiro Higa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8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Pursuant to the requirements of the Securities Exchange Act of 1934, as amended, this Report has been signed below by the following persons on behalf of the Registrant in the capacities and on the dates indicated.</w:t>
      </w:r>
    </w:p>
    <w:p>
      <w:pPr>
        <w:sectPr>
          <w:pgSz w:w="12240" w:h="15840" w:orient="portrait"/>
          <w:cols w:equalWidth="0" w:num="1">
            <w:col w:w="9360"/>
          </w:cols>
          <w:pgMar w:left="1440" w:top="1416" w:right="1440" w:bottom="175" w:gutter="0" w:footer="0" w:header="0"/>
        </w:sectPr>
      </w:pP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b w:val="1"/>
          <w:bCs w:val="1"/>
          <w:color w:val="454546"/>
        </w:rPr>
        <w:t>Name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08026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3175">
                          <a:solidFill>
                            <a:srgbClr val="454546"/>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63.8pt,1.05pt" o:allowincell="f" strokecolor="#454546" strokeweight="0.25pt"/>
            </w:pict>
          </mc:Fallback>
        </mc:AlternateConten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Faraz Ali, 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08026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3175">
                          <a:solidFill>
                            <a:srgbClr val="454546"/>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163.8pt,1.1pt" o:allowincell="f" strokecolor="#454546" strokeweight="0.25pt"/>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54546"/>
        </w:rPr>
        <w:t>Faraz Ali, M.B.A.</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Tomohiro Higa, 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08026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3175">
                          <a:solidFill>
                            <a:srgbClr val="454546"/>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163.8pt,1.1pt" o:allowincell="f" strokecolor="#454546" strokeweight="0.25pt"/>
            </w:pict>
          </mc:Fallback>
        </mc:AlternateConten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54546"/>
        </w:rPr>
        <w:t>Tomohiro Higa, M.B.A.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54546"/>
        </w:rPr>
        <w:t>/s/ Amy L. Burroughs, 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20802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0260" cy="4763"/>
                        </a:xfrm>
                        <a:prstGeom prst="line">
                          <a:avLst/>
                        </a:prstGeom>
                        <a:solidFill>
                          <a:srgbClr val="FFFFFF"/>
                        </a:solidFill>
                        <a:ln w="3175">
                          <a:solidFill>
                            <a:srgbClr val="454546"/>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63.8pt,1.65pt" o:allowincell="f" strokecolor="#454546" strokeweight="0.25pt"/>
            </w:pict>
          </mc:Fallback>
        </mc:AlternateConten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54546"/>
        </w:rPr>
        <w:t>Amy L. Burroughs, M.B.A.</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Borders>
              <w:bottom w:val="single" w:sz="8" w:color="454546"/>
            </w:tcBorders>
          </w:tcPr>
          <w:p>
            <w:pPr>
              <w:ind w:left="1760"/>
              <w:spacing w:after="0"/>
              <w:rPr>
                <w:sz w:val="20"/>
                <w:szCs w:val="20"/>
                <w:color w:val="auto"/>
              </w:rPr>
            </w:pPr>
            <w:r>
              <w:rPr>
                <w:rFonts w:ascii="Times New Roman" w:cs="Times New Roman" w:eastAsia="Times New Roman" w:hAnsi="Times New Roman"/>
                <w:sz w:val="16"/>
                <w:szCs w:val="16"/>
                <w:b w:val="1"/>
                <w:bCs w:val="1"/>
                <w:color w:val="454546"/>
              </w:rPr>
              <w:t>Title</w:t>
            </w:r>
          </w:p>
        </w:tc>
        <w:tc>
          <w:tcPr>
            <w:tcW w:w="100" w:type="dxa"/>
            <w:vAlign w:val="bottom"/>
          </w:tcPr>
          <w:p>
            <w:pPr>
              <w:spacing w:after="0"/>
              <w:rPr>
                <w:sz w:val="19"/>
                <w:szCs w:val="19"/>
                <w:color w:val="auto"/>
              </w:rPr>
            </w:pPr>
          </w:p>
        </w:tc>
        <w:tc>
          <w:tcPr>
            <w:tcW w:w="2020" w:type="dxa"/>
            <w:vAlign w:val="bottom"/>
            <w:tcBorders>
              <w:bottom w:val="single" w:sz="8" w:color="454546"/>
            </w:tcBorders>
          </w:tcPr>
          <w:p>
            <w:pPr>
              <w:ind w:left="840"/>
              <w:spacing w:after="0"/>
              <w:rPr>
                <w:sz w:val="20"/>
                <w:szCs w:val="20"/>
                <w:color w:val="auto"/>
              </w:rPr>
            </w:pPr>
            <w:r>
              <w:rPr>
                <w:rFonts w:ascii="Times New Roman" w:cs="Times New Roman" w:eastAsia="Times New Roman" w:hAnsi="Times New Roman"/>
                <w:sz w:val="16"/>
                <w:szCs w:val="16"/>
                <w:b w:val="1"/>
                <w:bCs w:val="1"/>
                <w:color w:val="454546"/>
              </w:rPr>
              <w:t>Date</w:t>
            </w:r>
          </w:p>
        </w:tc>
      </w:tr>
      <w:tr>
        <w:trPr>
          <w:trHeight w:val="309"/>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Chief Executive Officer and 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11, 2026</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(Principal Executive Officer and Interim</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4"/>
        </w:trPr>
        <w:tc>
          <w:tcPr>
            <w:tcW w:w="386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Principal Financial Officer)</w:t>
            </w: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33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Senior Vice President, Finance</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11, 2026</w:t>
            </w:r>
          </w:p>
        </w:tc>
      </w:tr>
      <w:tr>
        <w:trPr>
          <w:trHeight w:val="264"/>
        </w:trPr>
        <w:tc>
          <w:tcPr>
            <w:tcW w:w="386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(Interim Principal Accounting Officer)</w:t>
            </w: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353"/>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0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0"/>
                <w:szCs w:val="20"/>
                <w:color w:val="454546"/>
              </w:rPr>
              <w:t>March 11, 2026</w:t>
            </w:r>
          </w:p>
        </w:tc>
      </w:tr>
    </w:tbl>
    <w:p>
      <w:pPr>
        <w:spacing w:after="0" w:line="286" w:lineRule="exact"/>
        <w:rPr>
          <w:sz w:val="20"/>
          <w:szCs w:val="20"/>
          <w:color w:val="auto"/>
        </w:rPr>
      </w:pPr>
    </w:p>
    <w:p>
      <w:pPr>
        <w:sectPr>
          <w:pgSz w:w="12240" w:h="15840" w:orient="portrait"/>
          <w:cols w:equalWidth="0" w:num="2">
            <w:col w:w="2660" w:space="720"/>
            <w:col w:w="5980"/>
          </w:cols>
          <w:pgMar w:left="1440" w:top="1416" w:right="1440" w:bottom="175"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June Lee, M.D.</w:t>
            </w:r>
          </w:p>
        </w:tc>
        <w:tc>
          <w:tcPr>
            <w:tcW w:w="24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Director</w:t>
            </w:r>
          </w:p>
        </w:tc>
        <w:tc>
          <w:tcPr>
            <w:tcW w:w="2920" w:type="dxa"/>
            <w:vAlign w:val="bottom"/>
          </w:tcPr>
          <w:p>
            <w:pPr>
              <w:ind w:left="1660"/>
              <w:spacing w:after="0"/>
              <w:rPr>
                <w:sz w:val="20"/>
                <w:szCs w:val="20"/>
                <w:color w:val="auto"/>
              </w:rPr>
            </w:pPr>
            <w:r>
              <w:rPr>
                <w:rFonts w:ascii="Times New Roman" w:cs="Times New Roman" w:eastAsia="Times New Roman" w:hAnsi="Times New Roman"/>
                <w:sz w:val="20"/>
                <w:szCs w:val="20"/>
                <w:color w:val="454546"/>
                <w:w w:val="97"/>
              </w:rPr>
              <w:t>March 11, 2026</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June Lee, M.D.</w:t>
            </w:r>
          </w:p>
        </w:tc>
        <w:tc>
          <w:tcPr>
            <w:tcW w:w="24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27"/>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Karah Parschauer, J.D.</w:t>
            </w:r>
          </w:p>
        </w:tc>
        <w:tc>
          <w:tcPr>
            <w:tcW w:w="24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Director</w:t>
            </w:r>
          </w:p>
        </w:tc>
        <w:tc>
          <w:tcPr>
            <w:tcW w:w="2920" w:type="dxa"/>
            <w:vAlign w:val="bottom"/>
          </w:tcPr>
          <w:p>
            <w:pPr>
              <w:ind w:left="1660"/>
              <w:spacing w:after="0"/>
              <w:rPr>
                <w:sz w:val="20"/>
                <w:szCs w:val="20"/>
                <w:color w:val="auto"/>
              </w:rPr>
            </w:pPr>
            <w:r>
              <w:rPr>
                <w:rFonts w:ascii="Times New Roman" w:cs="Times New Roman" w:eastAsia="Times New Roman" w:hAnsi="Times New Roman"/>
                <w:sz w:val="20"/>
                <w:szCs w:val="20"/>
                <w:color w:val="454546"/>
                <w:w w:val="97"/>
              </w:rPr>
              <w:t>March 11, 2026</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Karah Parschauer, J.D.</w:t>
            </w:r>
          </w:p>
        </w:tc>
        <w:tc>
          <w:tcPr>
            <w:tcW w:w="24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27"/>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Deepak Srivastava, M.D.</w:t>
            </w:r>
          </w:p>
        </w:tc>
        <w:tc>
          <w:tcPr>
            <w:tcW w:w="24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Director</w:t>
            </w:r>
          </w:p>
        </w:tc>
        <w:tc>
          <w:tcPr>
            <w:tcW w:w="2920" w:type="dxa"/>
            <w:vAlign w:val="bottom"/>
          </w:tcPr>
          <w:p>
            <w:pPr>
              <w:ind w:left="1660"/>
              <w:spacing w:after="0"/>
              <w:rPr>
                <w:sz w:val="20"/>
                <w:szCs w:val="20"/>
                <w:color w:val="auto"/>
              </w:rPr>
            </w:pPr>
            <w:r>
              <w:rPr>
                <w:rFonts w:ascii="Times New Roman" w:cs="Times New Roman" w:eastAsia="Times New Roman" w:hAnsi="Times New Roman"/>
                <w:sz w:val="20"/>
                <w:szCs w:val="20"/>
                <w:color w:val="454546"/>
                <w:w w:val="97"/>
              </w:rPr>
              <w:t>March 11, 2026</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Deepak Srivastava, M.D.</w:t>
            </w:r>
          </w:p>
        </w:tc>
        <w:tc>
          <w:tcPr>
            <w:tcW w:w="24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42"/>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Catherine Stehman-Breen, M.D.</w:t>
            </w:r>
          </w:p>
        </w:tc>
        <w:tc>
          <w:tcPr>
            <w:tcW w:w="24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Director</w:t>
            </w:r>
          </w:p>
        </w:tc>
        <w:tc>
          <w:tcPr>
            <w:tcW w:w="2920" w:type="dxa"/>
            <w:vAlign w:val="bottom"/>
          </w:tcPr>
          <w:p>
            <w:pPr>
              <w:ind w:left="1660"/>
              <w:spacing w:after="0"/>
              <w:rPr>
                <w:sz w:val="20"/>
                <w:szCs w:val="20"/>
                <w:color w:val="auto"/>
              </w:rPr>
            </w:pPr>
            <w:r>
              <w:rPr>
                <w:rFonts w:ascii="Times New Roman" w:cs="Times New Roman" w:eastAsia="Times New Roman" w:hAnsi="Times New Roman"/>
                <w:sz w:val="20"/>
                <w:szCs w:val="20"/>
                <w:color w:val="454546"/>
                <w:w w:val="97"/>
              </w:rPr>
              <w:t>March 11, 2026</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Catherine Stehman-Breen, M.D.</w:t>
            </w:r>
          </w:p>
        </w:tc>
        <w:tc>
          <w:tcPr>
            <w:tcW w:w="24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27"/>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Jeffrey T. Walsh, M.B.A.</w:t>
            </w:r>
          </w:p>
        </w:tc>
        <w:tc>
          <w:tcPr>
            <w:tcW w:w="24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Director</w:t>
            </w:r>
          </w:p>
        </w:tc>
        <w:tc>
          <w:tcPr>
            <w:tcW w:w="2920" w:type="dxa"/>
            <w:vAlign w:val="bottom"/>
          </w:tcPr>
          <w:p>
            <w:pPr>
              <w:ind w:left="1660"/>
              <w:spacing w:after="0"/>
              <w:rPr>
                <w:sz w:val="20"/>
                <w:szCs w:val="20"/>
                <w:color w:val="auto"/>
              </w:rPr>
            </w:pPr>
            <w:r>
              <w:rPr>
                <w:rFonts w:ascii="Times New Roman" w:cs="Times New Roman" w:eastAsia="Times New Roman" w:hAnsi="Times New Roman"/>
                <w:sz w:val="20"/>
                <w:szCs w:val="20"/>
                <w:color w:val="454546"/>
                <w:w w:val="97"/>
              </w:rPr>
              <w:t>March 11, 2026</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Jeffrey T. Walsh, M.B.A.</w:t>
            </w:r>
          </w:p>
        </w:tc>
        <w:tc>
          <w:tcPr>
            <w:tcW w:w="24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27"/>
        </w:trPr>
        <w:tc>
          <w:tcPr>
            <w:tcW w:w="328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20"/>
                <w:szCs w:val="20"/>
                <w:color w:val="454546"/>
              </w:rPr>
              <w:t>/s/ R. Sanders (Sandy) Williams, M.D.</w:t>
            </w:r>
          </w:p>
        </w:tc>
        <w:tc>
          <w:tcPr>
            <w:tcW w:w="240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Director</w:t>
            </w:r>
          </w:p>
        </w:tc>
        <w:tc>
          <w:tcPr>
            <w:tcW w:w="2920" w:type="dxa"/>
            <w:vAlign w:val="bottom"/>
          </w:tcPr>
          <w:p>
            <w:pPr>
              <w:ind w:left="1660"/>
              <w:spacing w:after="0"/>
              <w:rPr>
                <w:sz w:val="20"/>
                <w:szCs w:val="20"/>
                <w:color w:val="auto"/>
              </w:rPr>
            </w:pPr>
            <w:r>
              <w:rPr>
                <w:rFonts w:ascii="Times New Roman" w:cs="Times New Roman" w:eastAsia="Times New Roman" w:hAnsi="Times New Roman"/>
                <w:sz w:val="20"/>
                <w:szCs w:val="20"/>
                <w:color w:val="454546"/>
                <w:w w:val="97"/>
              </w:rPr>
              <w:t>March 11, 2026</w:t>
            </w:r>
          </w:p>
        </w:tc>
      </w:tr>
      <w:tr>
        <w:trPr>
          <w:trHeight w:val="20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R. Sanders (Sandy) Williams, M.D.</w:t>
            </w:r>
          </w:p>
        </w:tc>
        <w:tc>
          <w:tcPr>
            <w:tcW w:w="2400" w:type="dxa"/>
            <w:vAlign w:val="bottom"/>
          </w:tcPr>
          <w:p>
            <w:pPr>
              <w:spacing w:after="0"/>
              <w:rPr>
                <w:sz w:val="17"/>
                <w:szCs w:val="17"/>
                <w:color w:val="auto"/>
              </w:rPr>
            </w:pPr>
          </w:p>
        </w:tc>
        <w:tc>
          <w:tcPr>
            <w:tcW w:w="2920" w:type="dxa"/>
            <w:vAlign w:val="bottom"/>
          </w:tcPr>
          <w:p>
            <w:pPr>
              <w:spacing w:after="0"/>
              <w:rPr>
                <w:sz w:val="17"/>
                <w:szCs w:val="17"/>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137</w:t>
      </w:r>
    </w:p>
    <w:p>
      <w:pPr>
        <w:sectPr>
          <w:pgSz w:w="12240" w:h="15840" w:orient="portrait"/>
          <w:cols w:equalWidth="0" w:num="1">
            <w:col w:w="9360"/>
          </w:cols>
          <w:pgMar w:left="1440" w:top="1416" w:right="1440" w:bottom="175" w:gutter="0" w:footer="0" w:header="0"/>
          <w:type w:val="continuous"/>
        </w:sectPr>
      </w:pPr>
    </w:p>
    <w:bookmarkStart w:id="139" w:name="page140"/>
    <w:bookmarkEnd w:id="13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20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amp;"/>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lowerLetter"/>
      <w:start w:val="1"/>
    </w:lvl>
    <w:lvl w:ilvl="1">
      <w:lvlJc w:val="left"/>
      <w:lvlText w:val="(%2)"/>
      <w:numFmt w:val="decimal"/>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2026-04-16T08:16:37Z</dcterms:created>
  <dcterms:modified xsi:type="dcterms:W3CDTF">2026-04-16T08:16:37Z</dcterms:modified>
</cp:coreProperties>
</file>