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29, 2021.</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TENAYA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2840" w:type="dxa"/>
            <w:vAlign w:val="bottom"/>
          </w:tcPr>
          <w:p>
            <w:pPr>
              <w:jc w:val="center"/>
              <w:ind w:right="882"/>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2836</w:t>
            </w:r>
          </w:p>
        </w:tc>
        <w:tc>
          <w:tcPr>
            <w:tcW w:w="2420" w:type="dxa"/>
            <w:vAlign w:val="bottom"/>
          </w:tcPr>
          <w:p>
            <w:pPr>
              <w:jc w:val="center"/>
              <w:ind w:left="922"/>
              <w:spacing w:after="0"/>
              <w:rPr>
                <w:sz w:val="20"/>
                <w:szCs w:val="20"/>
                <w:color w:val="auto"/>
              </w:rPr>
            </w:pPr>
            <w:r>
              <w:rPr>
                <w:rFonts w:ascii="Arial" w:cs="Arial" w:eastAsia="Arial" w:hAnsi="Arial"/>
                <w:sz w:val="18"/>
                <w:szCs w:val="18"/>
                <w:b w:val="1"/>
                <w:bCs w:val="1"/>
                <w:color w:val="auto"/>
                <w:w w:val="89"/>
              </w:rPr>
              <w:t>82-3789973</w:t>
            </w:r>
          </w:p>
        </w:tc>
      </w:tr>
      <w:tr>
        <w:trPr>
          <w:trHeight w:val="148"/>
        </w:trPr>
        <w:tc>
          <w:tcPr>
            <w:tcW w:w="2840" w:type="dxa"/>
            <w:vAlign w:val="bottom"/>
          </w:tcPr>
          <w:p>
            <w:pPr>
              <w:jc w:val="center"/>
              <w:ind w:right="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2"/>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171 Oyster Point Boulevard, 5th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825-6990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Faraz Ali, M.B.A.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171 Oyster Point Boulevard, 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825-6990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146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4820" w:type="dxa"/>
            <w:vAlign w:val="bottom"/>
          </w:tcPr>
          <w:p>
            <w:pPr>
              <w:ind w:left="520"/>
              <w:spacing w:after="0"/>
              <w:rPr>
                <w:sz w:val="20"/>
                <w:szCs w:val="20"/>
                <w:color w:val="auto"/>
              </w:rPr>
            </w:pPr>
            <w:r>
              <w:rPr>
                <w:rFonts w:ascii="Arial" w:cs="Arial" w:eastAsia="Arial" w:hAnsi="Arial"/>
                <w:sz w:val="18"/>
                <w:szCs w:val="18"/>
                <w:b w:val="1"/>
                <w:bCs w:val="1"/>
                <w:i w:val="1"/>
                <w:iCs w:val="1"/>
                <w:color w:val="auto"/>
              </w:rPr>
              <w:t>Copies to:</w:t>
            </w:r>
          </w:p>
        </w:tc>
      </w:tr>
      <w:tr>
        <w:trPr>
          <w:trHeight w:val="441"/>
        </w:trPr>
        <w:tc>
          <w:tcPr>
            <w:tcW w:w="3160" w:type="dxa"/>
            <w:vAlign w:val="bottom"/>
          </w:tcPr>
          <w:p>
            <w:pPr>
              <w:jc w:val="center"/>
              <w:ind w:right="450"/>
              <w:spacing w:after="0"/>
              <w:rPr>
                <w:sz w:val="20"/>
                <w:szCs w:val="20"/>
                <w:color w:val="auto"/>
              </w:rPr>
            </w:pPr>
            <w:r>
              <w:rPr>
                <w:rFonts w:ascii="Arial" w:cs="Arial" w:eastAsia="Arial" w:hAnsi="Arial"/>
                <w:sz w:val="18"/>
                <w:szCs w:val="18"/>
                <w:b w:val="1"/>
                <w:bCs w:val="1"/>
                <w:color w:val="auto"/>
                <w:w w:val="95"/>
              </w:rPr>
              <w:t>Kenneth A. Clark</w:t>
            </w:r>
          </w:p>
        </w:tc>
        <w:tc>
          <w:tcPr>
            <w:tcW w:w="4820" w:type="dxa"/>
            <w:vAlign w:val="bottom"/>
          </w:tcPr>
          <w:p>
            <w:pPr>
              <w:jc w:val="center"/>
              <w:ind w:left="2530"/>
              <w:spacing w:after="0"/>
              <w:rPr>
                <w:sz w:val="20"/>
                <w:szCs w:val="20"/>
                <w:color w:val="auto"/>
              </w:rPr>
            </w:pPr>
            <w:r>
              <w:rPr>
                <w:rFonts w:ascii="Arial" w:cs="Arial" w:eastAsia="Arial" w:hAnsi="Arial"/>
                <w:sz w:val="18"/>
                <w:szCs w:val="18"/>
                <w:b w:val="1"/>
                <w:bCs w:val="1"/>
                <w:color w:val="auto"/>
                <w:w w:val="90"/>
              </w:rPr>
              <w:t>Alan F. Denenberg</w:t>
            </w:r>
          </w:p>
        </w:tc>
      </w:tr>
      <w:tr>
        <w:trPr>
          <w:trHeight w:val="216"/>
        </w:trPr>
        <w:tc>
          <w:tcPr>
            <w:tcW w:w="3160" w:type="dxa"/>
            <w:vAlign w:val="bottom"/>
          </w:tcPr>
          <w:p>
            <w:pPr>
              <w:jc w:val="center"/>
              <w:ind w:right="450"/>
              <w:spacing w:after="0"/>
              <w:rPr>
                <w:sz w:val="20"/>
                <w:szCs w:val="20"/>
                <w:color w:val="auto"/>
              </w:rPr>
            </w:pPr>
            <w:r>
              <w:rPr>
                <w:rFonts w:ascii="Arial" w:cs="Arial" w:eastAsia="Arial" w:hAnsi="Arial"/>
                <w:sz w:val="18"/>
                <w:szCs w:val="18"/>
                <w:b w:val="1"/>
                <w:bCs w:val="1"/>
                <w:color w:val="auto"/>
                <w:w w:val="93"/>
              </w:rPr>
              <w:t>Jennifer Knapp</w:t>
            </w:r>
          </w:p>
        </w:tc>
        <w:tc>
          <w:tcPr>
            <w:tcW w:w="4820" w:type="dxa"/>
            <w:vAlign w:val="bottom"/>
          </w:tcPr>
          <w:p>
            <w:pPr>
              <w:jc w:val="center"/>
              <w:ind w:left="2530"/>
              <w:spacing w:after="0"/>
              <w:rPr>
                <w:sz w:val="20"/>
                <w:szCs w:val="20"/>
                <w:color w:val="auto"/>
              </w:rPr>
            </w:pPr>
            <w:r>
              <w:rPr>
                <w:rFonts w:ascii="Arial" w:cs="Arial" w:eastAsia="Arial" w:hAnsi="Arial"/>
                <w:sz w:val="18"/>
                <w:szCs w:val="18"/>
                <w:b w:val="1"/>
                <w:bCs w:val="1"/>
                <w:color w:val="auto"/>
                <w:w w:val="87"/>
              </w:rPr>
              <w:t>Stephen Salmon</w:t>
            </w:r>
          </w:p>
        </w:tc>
      </w:tr>
      <w:tr>
        <w:trPr>
          <w:trHeight w:val="216"/>
        </w:trPr>
        <w:tc>
          <w:tcPr>
            <w:tcW w:w="3160" w:type="dxa"/>
            <w:vAlign w:val="bottom"/>
          </w:tcPr>
          <w:p>
            <w:pPr>
              <w:jc w:val="center"/>
              <w:ind w:right="430"/>
              <w:spacing w:after="0"/>
              <w:rPr>
                <w:sz w:val="20"/>
                <w:szCs w:val="20"/>
                <w:color w:val="auto"/>
              </w:rPr>
            </w:pPr>
            <w:r>
              <w:rPr>
                <w:rFonts w:ascii="Arial" w:cs="Arial" w:eastAsia="Arial" w:hAnsi="Arial"/>
                <w:sz w:val="18"/>
                <w:szCs w:val="18"/>
                <w:b w:val="1"/>
                <w:bCs w:val="1"/>
                <w:color w:val="auto"/>
                <w:w w:val="91"/>
              </w:rPr>
              <w:t>Jennifer Fang</w:t>
            </w:r>
          </w:p>
        </w:tc>
        <w:tc>
          <w:tcPr>
            <w:tcW w:w="4820" w:type="dxa"/>
            <w:vAlign w:val="bottom"/>
          </w:tcPr>
          <w:p>
            <w:pPr>
              <w:jc w:val="center"/>
              <w:ind w:left="2530"/>
              <w:spacing w:after="0"/>
              <w:rPr>
                <w:sz w:val="20"/>
                <w:szCs w:val="20"/>
                <w:color w:val="auto"/>
              </w:rPr>
            </w:pPr>
            <w:r>
              <w:rPr>
                <w:rFonts w:ascii="Arial" w:cs="Arial" w:eastAsia="Arial" w:hAnsi="Arial"/>
                <w:sz w:val="18"/>
                <w:szCs w:val="18"/>
                <w:b w:val="1"/>
                <w:bCs w:val="1"/>
                <w:color w:val="auto"/>
                <w:w w:val="94"/>
              </w:rPr>
              <w:t>Davis Polk &amp; Wardwell LLP</w:t>
            </w:r>
          </w:p>
        </w:tc>
      </w:tr>
      <w:tr>
        <w:trPr>
          <w:trHeight w:val="216"/>
        </w:trPr>
        <w:tc>
          <w:tcPr>
            <w:tcW w:w="316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Wilson Sonsini Goodrich &amp; Rosati</w:t>
            </w:r>
          </w:p>
        </w:tc>
        <w:tc>
          <w:tcPr>
            <w:tcW w:w="4820" w:type="dxa"/>
            <w:vAlign w:val="bottom"/>
          </w:tcPr>
          <w:p>
            <w:pPr>
              <w:jc w:val="center"/>
              <w:ind w:left="2530"/>
              <w:spacing w:after="0"/>
              <w:rPr>
                <w:sz w:val="20"/>
                <w:szCs w:val="20"/>
                <w:color w:val="auto"/>
              </w:rPr>
            </w:pPr>
            <w:r>
              <w:rPr>
                <w:rFonts w:ascii="Arial" w:cs="Arial" w:eastAsia="Arial" w:hAnsi="Arial"/>
                <w:sz w:val="18"/>
                <w:szCs w:val="18"/>
                <w:b w:val="1"/>
                <w:bCs w:val="1"/>
                <w:color w:val="auto"/>
                <w:w w:val="93"/>
              </w:rPr>
              <w:t>1600 El Camino Real</w:t>
            </w:r>
          </w:p>
        </w:tc>
      </w:tr>
      <w:tr>
        <w:trPr>
          <w:trHeight w:val="216"/>
        </w:trPr>
        <w:tc>
          <w:tcPr>
            <w:tcW w:w="3160" w:type="dxa"/>
            <w:vAlign w:val="bottom"/>
          </w:tcPr>
          <w:p>
            <w:pPr>
              <w:jc w:val="center"/>
              <w:ind w:right="450"/>
              <w:spacing w:after="0"/>
              <w:rPr>
                <w:sz w:val="20"/>
                <w:szCs w:val="20"/>
                <w:color w:val="auto"/>
              </w:rPr>
            </w:pPr>
            <w:r>
              <w:rPr>
                <w:rFonts w:ascii="Arial" w:cs="Arial" w:eastAsia="Arial" w:hAnsi="Arial"/>
                <w:sz w:val="18"/>
                <w:szCs w:val="18"/>
                <w:b w:val="1"/>
                <w:bCs w:val="1"/>
                <w:color w:val="auto"/>
                <w:w w:val="89"/>
              </w:rPr>
              <w:t>Professional Corporation</w:t>
            </w:r>
          </w:p>
        </w:tc>
        <w:tc>
          <w:tcPr>
            <w:tcW w:w="4820" w:type="dxa"/>
            <w:vAlign w:val="bottom"/>
          </w:tcPr>
          <w:p>
            <w:pPr>
              <w:jc w:val="center"/>
              <w:ind w:left="2530"/>
              <w:spacing w:after="0"/>
              <w:rPr>
                <w:sz w:val="20"/>
                <w:szCs w:val="20"/>
                <w:color w:val="auto"/>
              </w:rPr>
            </w:pPr>
            <w:r>
              <w:rPr>
                <w:rFonts w:ascii="Arial" w:cs="Arial" w:eastAsia="Arial" w:hAnsi="Arial"/>
                <w:sz w:val="18"/>
                <w:szCs w:val="18"/>
                <w:b w:val="1"/>
                <w:bCs w:val="1"/>
                <w:color w:val="auto"/>
                <w:w w:val="94"/>
              </w:rPr>
              <w:t>Menlo Park, CA 94025</w:t>
            </w:r>
          </w:p>
        </w:tc>
      </w:tr>
      <w:tr>
        <w:trPr>
          <w:trHeight w:val="216"/>
        </w:trPr>
        <w:tc>
          <w:tcPr>
            <w:tcW w:w="31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650 Page Mill Road</w:t>
            </w:r>
          </w:p>
        </w:tc>
        <w:tc>
          <w:tcPr>
            <w:tcW w:w="4820" w:type="dxa"/>
            <w:vAlign w:val="bottom"/>
          </w:tcPr>
          <w:p>
            <w:pPr>
              <w:jc w:val="center"/>
              <w:ind w:left="2530"/>
              <w:spacing w:after="0"/>
              <w:rPr>
                <w:sz w:val="20"/>
                <w:szCs w:val="20"/>
                <w:color w:val="auto"/>
              </w:rPr>
            </w:pPr>
            <w:r>
              <w:rPr>
                <w:rFonts w:ascii="Arial" w:cs="Arial" w:eastAsia="Arial" w:hAnsi="Arial"/>
                <w:sz w:val="18"/>
                <w:szCs w:val="18"/>
                <w:b w:val="1"/>
                <w:bCs w:val="1"/>
                <w:color w:val="auto"/>
                <w:w w:val="90"/>
              </w:rPr>
              <w:t>(650) 752-2000</w:t>
            </w:r>
          </w:p>
        </w:tc>
      </w:tr>
      <w:tr>
        <w:trPr>
          <w:trHeight w:val="216"/>
        </w:trPr>
        <w:tc>
          <w:tcPr>
            <w:tcW w:w="3160" w:type="dxa"/>
            <w:vAlign w:val="bottom"/>
          </w:tcPr>
          <w:p>
            <w:pPr>
              <w:jc w:val="center"/>
              <w:ind w:right="430"/>
              <w:spacing w:after="0"/>
              <w:rPr>
                <w:sz w:val="20"/>
                <w:szCs w:val="20"/>
                <w:color w:val="auto"/>
              </w:rPr>
            </w:pPr>
            <w:r>
              <w:rPr>
                <w:rFonts w:ascii="Arial" w:cs="Arial" w:eastAsia="Arial" w:hAnsi="Arial"/>
                <w:sz w:val="18"/>
                <w:szCs w:val="18"/>
                <w:b w:val="1"/>
                <w:bCs w:val="1"/>
                <w:color w:val="auto"/>
                <w:w w:val="92"/>
              </w:rPr>
              <w:t>Palo Alto, CA 94304</w:t>
            </w:r>
          </w:p>
        </w:tc>
        <w:tc>
          <w:tcPr>
            <w:tcW w:w="4820" w:type="dxa"/>
            <w:vAlign w:val="bottom"/>
          </w:tcPr>
          <w:p>
            <w:pPr>
              <w:spacing w:after="0"/>
              <w:rPr>
                <w:sz w:val="18"/>
                <w:szCs w:val="18"/>
                <w:color w:val="auto"/>
              </w:rPr>
            </w:pPr>
          </w:p>
        </w:tc>
      </w:tr>
      <w:tr>
        <w:trPr>
          <w:trHeight w:val="234"/>
        </w:trPr>
        <w:tc>
          <w:tcPr>
            <w:tcW w:w="316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(650) 493-9300</w:t>
            </w:r>
          </w:p>
        </w:tc>
        <w:tc>
          <w:tcPr>
            <w:tcW w:w="48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252" w:lineRule="exact"/>
        <w:rPr>
          <w:sz w:val="24"/>
          <w:szCs w:val="24"/>
          <w:color w:val="auto"/>
        </w:rPr>
      </w:pPr>
    </w:p>
    <w:p>
      <w:pPr>
        <w:ind w:right="220" w:firstLine="4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firstLine="440"/>
        <w:spacing w:after="0" w:line="224"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r>
        <w:rPr>
          <w:rFonts w:ascii="Arial" w:cs="Arial" w:eastAsia="Arial" w:hAnsi="Arial"/>
          <w:sz w:val="17"/>
          <w:szCs w:val="17"/>
          <w:color w:val="auto"/>
        </w:rPr>
        <w:t xml:space="preserve"> Registration</w:t>
      </w:r>
    </w:p>
    <w:p>
      <w:pPr>
        <w:spacing w:after="0"/>
        <w:rPr>
          <w:sz w:val="20"/>
          <w:szCs w:val="20"/>
          <w:color w:val="auto"/>
        </w:rPr>
      </w:pPr>
      <w:r>
        <w:rPr>
          <w:rFonts w:ascii="Arial" w:cs="Arial" w:eastAsia="Arial" w:hAnsi="Arial"/>
          <w:sz w:val="18"/>
          <w:szCs w:val="18"/>
          <w:color w:val="auto"/>
        </w:rPr>
        <w:t>No. 333-257820</w:t>
      </w:r>
    </w:p>
    <w:p>
      <w:pPr>
        <w:spacing w:after="0" w:line="209" w:lineRule="exact"/>
        <w:rPr>
          <w:sz w:val="24"/>
          <w:szCs w:val="24"/>
          <w:color w:val="auto"/>
        </w:rPr>
      </w:pPr>
    </w:p>
    <w:p>
      <w:pPr>
        <w:ind w:right="24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2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20"/>
          </w:cols>
          <w:pgMar w:left="440" w:top="229" w:right="439" w:bottom="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488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rPr>
              <w:t>Proposed</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Proposed Maximum</w:t>
            </w: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vMerge w:val="continue"/>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$0.0001 par value per share</w:t>
            </w:r>
          </w:p>
        </w:tc>
        <w:tc>
          <w:tcPr>
            <w:tcW w:w="1540" w:type="dxa"/>
            <w:vAlign w:val="bottom"/>
            <w:tcBorders>
              <w:bottom w:val="single" w:sz="8" w:color="auto"/>
              <w:right w:val="single" w:sz="8" w:color="auto"/>
            </w:tcBorders>
          </w:tcPr>
          <w:p>
            <w:pPr>
              <w:jc w:val="right"/>
              <w:ind w:right="304"/>
              <w:spacing w:after="0"/>
              <w:rPr>
                <w:sz w:val="20"/>
                <w:szCs w:val="20"/>
                <w:color w:val="auto"/>
              </w:rPr>
            </w:pPr>
            <w:r>
              <w:rPr>
                <w:rFonts w:ascii="Arial" w:cs="Arial" w:eastAsia="Arial" w:hAnsi="Arial"/>
                <w:sz w:val="18"/>
                <w:szCs w:val="18"/>
                <w:color w:val="auto"/>
              </w:rPr>
              <w:t>2,300,000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$34,500,000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$3,764</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2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only the additional number of shares being registered and includes 300,000 additional shares of common stock that the underwriters have the option to purchase. Does not include the securities that the registrant previously registered on the registration statement on Form S-1 (File No. 333-257820).</w:t>
      </w:r>
    </w:p>
    <w:p>
      <w:pPr>
        <w:spacing w:after="0" w:line="1" w:lineRule="exact"/>
        <w:rPr>
          <w:rFonts w:ascii="Arial" w:cs="Arial" w:eastAsia="Arial" w:hAnsi="Arial"/>
          <w:sz w:val="18"/>
          <w:szCs w:val="18"/>
          <w:color w:val="auto"/>
        </w:rPr>
      </w:pPr>
    </w:p>
    <w:p>
      <w:pPr>
        <w:ind w:left="424" w:right="80" w:hanging="424"/>
        <w:spacing w:after="0" w:line="252"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is calculated in accordance with Rule 457(a) under the Securities Act of 1933, as amended, based on the proposed maximum aggregate offering price. The registrant previously registered securities at an aggregate offering price not to exceed $184,000,000 on a registration statement on Form S-1 (File No. 333-257820), which was declared effective by the Securities and Exchange Commission on July 29, 2021. In accordance with Rule 462(b) under the Securities Act of 1933, as amended, an additional amount of securities having a proposed maximum aggregate offering price of $34,500,000 is hereby registered, which includes shares issuable upon the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226060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4" w:right="840" w:firstLine="440"/>
        <w:spacing w:after="0" w:line="282" w:lineRule="auto"/>
        <w:rPr>
          <w:sz w:val="20"/>
          <w:szCs w:val="20"/>
          <w:color w:val="auto"/>
        </w:rPr>
      </w:pPr>
      <w:r>
        <w:rPr>
          <w:rFonts w:ascii="Arial" w:cs="Arial" w:eastAsia="Arial" w:hAnsi="Arial"/>
          <w:sz w:val="18"/>
          <w:szCs w:val="18"/>
          <w:b w:val="1"/>
          <w:bCs w:val="1"/>
          <w:color w:val="auto"/>
        </w:rPr>
        <w:t>This registration statement shall become effective upon filing with the Securities and Exchange Commission in accordance with Rule 462(b)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06"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 AND INCORPORATION BY REFERENCE</w:t>
      </w:r>
    </w:p>
    <w:p>
      <w:pPr>
        <w:spacing w:after="0" w:line="229" w:lineRule="exact"/>
        <w:rPr>
          <w:sz w:val="20"/>
          <w:szCs w:val="20"/>
          <w:color w:val="auto"/>
        </w:rPr>
      </w:pPr>
    </w:p>
    <w:p>
      <w:pPr>
        <w:ind w:right="120" w:firstLine="440"/>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Tenaya Therapeutics, Inc., a Delaware corporation (Company), is filing this registration statement with the Securities and Exchange Commission pursuant to Rule 462(b) under the Securities Act of 1933, as amended. This registration statement relates to the initial public offering of securities contemplated by the registration statement on </w:t>
      </w:r>
      <w:hyperlink r:id="rId21">
        <w:r>
          <w:rPr>
            <w:rFonts w:ascii="Arial" w:cs="Arial" w:eastAsia="Arial" w:hAnsi="Arial"/>
            <w:sz w:val="17"/>
            <w:szCs w:val="17"/>
            <w:u w:val="single" w:color="auto"/>
            <w:color w:val="0000EE"/>
          </w:rPr>
          <w:t>Form S-1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 No. 333-257820) originally filed on July 9, 2021, as amended (Prior Registration Statement), and which the Securities and Exchange Commission declared effective on July 29, 2021.</w:t>
      </w:r>
    </w:p>
    <w:p>
      <w:pPr>
        <w:spacing w:after="0" w:line="17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Company is filing this registration statement for the sole purpose of increasing by 2,300,000 shares the number of shares of its common stock, par value $0.0001 per share, to be registered for sale, 300,000 of which may be sold by the Company upon exercise of the underwriters’ option to purchase additional shares solely to cover over allotments, if any. The additional shares that are being registered for sale are in an amount and at a price that together represent no more than 20% of the maximum aggregate offering price set forth in the Calculation of Registration Fee table contained in the Prior Registration Statement. The information set forth in the Prior Registration Statement, and all exhibits to the Prior Registration Statement, are hereby incorporated by reference into this registration statement.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required opinions and consents are listed on the Exhibit Index attached hereto and are filed herewith.</w:t>
      </w:r>
    </w:p>
    <w:p>
      <w:pPr>
        <w:sectPr>
          <w:pgSz w:w="11900" w:h="16838" w:orient="portrait"/>
          <w:cols w:equalWidth="0" w:num="1">
            <w:col w:w="11000"/>
          </w:cols>
          <w:pgMar w:left="440" w:top="270"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80" w:type="dxa"/>
            <w:vAlign w:val="bottom"/>
            <w:gridSpan w:val="6"/>
          </w:tcPr>
          <w:p>
            <w:pPr>
              <w:ind w:left="37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62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4360" w:type="dxa"/>
            <w:vAlign w:val="bottom"/>
            <w:tcBorders>
              <w:bottom w:val="single" w:sz="8" w:color="auto"/>
            </w:tcBorders>
          </w:tcPr>
          <w:p>
            <w:pPr>
              <w:spacing w:after="0"/>
              <w:rPr>
                <w:sz w:val="15"/>
                <w:szCs w:val="15"/>
                <w:color w:val="auto"/>
              </w:rPr>
            </w:pPr>
          </w:p>
        </w:tc>
        <w:tc>
          <w:tcPr>
            <w:tcW w:w="562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jc w:val="right"/>
              <w:ind w:right="96"/>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3"/>
                <w:szCs w:val="23"/>
                <w:color w:val="auto"/>
              </w:rPr>
            </w:pPr>
          </w:p>
        </w:tc>
        <w:tc>
          <w:tcPr>
            <w:tcW w:w="528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Opinion of Wilson Sonsini Goodrich &amp; Rosati, Professional Corporation.</w:t>
              </w:r>
            </w:hyperlink>
          </w:p>
        </w:tc>
        <w:tc>
          <w:tcPr>
            <w:tcW w:w="470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6"/>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4360" w:type="dxa"/>
            <w:vAlign w:val="bottom"/>
            <w:tcBorders>
              <w:bottom w:val="single" w:sz="8" w:color="0000EE"/>
            </w:tcBorders>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Consent of Independent Registered Public Accounting Firm.</w:t>
              </w:r>
            </w:hyperlink>
          </w:p>
        </w:tc>
        <w:tc>
          <w:tcPr>
            <w:tcW w:w="56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6"/>
              <w:spacing w:after="0"/>
              <w:rPr>
                <w:sz w:val="20"/>
                <w:szCs w:val="20"/>
                <w:color w:val="auto"/>
              </w:rPr>
            </w:pPr>
            <w:r>
              <w:rPr>
                <w:rFonts w:ascii="Arial" w:cs="Arial" w:eastAsia="Arial" w:hAnsi="Arial"/>
                <w:sz w:val="18"/>
                <w:szCs w:val="18"/>
                <w:color w:val="auto"/>
                <w:w w:val="85"/>
              </w:rPr>
              <w:t>23.2</w:t>
            </w:r>
          </w:p>
        </w:tc>
        <w:tc>
          <w:tcPr>
            <w:tcW w:w="540" w:type="dxa"/>
            <w:vAlign w:val="bottom"/>
          </w:tcPr>
          <w:p>
            <w:pPr>
              <w:spacing w:after="0"/>
              <w:rPr>
                <w:sz w:val="24"/>
                <w:szCs w:val="24"/>
                <w:color w:val="auto"/>
              </w:rPr>
            </w:pPr>
          </w:p>
        </w:tc>
        <w:tc>
          <w:tcPr>
            <w:tcW w:w="7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Consent of Wilson Sonsini Goodrich &amp; Rosati, Professional Corporation (included in Exhibit 5.1).</w:t>
              </w:r>
            </w:hyperlink>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6"/>
              <w:spacing w:after="0"/>
              <w:rPr>
                <w:sz w:val="20"/>
                <w:szCs w:val="20"/>
                <w:color w:val="auto"/>
              </w:rPr>
            </w:pPr>
            <w:r>
              <w:rPr>
                <w:rFonts w:ascii="Arial" w:cs="Arial" w:eastAsia="Arial" w:hAnsi="Arial"/>
                <w:sz w:val="18"/>
                <w:szCs w:val="18"/>
                <w:color w:val="auto"/>
                <w:w w:val="85"/>
              </w:rPr>
              <w:t>24.1</w:t>
            </w:r>
          </w:p>
        </w:tc>
        <w:tc>
          <w:tcPr>
            <w:tcW w:w="540" w:type="dxa"/>
            <w:vAlign w:val="bottom"/>
          </w:tcPr>
          <w:p>
            <w:pPr>
              <w:spacing w:after="0"/>
              <w:rPr>
                <w:sz w:val="24"/>
                <w:szCs w:val="24"/>
                <w:color w:val="auto"/>
              </w:rPr>
            </w:pPr>
          </w:p>
        </w:tc>
        <w:tc>
          <w:tcPr>
            <w:tcW w:w="9980" w:type="dxa"/>
            <w:vAlign w:val="bottom"/>
            <w:gridSpan w:val="6"/>
          </w:tcPr>
          <w:p>
            <w:pPr>
              <w:spacing w:after="0"/>
              <w:rPr>
                <w:rFonts w:ascii="Arial" w:cs="Arial" w:eastAsia="Arial" w:hAnsi="Arial"/>
                <w:sz w:val="18"/>
                <w:szCs w:val="18"/>
                <w:color w:val="auto"/>
              </w:rPr>
            </w:pPr>
            <w:r>
              <w:rPr>
                <w:rFonts w:ascii="Arial" w:cs="Arial" w:eastAsia="Arial" w:hAnsi="Arial"/>
                <w:sz w:val="18"/>
                <w:szCs w:val="18"/>
                <w:color w:val="auto"/>
              </w:rPr>
              <w:t xml:space="preserve">Power of Attorney (see page II-6 of the Registration Statement on </w:t>
            </w:r>
            <w:hyperlink r:id="rId22">
              <w:r>
                <w:rPr>
                  <w:rFonts w:ascii="Arial" w:cs="Arial" w:eastAsia="Arial" w:hAnsi="Arial"/>
                  <w:sz w:val="18"/>
                  <w:szCs w:val="18"/>
                  <w:color w:val="0000EE"/>
                </w:rPr>
                <w:t>Form S-1</w:t>
              </w:r>
              <w:r>
                <w:rPr>
                  <w:rFonts w:ascii="Arial" w:cs="Arial" w:eastAsia="Arial" w:hAnsi="Arial"/>
                  <w:sz w:val="18"/>
                  <w:szCs w:val="18"/>
                  <w:color w:val="auto"/>
                </w:rPr>
                <w:t xml:space="preserve"> </w:t>
              </w:r>
            </w:hyperlink>
            <w:r>
              <w:rPr>
                <w:rFonts w:ascii="Arial" w:cs="Arial" w:eastAsia="Arial" w:hAnsi="Arial"/>
                <w:sz w:val="18"/>
                <w:szCs w:val="18"/>
                <w:color w:val="auto"/>
              </w:rPr>
              <w:t>(File No. 333-257820) filed on July 9, 2021).</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80" w:type="dxa"/>
            <w:vAlign w:val="bottom"/>
            <w:gridSpan w:val="2"/>
          </w:tcPr>
          <w:p>
            <w:pPr>
              <w:ind w:left="4320"/>
              <w:spacing w:after="0"/>
              <w:rPr>
                <w:sz w:val="20"/>
                <w:szCs w:val="20"/>
                <w:color w:val="auto"/>
              </w:rPr>
            </w:pPr>
            <w:r>
              <w:rPr>
                <w:rFonts w:ascii="Arial" w:cs="Arial" w:eastAsia="Arial" w:hAnsi="Arial"/>
                <w:sz w:val="18"/>
                <w:szCs w:val="18"/>
                <w:color w:val="auto"/>
              </w:rPr>
              <w:t>II-1</w:t>
            </w:r>
          </w:p>
        </w:tc>
        <w:tc>
          <w:tcPr>
            <w:tcW w:w="700" w:type="dxa"/>
            <w:vAlign w:val="bottom"/>
            <w:tcBorders>
              <w:top w:val="single" w:sz="8" w:color="0000EE"/>
            </w:tcBorders>
            <w:gridSpan w:val="2"/>
          </w:tcPr>
          <w:p>
            <w:pPr>
              <w:spacing w:after="0"/>
              <w:rPr>
                <w:sz w:val="24"/>
                <w:szCs w:val="24"/>
                <w:color w:val="auto"/>
              </w:rPr>
            </w:pPr>
          </w:p>
        </w:tc>
        <w:tc>
          <w:tcPr>
            <w:tcW w:w="45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South San Francisco, California, on July 29, 2021.</w:t>
      </w:r>
    </w:p>
    <w:p>
      <w:pPr>
        <w:spacing w:after="0" w:line="16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TENAYA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Faraz Ali, M.B.A.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20" w:type="dxa"/>
            <w:vAlign w:val="bottom"/>
            <w:gridSpan w:val="3"/>
          </w:tcPr>
          <w:p>
            <w:pPr>
              <w:spacing w:after="0"/>
              <w:rPr>
                <w:sz w:val="20"/>
                <w:szCs w:val="20"/>
                <w:color w:val="auto"/>
              </w:rPr>
            </w:pPr>
            <w:r>
              <w:rPr>
                <w:rFonts w:ascii="Arial" w:cs="Arial" w:eastAsia="Arial" w:hAnsi="Arial"/>
                <w:sz w:val="14"/>
                <w:szCs w:val="14"/>
                <w:b w:val="1"/>
                <w:bCs w:val="1"/>
                <w:color w:val="auto"/>
              </w:rPr>
              <w:t>Signature</w:t>
            </w:r>
          </w:p>
        </w:tc>
        <w:tc>
          <w:tcPr>
            <w:tcW w:w="4140" w:type="dxa"/>
            <w:vAlign w:val="bottom"/>
            <w:gridSpan w:val="3"/>
          </w:tcPr>
          <w:p>
            <w:pPr>
              <w:ind w:left="1940"/>
              <w:spacing w:after="0"/>
              <w:rPr>
                <w:sz w:val="20"/>
                <w:szCs w:val="20"/>
                <w:color w:val="auto"/>
              </w:rPr>
            </w:pPr>
            <w:r>
              <w:rPr>
                <w:rFonts w:ascii="Arial" w:cs="Arial" w:eastAsia="Arial" w:hAnsi="Arial"/>
                <w:sz w:val="14"/>
                <w:szCs w:val="14"/>
                <w:b w:val="1"/>
                <w:bCs w:val="1"/>
                <w:color w:val="auto"/>
              </w:rPr>
              <w:t>Title</w:t>
            </w:r>
          </w:p>
        </w:tc>
        <w:tc>
          <w:tcPr>
            <w:tcW w:w="1740" w:type="dxa"/>
            <w:vAlign w:val="bottom"/>
            <w:gridSpan w:val="3"/>
          </w:tcPr>
          <w:p>
            <w:pPr>
              <w:jc w:val="center"/>
              <w:ind w:left="65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8"/>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Faraz Ali, M.B.A.</w:t>
            </w:r>
          </w:p>
        </w:tc>
        <w:tc>
          <w:tcPr>
            <w:tcW w:w="6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1740" w:type="dxa"/>
            <w:vAlign w:val="bottom"/>
            <w:gridSpan w:val="3"/>
          </w:tcPr>
          <w:p>
            <w:pPr>
              <w:jc w:val="center"/>
              <w:ind w:left="672"/>
              <w:spacing w:after="0"/>
              <w:rPr>
                <w:sz w:val="20"/>
                <w:szCs w:val="20"/>
                <w:color w:val="auto"/>
              </w:rPr>
            </w:pPr>
            <w:r>
              <w:rPr>
                <w:rFonts w:ascii="Arial" w:cs="Arial" w:eastAsia="Arial" w:hAnsi="Arial"/>
                <w:sz w:val="18"/>
                <w:szCs w:val="18"/>
                <w:color w:val="auto"/>
                <w:w w:val="91"/>
              </w:rPr>
              <w:t>July 29, 2021</w:t>
            </w:r>
          </w:p>
        </w:tc>
      </w:tr>
      <w:tr>
        <w:trPr>
          <w:trHeight w:val="224"/>
        </w:trPr>
        <w:tc>
          <w:tcPr>
            <w:tcW w:w="4420" w:type="dxa"/>
            <w:vAlign w:val="bottom"/>
            <w:gridSpan w:val="5"/>
          </w:tcPr>
          <w:p>
            <w:pPr>
              <w:spacing w:after="0"/>
              <w:rPr>
                <w:sz w:val="20"/>
                <w:szCs w:val="20"/>
                <w:color w:val="auto"/>
              </w:rPr>
            </w:pPr>
            <w:r>
              <w:rPr>
                <w:rFonts w:ascii="Arial" w:cs="Arial" w:eastAsia="Arial" w:hAnsi="Arial"/>
                <w:sz w:val="18"/>
                <w:szCs w:val="18"/>
                <w:color w:val="auto"/>
              </w:rPr>
              <w:t>Faraz Ali, M.B.A.</w:t>
            </w: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8"/>
        </w:trPr>
        <w:tc>
          <w:tcPr>
            <w:tcW w:w="44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Leone D. Patterson, M.B.A.</w:t>
            </w: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Chief Financial and Business Officer</w:t>
            </w:r>
          </w:p>
        </w:tc>
        <w:tc>
          <w:tcPr>
            <w:tcW w:w="1740" w:type="dxa"/>
            <w:vAlign w:val="bottom"/>
            <w:gridSpan w:val="3"/>
          </w:tcPr>
          <w:p>
            <w:pPr>
              <w:jc w:val="center"/>
              <w:ind w:left="672"/>
              <w:spacing w:after="0"/>
              <w:rPr>
                <w:sz w:val="20"/>
                <w:szCs w:val="20"/>
                <w:color w:val="auto"/>
              </w:rPr>
            </w:pPr>
            <w:r>
              <w:rPr>
                <w:rFonts w:ascii="Arial" w:cs="Arial" w:eastAsia="Arial" w:hAnsi="Arial"/>
                <w:sz w:val="18"/>
                <w:szCs w:val="18"/>
                <w:color w:val="auto"/>
                <w:w w:val="91"/>
              </w:rPr>
              <w:t>July 29, 2021</w:t>
            </w:r>
          </w:p>
        </w:tc>
      </w:tr>
      <w:tr>
        <w:trPr>
          <w:trHeight w:val="224"/>
        </w:trPr>
        <w:tc>
          <w:tcPr>
            <w:tcW w:w="4420" w:type="dxa"/>
            <w:vAlign w:val="bottom"/>
            <w:gridSpan w:val="5"/>
          </w:tcPr>
          <w:p>
            <w:pPr>
              <w:spacing w:after="0"/>
              <w:rPr>
                <w:sz w:val="20"/>
                <w:szCs w:val="20"/>
                <w:color w:val="auto"/>
              </w:rPr>
            </w:pPr>
            <w:r>
              <w:rPr>
                <w:rFonts w:ascii="Arial" w:cs="Arial" w:eastAsia="Arial" w:hAnsi="Arial"/>
                <w:sz w:val="18"/>
                <w:szCs w:val="18"/>
                <w:color w:val="auto"/>
              </w:rPr>
              <w:t>Leone D. Patterson, M.B.A.</w:t>
            </w: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672"/>
              <w:spacing w:after="0"/>
              <w:rPr>
                <w:sz w:val="20"/>
                <w:szCs w:val="20"/>
                <w:color w:val="auto"/>
              </w:rPr>
            </w:pPr>
            <w:r>
              <w:rPr>
                <w:rFonts w:ascii="Arial" w:cs="Arial" w:eastAsia="Arial" w:hAnsi="Arial"/>
                <w:sz w:val="18"/>
                <w:szCs w:val="18"/>
                <w:color w:val="auto"/>
                <w:w w:val="91"/>
              </w:rPr>
              <w:t>July 29, 2021</w:t>
            </w:r>
          </w:p>
        </w:tc>
      </w:tr>
      <w:tr>
        <w:trPr>
          <w:trHeight w:val="224"/>
        </w:trPr>
        <w:tc>
          <w:tcPr>
            <w:tcW w:w="4420" w:type="dxa"/>
            <w:vAlign w:val="bottom"/>
            <w:gridSpan w:val="5"/>
          </w:tcPr>
          <w:p>
            <w:pPr>
              <w:spacing w:after="0"/>
              <w:rPr>
                <w:sz w:val="20"/>
                <w:szCs w:val="20"/>
                <w:color w:val="auto"/>
              </w:rPr>
            </w:pPr>
            <w:r>
              <w:rPr>
                <w:rFonts w:ascii="Arial" w:cs="Arial" w:eastAsia="Arial" w:hAnsi="Arial"/>
                <w:sz w:val="18"/>
                <w:szCs w:val="18"/>
                <w:color w:val="auto"/>
              </w:rPr>
              <w:t>Eli Casdin, M.B.A.</w:t>
            </w: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672"/>
              <w:spacing w:after="0"/>
              <w:rPr>
                <w:sz w:val="20"/>
                <w:szCs w:val="20"/>
                <w:color w:val="auto"/>
              </w:rPr>
            </w:pPr>
            <w:r>
              <w:rPr>
                <w:rFonts w:ascii="Arial" w:cs="Arial" w:eastAsia="Arial" w:hAnsi="Arial"/>
                <w:sz w:val="18"/>
                <w:szCs w:val="18"/>
                <w:color w:val="auto"/>
                <w:w w:val="91"/>
              </w:rPr>
              <w:t>July 29, 2021</w:t>
            </w:r>
          </w:p>
        </w:tc>
      </w:tr>
      <w:tr>
        <w:trPr>
          <w:trHeight w:val="224"/>
        </w:trPr>
        <w:tc>
          <w:tcPr>
            <w:tcW w:w="4420" w:type="dxa"/>
            <w:vAlign w:val="bottom"/>
            <w:gridSpan w:val="5"/>
          </w:tcPr>
          <w:p>
            <w:pPr>
              <w:spacing w:after="0"/>
              <w:rPr>
                <w:sz w:val="20"/>
                <w:szCs w:val="20"/>
                <w:color w:val="auto"/>
              </w:rPr>
            </w:pPr>
            <w:r>
              <w:rPr>
                <w:rFonts w:ascii="Arial" w:cs="Arial" w:eastAsia="Arial" w:hAnsi="Arial"/>
                <w:sz w:val="18"/>
                <w:szCs w:val="18"/>
                <w:color w:val="auto"/>
              </w:rPr>
              <w:t>Jin-Long Chen, Ph.D.</w:t>
            </w: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672"/>
              <w:spacing w:after="0"/>
              <w:rPr>
                <w:sz w:val="20"/>
                <w:szCs w:val="20"/>
                <w:color w:val="auto"/>
              </w:rPr>
            </w:pPr>
            <w:r>
              <w:rPr>
                <w:rFonts w:ascii="Arial" w:cs="Arial" w:eastAsia="Arial" w:hAnsi="Arial"/>
                <w:sz w:val="18"/>
                <w:szCs w:val="18"/>
                <w:color w:val="auto"/>
                <w:w w:val="91"/>
              </w:rPr>
              <w:t>July 29, 2021</w:t>
            </w:r>
          </w:p>
        </w:tc>
      </w:tr>
      <w:tr>
        <w:trPr>
          <w:trHeight w:val="224"/>
        </w:trPr>
        <w:tc>
          <w:tcPr>
            <w:tcW w:w="4420" w:type="dxa"/>
            <w:vAlign w:val="bottom"/>
            <w:gridSpan w:val="5"/>
          </w:tcPr>
          <w:p>
            <w:pPr>
              <w:spacing w:after="0"/>
              <w:rPr>
                <w:sz w:val="20"/>
                <w:szCs w:val="20"/>
                <w:color w:val="auto"/>
              </w:rPr>
            </w:pPr>
            <w:r>
              <w:rPr>
                <w:rFonts w:ascii="Arial" w:cs="Arial" w:eastAsia="Arial" w:hAnsi="Arial"/>
                <w:sz w:val="18"/>
                <w:szCs w:val="18"/>
                <w:color w:val="auto"/>
              </w:rPr>
              <w:t>David V. Goeddel, Ph.D.</w:t>
            </w: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672"/>
              <w:spacing w:after="0"/>
              <w:rPr>
                <w:sz w:val="20"/>
                <w:szCs w:val="20"/>
                <w:color w:val="auto"/>
              </w:rPr>
            </w:pPr>
            <w:r>
              <w:rPr>
                <w:rFonts w:ascii="Arial" w:cs="Arial" w:eastAsia="Arial" w:hAnsi="Arial"/>
                <w:sz w:val="18"/>
                <w:szCs w:val="18"/>
                <w:color w:val="auto"/>
                <w:w w:val="91"/>
              </w:rPr>
              <w:t>July 29, 2021</w:t>
            </w:r>
          </w:p>
        </w:tc>
      </w:tr>
      <w:tr>
        <w:trPr>
          <w:trHeight w:val="224"/>
        </w:trPr>
        <w:tc>
          <w:tcPr>
            <w:tcW w:w="4420" w:type="dxa"/>
            <w:vAlign w:val="bottom"/>
            <w:gridSpan w:val="5"/>
          </w:tcPr>
          <w:p>
            <w:pPr>
              <w:spacing w:after="0"/>
              <w:rPr>
                <w:sz w:val="20"/>
                <w:szCs w:val="20"/>
                <w:color w:val="auto"/>
              </w:rPr>
            </w:pPr>
            <w:r>
              <w:rPr>
                <w:rFonts w:ascii="Arial" w:cs="Arial" w:eastAsia="Arial" w:hAnsi="Arial"/>
                <w:sz w:val="18"/>
                <w:szCs w:val="18"/>
                <w:color w:val="auto"/>
              </w:rPr>
              <w:t>JeenJoo (JJ) Kang, Ph.D.</w:t>
            </w: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672"/>
              <w:spacing w:after="0"/>
              <w:rPr>
                <w:sz w:val="20"/>
                <w:szCs w:val="20"/>
                <w:color w:val="auto"/>
              </w:rPr>
            </w:pPr>
            <w:r>
              <w:rPr>
                <w:rFonts w:ascii="Arial" w:cs="Arial" w:eastAsia="Arial" w:hAnsi="Arial"/>
                <w:sz w:val="18"/>
                <w:szCs w:val="18"/>
                <w:color w:val="auto"/>
                <w:w w:val="91"/>
              </w:rPr>
              <w:t>July 29, 2021</w:t>
            </w:r>
          </w:p>
        </w:tc>
      </w:tr>
      <w:tr>
        <w:trPr>
          <w:trHeight w:val="224"/>
        </w:trPr>
        <w:tc>
          <w:tcPr>
            <w:tcW w:w="4420" w:type="dxa"/>
            <w:vAlign w:val="bottom"/>
            <w:gridSpan w:val="5"/>
          </w:tcPr>
          <w:p>
            <w:pPr>
              <w:spacing w:after="0"/>
              <w:rPr>
                <w:sz w:val="20"/>
                <w:szCs w:val="20"/>
                <w:color w:val="auto"/>
              </w:rPr>
            </w:pPr>
            <w:r>
              <w:rPr>
                <w:rFonts w:ascii="Arial" w:cs="Arial" w:eastAsia="Arial" w:hAnsi="Arial"/>
                <w:sz w:val="18"/>
                <w:szCs w:val="18"/>
                <w:color w:val="auto"/>
              </w:rPr>
              <w:t>Deepak Srivastava, M.D.</w:t>
            </w: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672"/>
              <w:spacing w:after="0"/>
              <w:rPr>
                <w:sz w:val="20"/>
                <w:szCs w:val="20"/>
                <w:color w:val="auto"/>
              </w:rPr>
            </w:pPr>
            <w:r>
              <w:rPr>
                <w:rFonts w:ascii="Arial" w:cs="Arial" w:eastAsia="Arial" w:hAnsi="Arial"/>
                <w:sz w:val="18"/>
                <w:szCs w:val="18"/>
                <w:color w:val="auto"/>
                <w:w w:val="91"/>
              </w:rPr>
              <w:t>July 29, 2021</w:t>
            </w:r>
          </w:p>
        </w:tc>
      </w:tr>
      <w:tr>
        <w:trPr>
          <w:trHeight w:val="224"/>
        </w:trPr>
        <w:tc>
          <w:tcPr>
            <w:tcW w:w="4420" w:type="dxa"/>
            <w:vAlign w:val="bottom"/>
            <w:gridSpan w:val="5"/>
          </w:tcPr>
          <w:p>
            <w:pPr>
              <w:spacing w:after="0"/>
              <w:rPr>
                <w:sz w:val="20"/>
                <w:szCs w:val="20"/>
                <w:color w:val="auto"/>
              </w:rPr>
            </w:pPr>
            <w:r>
              <w:rPr>
                <w:rFonts w:ascii="Arial" w:cs="Arial" w:eastAsia="Arial" w:hAnsi="Arial"/>
                <w:sz w:val="18"/>
                <w:szCs w:val="18"/>
                <w:color w:val="auto"/>
              </w:rPr>
              <w:t>Catherine Stehman-Breen, M.D.</w:t>
            </w: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672"/>
              <w:spacing w:after="0"/>
              <w:rPr>
                <w:sz w:val="20"/>
                <w:szCs w:val="20"/>
                <w:color w:val="auto"/>
              </w:rPr>
            </w:pPr>
            <w:r>
              <w:rPr>
                <w:rFonts w:ascii="Arial" w:cs="Arial" w:eastAsia="Arial" w:hAnsi="Arial"/>
                <w:sz w:val="18"/>
                <w:szCs w:val="18"/>
                <w:color w:val="auto"/>
                <w:w w:val="91"/>
              </w:rPr>
              <w:t>July 29, 2021</w:t>
            </w:r>
          </w:p>
        </w:tc>
      </w:tr>
      <w:tr>
        <w:trPr>
          <w:trHeight w:val="224"/>
        </w:trPr>
        <w:tc>
          <w:tcPr>
            <w:tcW w:w="4420" w:type="dxa"/>
            <w:vAlign w:val="bottom"/>
            <w:gridSpan w:val="5"/>
          </w:tcPr>
          <w:p>
            <w:pPr>
              <w:spacing w:after="0"/>
              <w:rPr>
                <w:sz w:val="20"/>
                <w:szCs w:val="20"/>
                <w:color w:val="auto"/>
              </w:rPr>
            </w:pPr>
            <w:r>
              <w:rPr>
                <w:rFonts w:ascii="Arial" w:cs="Arial" w:eastAsia="Arial" w:hAnsi="Arial"/>
                <w:sz w:val="18"/>
                <w:szCs w:val="18"/>
                <w:color w:val="auto"/>
              </w:rPr>
              <w:t>Jeffrey T. Walsh, M.B.A.</w:t>
            </w: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672"/>
              <w:spacing w:after="0"/>
              <w:rPr>
                <w:sz w:val="20"/>
                <w:szCs w:val="20"/>
                <w:color w:val="auto"/>
              </w:rPr>
            </w:pPr>
            <w:r>
              <w:rPr>
                <w:rFonts w:ascii="Arial" w:cs="Arial" w:eastAsia="Arial" w:hAnsi="Arial"/>
                <w:sz w:val="18"/>
                <w:szCs w:val="18"/>
                <w:color w:val="auto"/>
                <w:w w:val="91"/>
              </w:rPr>
              <w:t>July 29, 2021</w:t>
            </w:r>
          </w:p>
        </w:tc>
      </w:tr>
      <w:tr>
        <w:trPr>
          <w:trHeight w:val="224"/>
        </w:trPr>
        <w:tc>
          <w:tcPr>
            <w:tcW w:w="4420" w:type="dxa"/>
            <w:vAlign w:val="bottom"/>
            <w:gridSpan w:val="5"/>
          </w:tcPr>
          <w:p>
            <w:pPr>
              <w:spacing w:after="0"/>
              <w:rPr>
                <w:sz w:val="20"/>
                <w:szCs w:val="20"/>
                <w:color w:val="auto"/>
              </w:rPr>
            </w:pPr>
            <w:r>
              <w:rPr>
                <w:rFonts w:ascii="Arial" w:cs="Arial" w:eastAsia="Arial" w:hAnsi="Arial"/>
                <w:sz w:val="18"/>
                <w:szCs w:val="18"/>
                <w:color w:val="auto"/>
              </w:rPr>
              <w:t>R. Sanders (Sandy) Williams, M.D.</w:t>
            </w: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661"/>
        </w:trPr>
        <w:tc>
          <w:tcPr>
            <w:tcW w:w="4420" w:type="dxa"/>
            <w:vAlign w:val="bottom"/>
            <w:gridSpan w:val="5"/>
          </w:tcPr>
          <w:p>
            <w:pPr>
              <w:spacing w:after="0"/>
              <w:rPr>
                <w:sz w:val="20"/>
                <w:szCs w:val="20"/>
                <w:color w:val="auto"/>
              </w:rPr>
            </w:pPr>
            <w:r>
              <w:rPr>
                <w:rFonts w:ascii="Arial" w:cs="Arial" w:eastAsia="Arial" w:hAnsi="Arial"/>
                <w:sz w:val="18"/>
                <w:szCs w:val="18"/>
                <w:color w:val="auto"/>
              </w:rPr>
              <w:t>* By:  /s/ Faraz Ali, M.B.A.</w:t>
            </w: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5"/>
        </w:trPr>
        <w:tc>
          <w:tcPr>
            <w:tcW w:w="480" w:type="dxa"/>
            <w:vAlign w:val="bottom"/>
          </w:tcPr>
          <w:p>
            <w:pPr>
              <w:spacing w:after="0"/>
              <w:rPr>
                <w:sz w:val="16"/>
                <w:szCs w:val="16"/>
                <w:color w:val="auto"/>
              </w:rPr>
            </w:pPr>
          </w:p>
        </w:tc>
        <w:tc>
          <w:tcPr>
            <w:tcW w:w="3920" w:type="dxa"/>
            <w:vAlign w:val="bottom"/>
            <w:tcBorders>
              <w:top w:val="single" w:sz="8" w:color="auto"/>
            </w:tcBorders>
            <w:gridSpan w:val="3"/>
          </w:tcPr>
          <w:p>
            <w:pPr>
              <w:ind w:left="60"/>
              <w:spacing w:after="0" w:line="195" w:lineRule="exact"/>
              <w:rPr>
                <w:sz w:val="20"/>
                <w:szCs w:val="20"/>
                <w:color w:val="auto"/>
              </w:rPr>
            </w:pPr>
            <w:r>
              <w:rPr>
                <w:rFonts w:ascii="Arial" w:cs="Arial" w:eastAsia="Arial" w:hAnsi="Arial"/>
                <w:sz w:val="18"/>
                <w:szCs w:val="18"/>
                <w:color w:val="auto"/>
              </w:rPr>
              <w:t>Faraz Ali, M.B.A.</w:t>
            </w:r>
          </w:p>
        </w:tc>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30"/>
        </w:trPr>
        <w:tc>
          <w:tcPr>
            <w:tcW w:w="480" w:type="dxa"/>
            <w:vAlign w:val="bottom"/>
          </w:tcPr>
          <w:p>
            <w:pPr>
              <w:spacing w:after="0"/>
              <w:rPr>
                <w:sz w:val="20"/>
                <w:szCs w:val="20"/>
                <w:color w:val="auto"/>
              </w:rPr>
            </w:pPr>
          </w:p>
        </w:tc>
        <w:tc>
          <w:tcPr>
            <w:tcW w:w="3940" w:type="dxa"/>
            <w:vAlign w:val="bottom"/>
            <w:gridSpan w:val="4"/>
          </w:tcPr>
          <w:p>
            <w:pPr>
              <w:ind w:left="60"/>
              <w:spacing w:after="0"/>
              <w:rPr>
                <w:sz w:val="20"/>
                <w:szCs w:val="20"/>
                <w:color w:val="auto"/>
              </w:rPr>
            </w:pPr>
            <w:r>
              <w:rPr>
                <w:rFonts w:ascii="Arial" w:cs="Arial" w:eastAsia="Arial" w:hAnsi="Arial"/>
                <w:sz w:val="18"/>
                <w:szCs w:val="18"/>
                <w:color w:val="auto"/>
              </w:rPr>
              <w:t>Attorney-in-fact</w:t>
            </w: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65"/>
        </w:trPr>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gridSpan w:val="3"/>
          </w:tcPr>
          <w:p>
            <w:pPr>
              <w:ind w:left="940"/>
              <w:spacing w:after="0"/>
              <w:rPr>
                <w:sz w:val="20"/>
                <w:szCs w:val="20"/>
                <w:color w:val="auto"/>
              </w:rPr>
            </w:pPr>
            <w:r>
              <w:rPr>
                <w:rFonts w:ascii="Arial" w:cs="Arial" w:eastAsia="Arial" w:hAnsi="Arial"/>
                <w:sz w:val="18"/>
                <w:szCs w:val="18"/>
                <w:color w:val="auto"/>
              </w:rPr>
              <w:t>II-2</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097280"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097280" cy="44577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Palo Alto, California 94304-1050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O</w:t>
      </w:r>
      <w:r>
        <w:rPr>
          <w:rFonts w:ascii="Arial" w:cs="Arial" w:eastAsia="Arial" w:hAnsi="Arial"/>
          <w:sz w:val="17"/>
          <w:szCs w:val="17"/>
          <w:color w:val="auto"/>
        </w:rPr>
        <w:t>: 650.493.9300</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w:t>
      </w:r>
      <w:r>
        <w:rPr>
          <w:rFonts w:ascii="Arial" w:cs="Arial" w:eastAsia="Arial" w:hAnsi="Arial"/>
          <w:sz w:val="17"/>
          <w:szCs w:val="17"/>
          <w:color w:val="auto"/>
        </w:rPr>
        <w:t>: 650.493.6811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Tenaya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171 Oyster Point Boulevard, 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112"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tab/>
        <w:t>Registration Statement on Form S-1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This opinion is furnished to you in connection with the Registration Statement on Form S-1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by Tenaya Therapeutics, Inc. (the “</w:t>
      </w:r>
      <w:r>
        <w:rPr>
          <w:rFonts w:ascii="Arial" w:cs="Arial" w:eastAsia="Arial" w:hAnsi="Arial"/>
          <w:sz w:val="17"/>
          <w:szCs w:val="17"/>
          <w:b w:val="1"/>
          <w:bCs w:val="1"/>
          <w:color w:val="auto"/>
        </w:rPr>
        <w:t>Company</w:t>
      </w:r>
      <w:r>
        <w:rPr>
          <w:rFonts w:ascii="Arial" w:cs="Arial" w:eastAsia="Arial" w:hAnsi="Arial"/>
          <w:sz w:val="17"/>
          <w:szCs w:val="17"/>
          <w:color w:val="auto"/>
        </w:rPr>
        <w:t>”) with the Securities and Exchange Commission in connection with the registration under the Securities Act of 1933, as amended, of up to 2,300,000 shares (including up to 300,000 shares issuable upon exercise of an option granted to the underwriters by the Company) of the Company’s common stock, $0.0001 par value per share (the “</w:t>
      </w:r>
      <w:r>
        <w:rPr>
          <w:rFonts w:ascii="Arial" w:cs="Arial" w:eastAsia="Arial" w:hAnsi="Arial"/>
          <w:sz w:val="17"/>
          <w:szCs w:val="17"/>
          <w:b w:val="1"/>
          <w:bCs w:val="1"/>
          <w:color w:val="auto"/>
        </w:rPr>
        <w:t>Shares</w:t>
      </w:r>
      <w:r>
        <w:rPr>
          <w:rFonts w:ascii="Arial" w:cs="Arial" w:eastAsia="Arial" w:hAnsi="Arial"/>
          <w:sz w:val="17"/>
          <w:szCs w:val="17"/>
          <w:color w:val="auto"/>
        </w:rPr>
        <w:t>”), to be issued and sold by the Company. The Registration Statement incorporates by reference the Registration Statement on Form S-1, as amended (Registration No. 333-257820) (the “</w:t>
      </w:r>
      <w:r>
        <w:rPr>
          <w:rFonts w:ascii="Arial" w:cs="Arial" w:eastAsia="Arial" w:hAnsi="Arial"/>
          <w:sz w:val="17"/>
          <w:szCs w:val="17"/>
          <w:b w:val="1"/>
          <w:bCs w:val="1"/>
          <w:color w:val="auto"/>
        </w:rPr>
        <w:t>Prior Registration Statement</w:t>
      </w:r>
      <w:r>
        <w:rPr>
          <w:rFonts w:ascii="Arial" w:cs="Arial" w:eastAsia="Arial" w:hAnsi="Arial"/>
          <w:sz w:val="17"/>
          <w:szCs w:val="17"/>
          <w:color w:val="auto"/>
        </w:rPr>
        <w:t>”), which was declared effective on July 29, 2021, including the prospectus which forms part of the Prior Registration Statement. We understand that the Shares are to be sold to the underwriters for resale to the public as described in the Registration Statement and the Prior Registration Statement and pursuant to an underwriting agreement, substantially in the form filed as an exhibit to the Prior Registration Statement, to be entered into by and among the Company and the underwriters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w:t>
      </w:r>
    </w:p>
    <w:p>
      <w:pPr>
        <w:spacing w:after="0" w:line="178"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We are acting as counsel for the Company in connection with the sale of the Shares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7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We express no opinion herein as to the laws of any state or jurisdiction other than the General Corporation Law of the State of Delaware</w:t>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(including the statutory provisions and all applicable judicial decisions interpreting those laws) and the federal laws of the United States of America.</w:t>
      </w:r>
    </w:p>
    <w:p>
      <w:pPr>
        <w:spacing w:after="0" w:line="23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On the basis of the foregoing, we are of the opinion that upon the effectiveness of the Company’s Amended and Restated Certificate of Incorporation, a form of which has been filed as Exhibit 3.2 to the Prior Registration Statement, the Shares to be issued and sold by the Company have been duly authorized and, when such Shares are issued and paid for in accordance with the terms of the Underwriting Agreement, will be validly issued, fully paid and nonassessable.</w:t>
      </w:r>
    </w:p>
    <w:p>
      <w:pPr>
        <w:spacing w:after="0" w:line="187" w:lineRule="exact"/>
        <w:rPr>
          <w:sz w:val="20"/>
          <w:szCs w:val="20"/>
          <w:color w:val="auto"/>
        </w:rPr>
      </w:pPr>
    </w:p>
    <w:p>
      <w:pPr>
        <w:jc w:val="center"/>
        <w:ind w:right="20"/>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ectPr>
          <w:pgSz w:w="11900" w:h="16838" w:orient="portrait"/>
          <w:cols w:equalWidth="0" w:num="1">
            <w:col w:w="11020"/>
          </w:cols>
          <w:pgMar w:left="440" w:top="121" w:right="439" w:bottom="1440" w:gutter="0" w:footer="0" w:header="0"/>
        </w:sectPr>
      </w:pPr>
    </w:p>
    <w:p>
      <w:pPr>
        <w:spacing w:after="0" w:line="22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AUSTIN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BEIJING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BOSTON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BRUSSELS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HONG KONG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LONDON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LOS ANGELES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NEW YORK</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PALO ALTO</w:t>
      </w:r>
    </w:p>
    <w:p>
      <w:pPr>
        <w:spacing w:after="0" w:line="200" w:lineRule="exact"/>
        <w:rPr>
          <w:sz w:val="20"/>
          <w:szCs w:val="20"/>
          <w:color w:val="auto"/>
        </w:rPr>
      </w:pPr>
    </w:p>
    <w:p>
      <w:pPr>
        <w:sectPr>
          <w:pgSz w:w="11900" w:h="16838" w:orient="portrait"/>
          <w:cols w:equalWidth="0" w:num="9">
            <w:col w:w="1480" w:space="180"/>
            <w:col w:w="680" w:space="180"/>
            <w:col w:w="720" w:space="180"/>
            <w:col w:w="900" w:space="180"/>
            <w:col w:w="1080" w:space="180"/>
            <w:col w:w="760" w:space="180"/>
            <w:col w:w="1200" w:space="180"/>
            <w:col w:w="960" w:space="180"/>
            <w:col w:w="1800"/>
          </w:cols>
          <w:pgMar w:left="440" w:top="121" w:right="439" w:bottom="1440" w:gutter="0" w:footer="0" w:header="0"/>
          <w:type w:val="continuous"/>
        </w:sectPr>
      </w:pPr>
    </w:p>
    <w:p>
      <w:pPr>
        <w:spacing w:after="0" w:line="3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SAN DIEGO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SAN FRANCISCO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SEATTLE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SHANGHAI</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WASHINGTON, DC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WILMINGTON, DE</w:t>
      </w:r>
    </w:p>
    <w:p>
      <w:pPr>
        <w:sectPr>
          <w:pgSz w:w="11900" w:h="16838" w:orient="portrait"/>
          <w:cols w:equalWidth="0" w:num="6">
            <w:col w:w="2460" w:space="180"/>
            <w:col w:w="1420" w:space="180"/>
            <w:col w:w="760" w:space="180"/>
            <w:col w:w="940" w:space="160"/>
            <w:col w:w="1540" w:space="180"/>
            <w:col w:w="3020"/>
          </w:cols>
          <w:pgMar w:left="440" w:top="121" w:right="4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56895"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56895" cy="240030"/>
                    </a:xfrm>
                    <a:prstGeom prst="rect">
                      <a:avLst/>
                    </a:prstGeom>
                    <a:noFill/>
                  </pic:spPr>
                </pic:pic>
              </a:graphicData>
            </a:graphic>
          </wp:anchor>
        </w:drawing>
        <w:t>Tenaya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5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we consent to the reference of our name under the caption “Legal Matters” in the prospectus forming part of the Prior Registration Statement.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 P.C.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0760"/>
          </w:cols>
          <w:pgMar w:left="440" w:top="760" w:right="6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consent to the incorporation by reference in this Registration Statement on Form S-1 filed pursuant to Rule 462(b) of the Securities Act of 1933, as amended, of our report dated May 7, 2021 (July 26, 2021, as to the effects of the reverse stock split described in Note 13), relating to the financial statements of Tenaya Therapeutics, Inc. included in the Registration Statement No. 333-257820 on Form S-1 of Tenaya Therapeutics, Inc. We also consent to the reference to us under the heading “Experts” in Registration Statement No. 333-257820.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29,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png"/><Relationship Id="rId28" Type="http://schemas.openxmlformats.org/officeDocument/2006/relationships/image" Target="media/image19.jpeg"/><Relationship Id="rId21" Type="http://schemas.openxmlformats.org/officeDocument/2006/relationships/hyperlink" Target="http://www.sec.gov/Archives/edgar/data/0001858848/000119312521212010/d175698ds1.htm" TargetMode="External"/><Relationship Id="rId22" Type="http://schemas.openxmlformats.org/officeDocument/2006/relationships/hyperlink" Target="http://www.sec.gov/Archives/edgar/data/0001858848/000119312521212010/d175698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2021-07-29T20:45:17Z</dcterms:created>
  <dcterms:modified xsi:type="dcterms:W3CDTF">2021-07-29T20:45:17Z</dcterms:modified>
</cp:coreProperties>
</file>