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74726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Ali Faraz</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02/03/2026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799"/>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40"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bottom w:val="single" w:sz="8" w:color="2C2C2C"/>
            </w:tcBorders>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5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4"/>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94080</w:t>
            </w:r>
          </w:p>
        </w:tc>
        <w:tc>
          <w:tcPr>
            <w:tcW w:w="6700" w:type="dxa"/>
            <w:vAlign w:val="bottom"/>
            <w:vMerge w:val="restart"/>
          </w:tcPr>
          <w:p>
            <w:pPr>
              <w:ind w:left="45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9"/>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9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00" w:type="dxa"/>
            <w:vAlign w:val="bottom"/>
          </w:tcPr>
          <w:p>
            <w:pPr>
              <w:ind w:left="4520"/>
              <w:spacing w:after="0" w:line="139" w:lineRule="exact"/>
              <w:rPr>
                <w:sz w:val="20"/>
                <w:szCs w:val="20"/>
                <w:color w:val="auto"/>
              </w:rPr>
            </w:pPr>
            <w:r>
              <w:rPr>
                <w:rFonts w:ascii="Arial" w:cs="Arial" w:eastAsia="Arial" w:hAnsi="Arial"/>
                <w:sz w:val="13"/>
                <w:szCs w:val="13"/>
                <w:color w:val="auto"/>
                <w:w w:val="95"/>
              </w:rPr>
              <w:t>Form filed by More than One Reporting</w:t>
            </w:r>
          </w:p>
        </w:tc>
        <w:tc>
          <w:tcPr>
            <w:tcW w:w="0" w:type="dxa"/>
            <w:vAlign w:val="bottom"/>
          </w:tcPr>
          <w:p>
            <w:pPr>
              <w:spacing w:after="0"/>
              <w:rPr>
                <w:sz w:val="1"/>
                <w:szCs w:val="1"/>
                <w:color w:val="auto"/>
              </w:rPr>
            </w:pPr>
          </w:p>
        </w:tc>
      </w:tr>
      <w:tr>
        <w:trPr>
          <w:trHeight w:val="132"/>
        </w:trPr>
        <w:tc>
          <w:tcPr>
            <w:tcW w:w="10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00" w:type="dxa"/>
            <w:vAlign w:val="bottom"/>
          </w:tcPr>
          <w:p>
            <w:pPr>
              <w:ind w:left="4520"/>
              <w:spacing w:after="0" w:line="107"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3"/>
        </w:trPr>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2"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6"/>
                <w:szCs w:val="16"/>
                <w:color w:val="0000FF"/>
              </w:rPr>
              <w:t>02/03/2026</w:t>
            </w:r>
            <w:r>
              <w:rPr>
                <w:rFonts w:ascii="Times New Roman" w:cs="Times New Roman" w:eastAsia="Times New Roman" w:hAnsi="Times New Roman"/>
                <w:sz w:val="21"/>
                <w:szCs w:val="21"/>
                <w:color w:val="008000"/>
                <w:vertAlign w:val="superscript"/>
              </w:rPr>
              <w:t>(2)</w:t>
            </w: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6"/>
                <w:szCs w:val="16"/>
                <w:color w:val="0000FF"/>
              </w:rPr>
              <w:t>158,600</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458,266</w:t>
            </w:r>
            <w:r>
              <w:rPr>
                <w:rFonts w:ascii="Times New Roman" w:cs="Times New Roman" w:eastAsia="Times New Roman" w:hAnsi="Times New Roman"/>
                <w:sz w:val="21"/>
                <w:szCs w:val="21"/>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0.915</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02/03/2026</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952,250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03/03/2026</w:t>
            </w:r>
            <w:r>
              <w:rPr>
                <w:rFonts w:ascii="Times New Roman" w:cs="Times New Roman" w:eastAsia="Times New Roman" w:hAnsi="Times New Roman"/>
                <w:sz w:val="21"/>
                <w:szCs w:val="21"/>
                <w:color w:val="008000"/>
                <w:vertAlign w:val="superscript"/>
              </w:rPr>
              <w:t>(4)</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02/02/2036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952,250</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952,250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ind w:left="4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8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Tenaya Therapeutics, Inc. common stock that will be issued to the Reporting Person upon vesting of restricted stock units. Each restricted stock unit is the economic equivalent of one share of Tenaya Therapeutics, Inc. common stock.</w:t>
      </w:r>
    </w:p>
    <w:p>
      <w:pPr>
        <w:spacing w:after="0" w:line="21" w:lineRule="exact"/>
        <w:rPr>
          <w:rFonts w:ascii="Times New Roman" w:cs="Times New Roman" w:eastAsia="Times New Roman" w:hAnsi="Times New Roman"/>
          <w:sz w:val="13"/>
          <w:szCs w:val="13"/>
          <w:color w:val="008000"/>
        </w:rPr>
      </w:pPr>
    </w:p>
    <w:p>
      <w:pPr>
        <w:ind w:left="40" w:right="260" w:hanging="1"/>
        <w:spacing w:after="0" w:line="285"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stock units were granted to the Reporting Person on the Transaction Date pursuant to the Tenaya Therapeutics, Inc. 2021 Equity Incentive Plan. The restricted stock units will vest as to 1/8th of the total number of shares subject to the restricted stock unit award on August 15, 2026, and 1/8th of the total number of shares subject to the restricted stock unit award every six months thereafter until fully vested.</w:t>
      </w:r>
    </w:p>
    <w:p>
      <w:pPr>
        <w:spacing w:after="0" w:line="1" w:lineRule="exact"/>
        <w:rPr>
          <w:rFonts w:ascii="Times New Roman" w:cs="Times New Roman" w:eastAsia="Times New Roman" w:hAnsi="Times New Roman"/>
          <w:sz w:val="12"/>
          <w:szCs w:val="12"/>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369,875 shares of Tenaya Therapeutics, Inc. common stock that will be issued to the Reporting Person upon vesting of restricted stock units.</w:t>
      </w:r>
    </w:p>
    <w:p>
      <w:pPr>
        <w:spacing w:after="0" w:line="40" w:lineRule="exact"/>
        <w:rPr>
          <w:rFonts w:ascii="Times New Roman" w:cs="Times New Roman" w:eastAsia="Times New Roman" w:hAnsi="Times New Roman"/>
          <w:sz w:val="13"/>
          <w:szCs w:val="13"/>
          <w:color w:val="008000"/>
        </w:rPr>
      </w:pPr>
    </w:p>
    <w:p>
      <w:pPr>
        <w:ind w:left="40" w:right="720" w:hanging="1"/>
        <w:spacing w:after="0" w:line="24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as to 1/48th of the total number of shares subject to the option on the one month anniversary of the Transaction Date and 1/48th of the total number of shares subject to the option on each monthly anniversary thereafter until fully vested.</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02/05/2026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 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684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8453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67937"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2026-02-05T17:03:47Z</dcterms:created>
  <dcterms:modified xsi:type="dcterms:W3CDTF">2026-02-05T17:03:47Z</dcterms:modified>
</cp:coreProperties>
</file>