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8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60" w:type="dxa"/>
            <w:vAlign w:val="bottom"/>
          </w:tcPr>
          <w:p>
            <w:pPr>
              <w:jc w:val="right"/>
              <w:spacing w:after="0"/>
              <w:rPr>
                <w:sz w:val="20"/>
                <w:szCs w:val="20"/>
                <w:color w:val="auto"/>
              </w:rPr>
            </w:pPr>
            <w:r>
              <w:rPr>
                <w:rFonts w:ascii="Arial" w:cs="Arial" w:eastAsia="Arial" w:hAnsi="Arial"/>
                <w:sz w:val="7"/>
                <w:szCs w:val="7"/>
                <w:color w:val="auto"/>
                <w:w w:val="71"/>
              </w:rPr>
              <w:t>*</w:t>
            </w:r>
          </w:p>
        </w:tc>
        <w:tc>
          <w:tcPr>
            <w:tcW w:w="20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vMerge w:val="restart"/>
          </w:tcPr>
          <w:p>
            <w:pPr>
              <w:ind w:left="18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40" w:type="dxa"/>
            <w:vAlign w:val="bottom"/>
            <w:gridSpan w:val="4"/>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Casdin Partners Master Fund,</w:t>
              </w:r>
            </w:hyperlink>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40" w:type="dxa"/>
            <w:vAlign w:val="bottom"/>
            <w:gridSpan w:val="4"/>
            <w:vMerge w:val="continue"/>
          </w:tcPr>
          <w:p>
            <w:pPr>
              <w:spacing w:after="0"/>
              <w:rPr>
                <w:sz w:val="13"/>
                <w:szCs w:val="13"/>
                <w:color w:val="auto"/>
              </w:rPr>
            </w:pPr>
          </w:p>
        </w:tc>
        <w:tc>
          <w:tcPr>
            <w:tcW w:w="1540" w:type="dxa"/>
            <w:vAlign w:val="bottom"/>
          </w:tcPr>
          <w:p>
            <w:pPr>
              <w:ind w:left="18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L.P.</w:t>
              </w:r>
            </w:hyperlink>
          </w:p>
        </w:tc>
        <w:tc>
          <w:tcPr>
            <w:tcW w:w="6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ind w:left="180"/>
              <w:spacing w:after="0"/>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8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right="1137"/>
        <w:spacing w:after="0" w:line="331" w:lineRule="auto"/>
        <w:rPr>
          <w:sz w:val="20"/>
          <w:szCs w:val="20"/>
          <w:color w:val="auto"/>
        </w:rPr>
      </w:pPr>
      <w:r>
        <w:rPr>
          <w:rFonts w:ascii="Arial" w:cs="Arial" w:eastAsia="Arial" w:hAnsi="Arial"/>
          <w:sz w:val="20"/>
          <w:szCs w:val="20"/>
          <w:color w:val="0000FF"/>
        </w:rPr>
        <w:t>1350 AVENUE OF THE AMERICAS SUITE 2600</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10019 YORK</w:t>
      </w:r>
    </w:p>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55" w:lineRule="exact"/>
        <w:rPr>
          <w:sz w:val="20"/>
          <w:szCs w:val="20"/>
          <w:color w:val="auto"/>
        </w:rPr>
      </w:pPr>
    </w:p>
    <w:p>
      <w:pPr>
        <w:sectPr>
          <w:pgSz w:w="11900" w:h="16888" w:orient="portrait"/>
          <w:cols w:equalWidth="0" w:num="3">
            <w:col w:w="4277" w:space="720"/>
            <w:col w:w="3003" w:space="269"/>
            <w:col w:w="2671"/>
          </w:cols>
          <w:pgMar w:left="480" w:top="236" w:right="479" w:bottom="0" w:gutter="0" w:footer="0" w:header="0"/>
          <w:type w:val="continuous"/>
        </w:sectPr>
      </w:pPr>
    </w:p>
    <w:p>
      <w:pPr>
        <w:spacing w:after="0" w:line="20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250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1720" w:type="dxa"/>
            <w:vAlign w:val="bottom"/>
            <w:gridSpan w:val="2"/>
            <w:vMerge w:val="restart"/>
          </w:tcPr>
          <w:p>
            <w:pPr>
              <w:ind w:left="800"/>
              <w:spacing w:after="0"/>
              <w:rPr>
                <w:sz w:val="20"/>
                <w:szCs w:val="20"/>
                <w:color w:val="auto"/>
              </w:rPr>
            </w:pPr>
            <w:r>
              <w:rPr>
                <w:rFonts w:ascii="Arial" w:cs="Arial" w:eastAsia="Arial" w:hAnsi="Arial"/>
                <w:sz w:val="13"/>
                <w:szCs w:val="13"/>
                <w:color w:val="008000"/>
              </w:rPr>
              <w:t>(1)</w:t>
            </w:r>
          </w:p>
        </w:tc>
        <w:tc>
          <w:tcPr>
            <w:tcW w:w="4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008000"/>
                <w:w w:val="87"/>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2,012,880</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0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720" w:type="dxa"/>
            <w:vAlign w:val="bottom"/>
            <w:gridSpan w:val="2"/>
            <w:vMerge w:val="restart"/>
          </w:tcPr>
          <w:p>
            <w:pPr>
              <w:ind w:left="800"/>
              <w:spacing w:after="0"/>
              <w:rPr>
                <w:sz w:val="20"/>
                <w:szCs w:val="20"/>
                <w:color w:val="auto"/>
              </w:rPr>
            </w:pPr>
            <w:r>
              <w:rPr>
                <w:rFonts w:ascii="Arial" w:cs="Arial" w:eastAsia="Arial" w:hAnsi="Arial"/>
                <w:sz w:val="13"/>
                <w:szCs w:val="13"/>
                <w:color w:val="008000"/>
              </w:rPr>
              <w:t>(1)</w:t>
            </w:r>
          </w:p>
        </w:tc>
        <w:tc>
          <w:tcPr>
            <w:tcW w:w="4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008000"/>
                <w:w w:val="87"/>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361,969</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00" w:type="dxa"/>
            <w:vAlign w:val="bottom"/>
            <w:gridSpan w:val="5"/>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720" w:type="dxa"/>
            <w:vAlign w:val="bottom"/>
            <w:gridSpan w:val="2"/>
            <w:vMerge w:val="restart"/>
          </w:tcPr>
          <w:p>
            <w:pPr>
              <w:ind w:left="800"/>
              <w:spacing w:after="0"/>
              <w:rPr>
                <w:sz w:val="20"/>
                <w:szCs w:val="20"/>
                <w:color w:val="auto"/>
              </w:rPr>
            </w:pPr>
            <w:r>
              <w:rPr>
                <w:rFonts w:ascii="Arial" w:cs="Arial" w:eastAsia="Arial" w:hAnsi="Arial"/>
                <w:sz w:val="13"/>
                <w:szCs w:val="13"/>
                <w:color w:val="008000"/>
              </w:rPr>
              <w:t>(1)</w:t>
            </w:r>
          </w:p>
        </w:tc>
        <w:tc>
          <w:tcPr>
            <w:tcW w:w="4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008000"/>
                <w:w w:val="87"/>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361,969</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22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gridSpan w:val="5"/>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Casdin Partners Master Fund, L.P.</w:t>
              </w:r>
            </w:hyperlink>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38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0"/>
                <w:szCs w:val="20"/>
                <w:color w:val="0000FF"/>
              </w:rPr>
              <w:t>1350 AVENUE OF THE AMERICAS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SUITE 2600</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18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900" w:type="dxa"/>
            <w:vAlign w:val="bottom"/>
          </w:tcPr>
          <w:p>
            <w:pPr>
              <w:ind w:left="380"/>
              <w:spacing w:after="0"/>
              <w:rPr>
                <w:sz w:val="20"/>
                <w:szCs w:val="20"/>
                <w:color w:val="auto"/>
              </w:rPr>
            </w:pPr>
            <w:r>
              <w:rPr>
                <w:rFonts w:ascii="Arial" w:cs="Arial" w:eastAsia="Arial" w:hAnsi="Arial"/>
                <w:sz w:val="20"/>
                <w:szCs w:val="20"/>
                <w:color w:val="0000FF"/>
                <w:w w:val="89"/>
              </w:rPr>
              <w:t>10019</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38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2"/>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3"/>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Casdin Capital, LLC</w:t>
              </w:r>
            </w:hyperlink>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38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1350 AVENUE OF THE AMERICAS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2600</w:t>
      </w:r>
    </w:p>
    <w:p>
      <w:pPr>
        <w:sectPr>
          <w:pgSz w:w="11900" w:h="16888" w:orient="portrait"/>
          <w:cols w:equalWidth="0" w:num="1">
            <w:col w:w="10940"/>
          </w:cols>
          <w:pgMar w:left="480" w:top="236" w:right="479" w:bottom="0" w:gutter="0" w:footer="0" w:header="0"/>
          <w:type w:val="continuous"/>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88" w:orient="portrait"/>
          <w:cols w:equalWidth="0" w:num="1">
            <w:col w:w="10940"/>
          </w:cols>
          <w:pgMar w:left="480" w:top="236"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48"/>
        </w:trPr>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r>
      <w:tr>
        <w:trPr>
          <w:trHeight w:val="177"/>
        </w:trPr>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796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47961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CASDIN PRIVATE GROWTH EQUITY</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FUND GP, LLC</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1350 AVENUE OF THE AMERICAS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SUITE 2600</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Casdin Private Growth Equity Fund,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1350 AVENUE OF THE AMERICAS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SUITE 2600</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94080</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4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B Preferred Stock and Series C Preferred Stock will automatically convert into one share of common stock immediately prior to the completion of the Issuer's initial public offering, and has no expiration date.</w:t>
      </w:r>
    </w:p>
    <w:p>
      <w:pPr>
        <w:spacing w:after="0" w:line="26"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directly by Casdin Partners Master Fund, L.P.(CPMF).</w:t>
      </w:r>
    </w:p>
    <w:p>
      <w:pPr>
        <w:spacing w:after="0" w:line="52" w:lineRule="exact"/>
        <w:rPr>
          <w:rFonts w:ascii="Arial" w:cs="Arial" w:eastAsia="Arial" w:hAnsi="Arial"/>
          <w:sz w:val="15"/>
          <w:szCs w:val="15"/>
          <w:color w:val="008000"/>
        </w:rPr>
      </w:pPr>
    </w:p>
    <w:p>
      <w:pPr>
        <w:ind w:right="6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Casdin Capital, LLC is the investment advisor to CPMF and CPGEF. Casdin Partners GP, LLC is the general partner of CPMF. Casdin Private Growth Equity Fund GP, LLC is the general partner of CPGEF. The Reporting Person is the managing member of Casdin Capital, LLC, Casdin Partners GP, LLC and Casdin Private Growth Equity Fund GP, LLC and may be deemed to have voting and investment power with respect to the shares. The Reporting Person disclaims beneficial ownership of the shares except to the extent of his pecuniary interest therein, if any.</w:t>
      </w:r>
    </w:p>
    <w:p>
      <w:pPr>
        <w:spacing w:after="0" w:line="36"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directly by Casdin Private Growth Equity Fund, L.P. (CPGEF).</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ectPr>
          <w:pgSz w:w="11900" w:h="16838" w:orient="portrait"/>
          <w:cols w:equalWidth="0" w:num="1">
            <w:col w:w="10820"/>
          </w:cols>
          <w:pgMar w:left="520" w:top="160" w:right="559" w:bottom="256" w:gutter="0" w:footer="0" w:header="0"/>
        </w:sectPr>
      </w:pPr>
    </w:p>
    <w:p>
      <w:pPr>
        <w:spacing w:after="0" w:line="84"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6997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 of Casdin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19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35191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90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of Casdin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66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45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8455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699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 of Casdin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347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6997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member of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667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Growth Equity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19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699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 of Casdin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19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5191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902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of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20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Growth Equity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19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8660" w:space="60"/>
            <w:col w:w="2100"/>
          </w:cols>
          <w:pgMar w:left="520" w:top="160" w:right="559" w:bottom="256"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60" w:right="559" w:bottom="2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0" Type="http://schemas.openxmlformats.org/officeDocument/2006/relationships/hyperlink" Target="http://www.sec.gov/cgi-bin/browse-edgar?action=getcompany&amp;CIK=0001534265" TargetMode="External"/><Relationship Id="rId11" Type="http://schemas.openxmlformats.org/officeDocument/2006/relationships/hyperlink" Target="http://www.sec.gov/cgi-bin/browse-edgar?action=getcompany&amp;CIK=0001858848" TargetMode="External"/><Relationship Id="rId12" Type="http://schemas.openxmlformats.org/officeDocument/2006/relationships/hyperlink" Target="http://www.sec.gov/cgi-bin/browse-edgar?action=getcompany&amp;CIK=0001534261" TargetMode="External"/><Relationship Id="rId14" Type="http://schemas.openxmlformats.org/officeDocument/2006/relationships/hyperlink" Target="http://www.sec.gov/cgi-bin/browse-edgar?action=getcompany&amp;CIK=0001864554" TargetMode="External"/><Relationship Id="rId15" Type="http://schemas.openxmlformats.org/officeDocument/2006/relationships/hyperlink" Target="http://www.sec.gov/cgi-bin/browse-edgar?action=getcompany&amp;CIK=00018230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2021-07-29T18:30:20Z</dcterms:created>
  <dcterms:modified xsi:type="dcterms:W3CDTF">2021-07-29T18:30:20Z</dcterms:modified>
</cp:coreProperties>
</file>