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III GP, LP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 LETTERMAN DR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BLDG. D, STE.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3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Tenaya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TNYA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02/08/2023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7"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500" w:type="dxa"/>
            <w:vAlign w:val="bottom"/>
            <w:gridSpan w:val="10"/>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2"/>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500" w:type="dxa"/>
            <w:vAlign w:val="bottom"/>
            <w:gridSpan w:val="10"/>
            <w:vMerge w:val="continue"/>
          </w:tcPr>
          <w:p>
            <w:pPr>
              <w:spacing w:after="0"/>
              <w:rPr>
                <w:sz w:val="5"/>
                <w:szCs w:val="5"/>
                <w:color w:val="auto"/>
              </w:rPr>
            </w:pPr>
          </w:p>
        </w:tc>
        <w:tc>
          <w:tcPr>
            <w:tcW w:w="37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30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380" w:type="dxa"/>
            <w:vAlign w:val="bottom"/>
            <w:gridSpan w:val="4"/>
          </w:tcPr>
          <w:p>
            <w:pPr>
              <w:ind w:left="12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22"/>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3"/>
          </w:tcPr>
          <w:p>
            <w:pPr>
              <w:ind w:left="2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3"/>
          </w:tcPr>
          <w:p>
            <w:pPr>
              <w:ind w:left="2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gridSpan w:val="7"/>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44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60" w:type="dxa"/>
            <w:vAlign w:val="bottom"/>
            <w:gridSpan w:val="6"/>
            <w:vMerge w:val="restart"/>
          </w:tcPr>
          <w:p>
            <w:pPr>
              <w:jc w:val="right"/>
              <w:ind w:right="339"/>
              <w:spacing w:after="0"/>
              <w:rPr>
                <w:sz w:val="20"/>
                <w:szCs w:val="20"/>
                <w:color w:val="auto"/>
              </w:rPr>
            </w:pPr>
            <w:r>
              <w:rPr>
                <w:rFonts w:ascii="Arial" w:cs="Arial" w:eastAsia="Arial" w:hAnsi="Arial"/>
                <w:sz w:val="17"/>
                <w:szCs w:val="17"/>
                <w:color w:val="0000FF"/>
              </w:rPr>
              <w:t>02/08/2023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1,500,000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7"/>
                <w:szCs w:val="17"/>
                <w:color w:val="0000FF"/>
                <w:w w:val="91"/>
              </w:rPr>
              <w:t>11,370,274</w:t>
            </w:r>
          </w:p>
        </w:tc>
        <w:tc>
          <w:tcPr>
            <w:tcW w:w="360" w:type="dxa"/>
            <w:vAlign w:val="bottom"/>
          </w:tcPr>
          <w:p>
            <w:pPr>
              <w:spacing w:after="0"/>
              <w:rPr>
                <w:sz w:val="22"/>
                <w:szCs w:val="22"/>
                <w:color w:val="auto"/>
              </w:rPr>
            </w:pPr>
          </w:p>
        </w:tc>
        <w:tc>
          <w:tcPr>
            <w:tcW w:w="54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60" w:type="dxa"/>
            <w:vAlign w:val="bottom"/>
            <w:gridSpan w:val="6"/>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w w:val="99"/>
              </w:rPr>
              <w:t>Footnote</w:t>
            </w:r>
            <w:r>
              <w:rPr>
                <w:rFonts w:ascii="Arial" w:cs="Arial" w:eastAsia="Arial" w:hAnsi="Arial"/>
                <w:sz w:val="22"/>
                <w:szCs w:val="22"/>
                <w:color w:val="008000"/>
                <w:w w:val="99"/>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4,414,720</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4,985,570</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60" w:type="dxa"/>
            <w:vAlign w:val="bottom"/>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80" w:type="dxa"/>
            <w:vAlign w:val="bottom"/>
            <w:gridSpan w:val="16"/>
          </w:tcPr>
          <w:p>
            <w:pPr>
              <w:ind w:left="4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0" w:type="dxa"/>
            <w:vAlign w:val="bottom"/>
          </w:tcPr>
          <w:p>
            <w:pPr>
              <w:spacing w:after="0"/>
              <w:rPr>
                <w:sz w:val="14"/>
                <w:szCs w:val="14"/>
                <w:color w:val="auto"/>
              </w:rPr>
            </w:pPr>
          </w:p>
        </w:tc>
        <w:tc>
          <w:tcPr>
            <w:tcW w:w="1380" w:type="dxa"/>
            <w:vAlign w:val="bottom"/>
            <w:gridSpan w:val="4"/>
          </w:tcPr>
          <w:p>
            <w:pPr>
              <w:ind w:left="2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380" w:type="dxa"/>
            <w:vAlign w:val="bottom"/>
            <w:gridSpan w:val="4"/>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4"/>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60" w:type="dxa"/>
            <w:vAlign w:val="bottom"/>
          </w:tcPr>
          <w:p>
            <w:pPr>
              <w:spacing w:after="0"/>
              <w:rPr>
                <w:sz w:val="11"/>
                <w:szCs w:val="11"/>
                <w:color w:val="auto"/>
              </w:rPr>
            </w:pP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00" w:type="dxa"/>
            <w:vAlign w:val="bottom"/>
            <w:tcBorders>
              <w:top w:val="single" w:sz="8" w:color="2C2C2C"/>
            </w:tcBorders>
            <w:gridSpan w:val="10"/>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9"/>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COLUMN GROUP III GP,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 LETTERMAN DR</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BLDG. D, STE. DM-900</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gridSpan w:val="3"/>
            <w:vMerge w:val="restart"/>
          </w:tcPr>
          <w:p>
            <w:pPr>
              <w:ind w:left="50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gridSpan w:val="3"/>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3"/>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9"/>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COLUMN GROUP III,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-4370070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 LETTERMAN DRIVE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BLDG. D, STE DM-900</w:t>
      </w: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0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940" w:type="dxa"/>
            <w:vAlign w:val="bottom"/>
            <w:vMerge w:val="restart"/>
          </w:tcPr>
          <w:p>
            <w:pPr>
              <w:jc w:val="right"/>
              <w:ind w:right="833"/>
              <w:spacing w:after="0"/>
              <w:rPr>
                <w:sz w:val="20"/>
                <w:szCs w:val="20"/>
                <w:color w:val="auto"/>
              </w:rPr>
            </w:pPr>
            <w:r>
              <w:rPr>
                <w:rFonts w:ascii="Arial" w:cs="Arial" w:eastAsia="Arial" w:hAnsi="Arial"/>
                <w:sz w:val="17"/>
                <w:szCs w:val="17"/>
                <w:color w:val="0000FF"/>
              </w:rPr>
              <w:t>94129</w:t>
            </w:r>
          </w:p>
        </w:tc>
        <w:tc>
          <w:tcPr>
            <w:tcW w:w="0" w:type="dxa"/>
            <w:vAlign w:val="bottom"/>
          </w:tcPr>
          <w:p>
            <w:pPr>
              <w:spacing w:after="0"/>
              <w:rPr>
                <w:sz w:val="1"/>
                <w:szCs w:val="1"/>
                <w:color w:val="auto"/>
              </w:rPr>
            </w:pPr>
          </w:p>
        </w:tc>
      </w:tr>
      <w:tr>
        <w:trPr>
          <w:trHeight w:val="114"/>
        </w:trPr>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020" w:type="dxa"/>
            <w:vAlign w:val="bottom"/>
            <w:vMerge w:val="continue"/>
          </w:tcPr>
          <w:p>
            <w:pPr>
              <w:spacing w:after="0"/>
              <w:rPr>
                <w:sz w:val="9"/>
                <w:szCs w:val="9"/>
                <w:color w:val="auto"/>
              </w:rPr>
            </w:pP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890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8905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6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1" w:lineRule="exact"/>
              <w:rPr>
                <w:rFonts w:ascii="Arial" w:cs="Arial" w:eastAsia="Arial" w:hAnsi="Arial"/>
                <w:sz w:val="21"/>
                <w:szCs w:val="21"/>
                <w:color w:val="0000EE"/>
                <w:w w:val="99"/>
              </w:rPr>
            </w:pPr>
            <w:hyperlink r:id="rId17">
              <w:r>
                <w:rPr>
                  <w:rFonts w:ascii="Arial" w:cs="Arial" w:eastAsia="Arial" w:hAnsi="Arial"/>
                  <w:sz w:val="21"/>
                  <w:szCs w:val="21"/>
                  <w:color w:val="0000EE"/>
                  <w:w w:val="99"/>
                </w:rPr>
                <w:t>COLUMN GROUP III-A,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7"/>
                <w:szCs w:val="17"/>
                <w:color w:val="0000FF"/>
              </w:rPr>
              <w:t>1 LETTERMAN DR</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560" w:type="dxa"/>
            <w:vAlign w:val="bottom"/>
            <w:gridSpan w:val="2"/>
          </w:tcPr>
          <w:p>
            <w:pPr>
              <w:spacing w:after="0"/>
              <w:rPr>
                <w:sz w:val="20"/>
                <w:szCs w:val="20"/>
                <w:color w:val="auto"/>
              </w:rPr>
            </w:pPr>
            <w:r>
              <w:rPr>
                <w:rFonts w:ascii="Arial" w:cs="Arial" w:eastAsia="Arial" w:hAnsi="Arial"/>
                <w:sz w:val="17"/>
                <w:szCs w:val="17"/>
                <w:color w:val="0000FF"/>
              </w:rPr>
              <w:t>BLDG. D, STE, DM-900</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36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3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Column Group Opportunity III,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3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640" w:type="dxa"/>
            <w:vAlign w:val="bottom"/>
            <w:vMerge w:val="restart"/>
          </w:tcPr>
          <w:p>
            <w:pPr>
              <w:ind w:left="280"/>
              <w:spacing w:after="0"/>
              <w:rPr>
                <w:sz w:val="20"/>
                <w:szCs w:val="20"/>
                <w:color w:val="auto"/>
              </w:rPr>
            </w:pPr>
            <w:r>
              <w:rPr>
                <w:rFonts w:ascii="Arial" w:cs="Arial" w:eastAsia="Arial" w:hAnsi="Arial"/>
                <w:sz w:val="17"/>
                <w:szCs w:val="17"/>
                <w:color w:val="0000FF"/>
              </w:rPr>
              <w:t>94129</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3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Column Group Opportunity III GP,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BUILDING D, SUITE DM-900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460" w:type="dxa"/>
            <w:vAlign w:val="bottom"/>
            <w:vMerge w:val="restart"/>
          </w:tcPr>
          <w:p>
            <w:pPr>
              <w:ind w:left="10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0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w w:val="99"/>
              </w:rPr>
            </w:pPr>
            <w:hyperlink r:id="rId20">
              <w:r>
                <w:rPr>
                  <w:rFonts w:ascii="Arial" w:cs="Arial" w:eastAsia="Arial" w:hAnsi="Arial"/>
                  <w:sz w:val="21"/>
                  <w:szCs w:val="21"/>
                  <w:color w:val="0000EE"/>
                  <w:w w:val="99"/>
                </w:rPr>
                <w:t>TCG Opportunity III GP,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1 LETTERMAN DRIVE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BUILDING D, SUITE DM-900</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460" w:type="dxa"/>
            <w:vAlign w:val="bottom"/>
            <w:vMerge w:val="restart"/>
          </w:tcPr>
          <w:p>
            <w:pPr>
              <w:ind w:left="10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0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10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"Managing Partners").</w:t>
      </w:r>
    </w:p>
    <w:p>
      <w:pPr>
        <w:spacing w:after="0" w:line="29" w:lineRule="exact"/>
        <w:rPr>
          <w:rFonts w:ascii="Arial" w:cs="Arial" w:eastAsia="Arial" w:hAnsi="Arial"/>
          <w:sz w:val="13"/>
          <w:szCs w:val="13"/>
          <w:color w:val="008000"/>
        </w:rPr>
      </w:pPr>
    </w:p>
    <w:p>
      <w:pPr>
        <w:ind w:left="20" w:right="18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1) The Managing Partners may be deemed to share voting, investment and dispositive power with respect to such securities. TCG Opportunity III GP LP, TCG Opportunity III GP LLC and each of the Managing Partners disclaim beneficial ownership of these securities, except to the extent of their respective pecuniary interest in such securities.</w:t>
      </w:r>
    </w:p>
    <w:p>
      <w:pPr>
        <w:ind w:left="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29" w:lineRule="exact"/>
        <w:rPr>
          <w:rFonts w:ascii="Arial" w:cs="Arial" w:eastAsia="Arial" w:hAnsi="Arial"/>
          <w:sz w:val="13"/>
          <w:szCs w:val="13"/>
          <w:color w:val="008000"/>
        </w:rPr>
      </w:pPr>
    </w:p>
    <w:p>
      <w:pPr>
        <w:jc w:val="both"/>
        <w:ind w:left="20" w:right="180" w:firstLine="7"/>
        <w:spacing w:after="0" w:line="280"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ind w:left="2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/s/James Evangelista,</w:t>
      </w:r>
      <w:r>
        <w:rPr>
          <w:sz w:val="20"/>
          <w:szCs w:val="20"/>
          <w:color w:val="auto"/>
        </w:rPr>
        <w:tab/>
      </w:r>
      <w:r>
        <w:rPr>
          <w:rFonts w:ascii="Arial" w:cs="Arial" w:eastAsia="Arial" w:hAnsi="Arial"/>
          <w:sz w:val="15"/>
          <w:szCs w:val="15"/>
          <w:color w:val="0000FF"/>
        </w:rPr>
        <w:t>02/10/2023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3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The Column Group III, LP by  02/10/2023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ectPr>
          <w:pgSz w:w="11900" w:h="16838" w:orient="portrait"/>
          <w:cols w:equalWidth="0" w:num="1">
            <w:col w:w="10920"/>
          </w:cols>
          <w:pgMar w:left="480" w:top="179" w:right="499" w:bottom="0" w:gutter="0" w:footer="0" w:header="0"/>
        </w:sectPr>
      </w:pPr>
    </w:p>
    <w:bookmarkStart w:id="2" w:name="page3"/>
    <w:bookmarkEnd w:id="2"/>
    <w:p>
      <w:pPr>
        <w:ind w:left="6540"/>
        <w:spacing w:after="0"/>
        <w:rPr>
          <w:sz w:val="20"/>
          <w:szCs w:val="20"/>
          <w:color w:val="auto"/>
        </w:rPr>
      </w:pPr>
      <w:r>
        <w:rPr>
          <w:rFonts w:ascii="Arial" w:cs="Arial" w:eastAsia="Arial" w:hAnsi="Arial"/>
          <w:sz w:val="16"/>
          <w:szCs w:val="16"/>
          <w:color w:val="0000FF"/>
        </w:rPr>
        <w:t>its general partner /s/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217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79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line="5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The 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138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The Column Group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201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its general partner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66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James Evangelista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649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17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66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337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Opportunity III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color w:val="0000FF"/>
        </w:rPr>
        <w:t>02/10/2023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02/10/2023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02/10/2023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02/10/2023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12" Type="http://schemas.openxmlformats.org/officeDocument/2006/relationships/hyperlink" Target="http://www.sec.gov/cgi-bin/browse-edgar?action=getcompany&amp;CIK=0001790965" TargetMode="External"/><Relationship Id="rId13" Type="http://schemas.openxmlformats.org/officeDocument/2006/relationships/hyperlink" Target="http://www.sec.gov/cgi-bin/browse-edgar?action=getcompany&amp;CIK=0001858848" TargetMode="External"/><Relationship Id="rId14" Type="http://schemas.openxmlformats.org/officeDocument/2006/relationships/hyperlink" Target="http://www.sec.gov/cgi-bin/browse-edgar?action=getcompany&amp;CIK=0001668159" TargetMode="External"/><Relationship Id="rId17" Type="http://schemas.openxmlformats.org/officeDocument/2006/relationships/hyperlink" Target="http://www.sec.gov/cgi-bin/browse-edgar?action=getcompany&amp;CIK=0001668085" TargetMode="External"/><Relationship Id="rId18" Type="http://schemas.openxmlformats.org/officeDocument/2006/relationships/hyperlink" Target="http://www.sec.gov/cgi-bin/browse-edgar?action=getcompany&amp;CIK=0001931825" TargetMode="External"/><Relationship Id="rId19" Type="http://schemas.openxmlformats.org/officeDocument/2006/relationships/hyperlink" Target="http://www.sec.gov/cgi-bin/browse-edgar?action=getcompany&amp;CIK=0001932874" TargetMode="External"/><Relationship Id="rId20" Type="http://schemas.openxmlformats.org/officeDocument/2006/relationships/hyperlink" Target="http://www.sec.gov/cgi-bin/browse-edgar?action=getcompany&amp;CIK=0001932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2023-02-10T15:59:39Z</dcterms:created>
  <dcterms:modified xsi:type="dcterms:W3CDTF">2023-02-10T15:59:39Z</dcterms:modified>
</cp:coreProperties>
</file>