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nya-20240630.htm"/>
      <w:bookmarkStart w:id="1" w:name="kstnya20240630"/>
      <w:bookmarkEnd w:id="0"/>
      <w:bookmarkEnd w:id="1"/>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For the quarterly period ended June 30, 2024</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80" w:after="283"/>
              <w:jc w:val="left"/>
              <w:rPr>
                <w:color w:val="000000"/>
              </w:rPr>
            </w:pPr>
            <w:r>
              <w:rPr>
                <w:color w:val="000000"/>
              </w:rPr>
              <w:t>☐</w:t>
            </w:r>
          </w:p>
        </w:tc>
        <w:tc>
          <w:tcPr>
            <w:tcW w:w="9874" w:type="dxa"/>
            <w:tcBorders/>
            <w:vAlign w:val="center"/>
          </w:tcPr>
          <w:p>
            <w:pPr>
              <w:pStyle w:val="TableContents"/>
              <w:bidi w:val="0"/>
              <w:spacing w:before="80" w:after="283"/>
              <w:jc w:val="left"/>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For the transition period from ________ to _________</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Commission File Number: 001-40656</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TENAYA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192" w:type="dxa"/>
        <w:jc w:val="left"/>
        <w:tblInd w:w="0" w:type="dxa"/>
        <w:tblLayout w:type="fixed"/>
        <w:tblCellMar>
          <w:top w:w="28" w:type="dxa"/>
          <w:left w:w="28" w:type="dxa"/>
          <w:bottom w:w="28" w:type="dxa"/>
          <w:right w:w="28" w:type="dxa"/>
        </w:tblCellMar>
      </w:tblPr>
      <w:tblGrid>
        <w:gridCol w:w="3886"/>
        <w:gridCol w:w="1306"/>
      </w:tblGrid>
      <w:tr>
        <w:trPr/>
        <w:tc>
          <w:tcPr>
            <w:tcW w:w="388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3886" w:type="dxa"/>
            <w:tcBorders/>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Delaware</w:t>
            </w:r>
          </w:p>
        </w:tc>
        <w:tc>
          <w:tcPr>
            <w:tcW w:w="1306" w:type="dxa"/>
            <w:tcBorders/>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81-3789973</w:t>
            </w:r>
          </w:p>
        </w:tc>
      </w:tr>
      <w:tr>
        <w:trPr/>
        <w:tc>
          <w:tcPr>
            <w:tcW w:w="388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30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886" w:type="dxa"/>
            <w:tcBorders/>
            <w:vAlign w:val="center"/>
          </w:tcPr>
          <w:p>
            <w:pPr>
              <w:pStyle w:val="TableContents"/>
              <w:bidi w:val="0"/>
              <w:spacing w:before="0" w:after="15"/>
              <w:jc w:val="center"/>
              <w:rPr>
                <w:rFonts w:ascii="Times New Roman" w:hAnsi="Times New Roman"/>
                <w:b/>
                <w:color w:val="000000"/>
                <w:sz w:val="22"/>
              </w:rPr>
            </w:pPr>
            <w:r>
              <w:rPr>
                <w:rFonts w:ascii="Times New Roman" w:hAnsi="Times New Roman"/>
                <w:b/>
                <w:color w:val="000000"/>
                <w:sz w:val="22"/>
              </w:rPr>
              <w:t>171 Oyster Point Boulevard, Suite 500</w:t>
            </w:r>
          </w:p>
          <w:p>
            <w:pPr>
              <w:pStyle w:val="TableContents"/>
              <w:bidi w:val="0"/>
              <w:spacing w:before="0" w:after="15"/>
              <w:jc w:val="center"/>
              <w:rPr>
                <w:rFonts w:ascii="Times New Roman" w:hAnsi="Times New Roman"/>
                <w:sz w:val="22"/>
              </w:rPr>
            </w:pPr>
            <w:r>
              <w:rPr>
                <w:rFonts w:ascii="Times New Roman" w:hAnsi="Times New Roman"/>
                <w:b/>
                <w:color w:val="000000"/>
                <w:sz w:val="22"/>
              </w:rPr>
              <w:t>South</w:t>
            </w:r>
            <w:r>
              <w:rPr>
                <w:rFonts w:ascii="Times New Roman" w:hAnsi="Times New Roman"/>
                <w:color w:val="000000"/>
                <w:sz w:val="22"/>
              </w:rPr>
              <w:t xml:space="preserve"> </w:t>
            </w:r>
            <w:r>
              <w:rPr>
                <w:rFonts w:ascii="Times New Roman" w:hAnsi="Times New Roman"/>
                <w:b/>
                <w:color w:val="000000"/>
                <w:sz w:val="22"/>
              </w:rPr>
              <w:t>San Francisco, CA</w:t>
            </w:r>
          </w:p>
        </w:tc>
        <w:tc>
          <w:tcPr>
            <w:tcW w:w="1306" w:type="dxa"/>
            <w:tcBorders/>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94080</w:t>
            </w:r>
          </w:p>
        </w:tc>
      </w:tr>
      <w:tr>
        <w:trPr/>
        <w:tc>
          <w:tcPr>
            <w:tcW w:w="388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30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(650) 825-6990</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pBdr>
          <w:bottom w:val="single" w:sz="4" w:space="1" w:color="000000"/>
        </w:pBdr>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TNYA</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2187"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As of August 1, 2024, the registrant had 78,889,107</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4"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1"/>
        <w:gridCol w:w="636"/>
        <w:gridCol w:w="8256"/>
        <w:gridCol w:w="572"/>
      </w:tblGrid>
      <w:tr>
        <w:trPr/>
        <w:tc>
          <w:tcPr>
            <w:tcW w:w="74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825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b/>
                  <w:color w:val="0000FF"/>
                  <w:sz w:val="20"/>
                  <w:u w:val="single"/>
                </w:rPr>
                <w:t>PART I—FINANCIAL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56" w:type="dxa"/>
            <w:tcBorders/>
            <w:shd w:fill="FFFFFF" w:val="clear"/>
            <w:tcMar>
              <w:top w:w="0" w:type="dxa"/>
              <w:left w:w="0" w:type="dxa"/>
              <w:bottom w:w="0" w:type="dxa"/>
              <w:right w:w="0" w:type="dxa"/>
            </w:tcMar>
            <w:vAlign w:val="center"/>
          </w:tcPr>
          <w:p>
            <w:pPr>
              <w:pStyle w:val="TableContents"/>
              <w:pBdr/>
              <w:bidi w:val="0"/>
              <w:spacing w:before="0" w:after="283"/>
              <w:ind w:left="245" w:right="0" w:hanging="245"/>
              <w:jc w:val="left"/>
              <w:rPr/>
            </w:pPr>
            <w:hyperlink w:anchor="condensed_balance_sheets">
              <w:r>
                <w:rPr>
                  <w:rStyle w:val="InternetLink"/>
                  <w:rFonts w:ascii="Times New Roman" w:hAnsi="Times New Roman"/>
                  <w:color w:val="0000FF"/>
                  <w:sz w:val="20"/>
                  <w:u w:val="single"/>
                </w:rPr>
                <w:t>Condensed Balance Sheets as of June 30, 2024 and December 31, 2023</w:t>
              </w:r>
            </w:hyperlink>
            <w:r>
              <w:rPr>
                <w:rFonts w:ascii="Times New Roman" w:hAnsi="Times New Roman"/>
                <w:color w:val="000000"/>
                <w:sz w:val="20"/>
              </w:rPr>
              <w:t xml:space="preserve">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56" w:type="dxa"/>
            <w:tcBorders/>
            <w:shd w:fill="FFFFFF" w:val="clear"/>
            <w:tcMar>
              <w:top w:w="0" w:type="dxa"/>
              <w:left w:w="0" w:type="dxa"/>
              <w:bottom w:w="0" w:type="dxa"/>
              <w:right w:w="0" w:type="dxa"/>
            </w:tcMar>
            <w:vAlign w:val="center"/>
          </w:tcPr>
          <w:p>
            <w:pPr>
              <w:pStyle w:val="TableContents"/>
              <w:pBdr/>
              <w:bidi w:val="0"/>
              <w:spacing w:before="0" w:after="283"/>
              <w:ind w:left="245" w:right="0" w:hanging="245"/>
              <w:jc w:val="left"/>
              <w:rPr/>
            </w:pPr>
            <w:hyperlink w:anchor="condensed_statements_operations_comprehe">
              <w:r>
                <w:rPr>
                  <w:rStyle w:val="InternetLink"/>
                  <w:rFonts w:ascii="Times New Roman" w:hAnsi="Times New Roman"/>
                  <w:color w:val="0000FF"/>
                  <w:sz w:val="20"/>
                  <w:u w:val="single"/>
                </w:rPr>
                <w:t>Condensed Statements of Operations and Comprehensive Loss for the three and six months ended June 30, 2024 and 2023</w:t>
              </w:r>
            </w:hyperlink>
            <w:hyperlink w:anchor="condensed_statements_operations_comprehe">
              <w:r>
                <w:rPr>
                  <w:rStyle w:val="InternetLink"/>
                  <w:rFonts w:ascii="Times New Roman" w:hAnsi="Times New Roman"/>
                  <w:color w:val="0000FF"/>
                  <w:sz w:val="20"/>
                </w:rPr>
                <w:t xml:space="preserve"> </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56" w:type="dxa"/>
            <w:tcBorders/>
            <w:shd w:fill="FFFFFF" w:val="clear"/>
            <w:tcMar>
              <w:top w:w="0" w:type="dxa"/>
              <w:left w:w="0" w:type="dxa"/>
              <w:bottom w:w="0" w:type="dxa"/>
              <w:right w:w="0" w:type="dxa"/>
            </w:tcMar>
            <w:vAlign w:val="center"/>
          </w:tcPr>
          <w:p>
            <w:pPr>
              <w:pStyle w:val="TableContents"/>
              <w:pBdr/>
              <w:bidi w:val="0"/>
              <w:spacing w:before="0" w:after="283"/>
              <w:ind w:left="245" w:right="0" w:hanging="245"/>
              <w:jc w:val="left"/>
              <w:rPr/>
            </w:pPr>
            <w:hyperlink w:anchor="condensed_statements_convertible_preferr">
              <w:r>
                <w:rPr>
                  <w:rStyle w:val="InternetLink"/>
                  <w:rFonts w:ascii="Times New Roman" w:hAnsi="Times New Roman"/>
                  <w:color w:val="000080"/>
                  <w:sz w:val="20"/>
                  <w:u w:val="single"/>
                </w:rPr>
                <w:t>Condensed Statements of Stockholders’ Equity</w:t>
              </w:r>
            </w:hyperlink>
            <w:r>
              <w:rPr>
                <w:rFonts w:ascii="Times New Roman" w:hAnsi="Times New Roman"/>
                <w:color w:val="0000FF"/>
                <w:sz w:val="20"/>
                <w:u w:val="single"/>
              </w:rPr>
              <w:t> for the three and six months ended June 30, 2024 and 2023</w:t>
            </w:r>
            <w:r>
              <w:rPr>
                <w:rFonts w:ascii="Times New Roman" w:hAnsi="Times New Roman"/>
                <w:color w:val="0000FF"/>
                <w:sz w:val="20"/>
              </w:rPr>
              <w:t xml:space="preserve">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56" w:type="dxa"/>
            <w:tcBorders/>
            <w:shd w:fill="FFFFFF" w:val="clear"/>
            <w:tcMar>
              <w:top w:w="0" w:type="dxa"/>
              <w:left w:w="0" w:type="dxa"/>
              <w:bottom w:w="0" w:type="dxa"/>
              <w:right w:w="0" w:type="dxa"/>
            </w:tcMar>
            <w:vAlign w:val="center"/>
          </w:tcPr>
          <w:p>
            <w:pPr>
              <w:pStyle w:val="TableContents"/>
              <w:pBdr/>
              <w:bidi w:val="0"/>
              <w:spacing w:before="0" w:after="283"/>
              <w:ind w:left="245" w:right="0" w:hanging="245"/>
              <w:jc w:val="left"/>
              <w:rPr/>
            </w:pPr>
            <w:hyperlink w:anchor="condensed_statements_cash_flows">
              <w:r>
                <w:rPr>
                  <w:rStyle w:val="InternetLink"/>
                  <w:rFonts w:ascii="Times New Roman" w:hAnsi="Times New Roman"/>
                  <w:color w:val="0000FF"/>
                  <w:sz w:val="20"/>
                  <w:u w:val="single"/>
                </w:rPr>
                <w:t>Condensed Statements of Cash Flows for the six months ended June 30, 2024 and 2023</w:t>
              </w:r>
            </w:hyperlink>
            <w:hyperlink w:anchor="condensed_statements_cash_flows">
              <w:r>
                <w:rPr>
                  <w:rStyle w:val="InternetLink"/>
                  <w:rFonts w:ascii="Times New Roman" w:hAnsi="Times New Roman"/>
                  <w:color w:val="0000FF"/>
                  <w:sz w:val="20"/>
                </w:rPr>
                <w:t xml:space="preserve"> </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56" w:type="dxa"/>
            <w:tcBorders/>
            <w:shd w:fill="FFFFFF" w:val="clear"/>
            <w:tcMar>
              <w:top w:w="0" w:type="dxa"/>
              <w:left w:w="0" w:type="dxa"/>
              <w:bottom w:w="0" w:type="dxa"/>
              <w:right w:w="0" w:type="dxa"/>
            </w:tcMar>
            <w:vAlign w:val="center"/>
          </w:tcPr>
          <w:p>
            <w:pPr>
              <w:pStyle w:val="TableContents"/>
              <w:pBdr/>
              <w:bidi w:val="0"/>
              <w:spacing w:before="0" w:after="283"/>
              <w:ind w:left="245" w:right="0" w:hanging="245"/>
              <w:jc w:val="left"/>
              <w:rPr/>
            </w:pPr>
            <w:hyperlink w:anchor="notes_to_unaudited_condensed_financial_s">
              <w:r>
                <w:rPr>
                  <w:rStyle w:val="InternetLink"/>
                  <w:rFonts w:ascii="Times New Roman" w:hAnsi="Times New Roman"/>
                  <w:color w:val="0000FF"/>
                  <w:sz w:val="20"/>
                  <w:u w:val="single"/>
                </w:rPr>
                <w:t>Notes to Unaudited Condensed Financial Statements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_other_information">
              <w:r>
                <w:rPr>
                  <w:rStyle w:val="InternetLink"/>
                  <w:rFonts w:ascii="Times New Roman" w:hAnsi="Times New Roman"/>
                  <w:b/>
                  <w:color w:val="0000FF"/>
                  <w:sz w:val="20"/>
                  <w:u w:val="single"/>
                </w:rPr>
                <w:t>PART II—OTHER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6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256" w:type="dxa"/>
            <w:tcBorders/>
            <w:shd w:fill="FFFFFF" w:val="clear"/>
            <w:tcMar>
              <w:top w:w="0" w:type="dxa"/>
              <w:left w:w="0" w:type="dxa"/>
              <w:bottom w:w="0" w:type="dxa"/>
              <w:right w:w="0" w:type="dxa"/>
            </w:tcMar>
            <w:vAlign w:val="center"/>
          </w:tcPr>
          <w:p>
            <w:pPr>
              <w:pStyle w:val="TableContents"/>
              <w:pBdr/>
              <w:bidi w:val="0"/>
              <w:spacing w:before="0" w:after="283"/>
              <w:ind w:left="0" w:right="0" w:hanging="245"/>
              <w:jc w:val="left"/>
              <w:rPr/>
            </w:pPr>
            <w:hyperlink w:anchor="item_1_legal_proceedings">
              <w:r>
                <w:rPr>
                  <w:rStyle w:val="InternetLink"/>
                  <w:rFonts w:ascii="Times New Roman" w:hAnsi="Times New Roman"/>
                  <w:color w:val="0000FF"/>
                  <w:sz w:val="20"/>
                  <w:u w:val="single"/>
                </w:rPr>
                <w:t>Legal Proceedings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SPECIAL NOTE REGARDING FORWARD LOOKING STATEMENTS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This Quarterly Report on Form 10-Q, or Quarterly Report, contains forward-looking statements within the meaning of Section 27A of the Securities Act of 1933 and Section 21E of the Securities Act of 1934.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vision to change the treatment paradigm for heart disease;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ability of our ongoing preclinical studies and ongoing or planned clinical trials to demonstrate safety and efficacy of our product candidates, and other positive results;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timing, dosing, patient enrollment and populations, progress, and results of preclinical studies and ongoing or planned clinical trials for our current product candidates and other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timing, scope and likelihood of regulatory filings and approvals, including timing of investigational new drugs (INDs), clinical trial applications (CTAs), U.S. Food and Drug Administration (FDA) approvals, and final regulatory approval of our current product candidates and any other future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develop and advance our current product candidates and programs into, and successfully complete,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size of the market opportunity for our product candidates, including our estimates of the number of patients who suffer from the diseases we are targeting;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manufacturing, commercialization, and marketing capabilities and strategy;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competitive position and the success of competing therapies that are or may become available;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plans relating to the further development of our product candidates, including additional indications and targets we may pursue;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existing laws and regulations and regulatory developments in the United States (U.S), Europe and other jurisdictions;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continued reliance on third parties to conduct additional preclinical studies and clinical trials of our product candidates, and for the development and manufacture of our product candidates for preclinical studies and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obtain, and negotiate favorable terms of, any collaboration, partnership, licensing or other arrangements that may be necessary or desirable to develop, manufacture or commercialize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pricing and reimbursement of our current product candidates and other product candidates we may develop, if approved, including any increase in demand as a result of the availability of reimbursement from the government and third-party payors;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rate and degree of market acceptance and clinical utility of our current product candidates and other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estimates regarding expenses, operating losses, future revenue, cash outlays, capital requirements and needs for additional financing, including expenses arising as a result of being a public company;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financial performance;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facilities;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period over which we estimate our existing cash, cash equivalents and investments in marketable securities will be sufficient to fund our future operating expenses and capital expenditure requirements;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critical accounting policies on investor’s ability to understand our financial performance; and</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our expectations regarding the period during which we will remain an emerging growth company under the </w:t>
      </w:r>
      <w:r>
        <w:rPr>
          <w:rFonts w:ascii="Times New Roman" w:hAnsi="Times New Roman"/>
          <w:color w:val="000000"/>
          <w:sz w:val="20"/>
        </w:rPr>
        <w:t>Jumpstart Our Business Startups Act of 2012 (</w:t>
      </w:r>
      <w:r>
        <w:rPr>
          <w:rFonts w:ascii="Times New Roman" w:hAnsi="Times New Roman"/>
          <w:color w:val="231F20"/>
          <w:sz w:val="20"/>
        </w:rPr>
        <w:t>JOBS Act).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statements such as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center"/>
        <w:rPr>
          <w:rFonts w:ascii="Times New Roman" w:hAnsi="Times New Roman"/>
          <w:b/>
          <w:caps/>
          <w:color w:val="000000"/>
          <w:sz w:val="20"/>
        </w:rPr>
      </w:pPr>
      <w:bookmarkStart w:id="2" w:name="part_i_financial_information"/>
      <w:bookmarkEnd w:id="2"/>
      <w:r>
        <w:rPr>
          <w:rFonts w:ascii="Times New Roman" w:hAnsi="Times New Roman"/>
          <w:b/>
          <w:caps/>
          <w:color w:val="000000"/>
          <w:sz w:val="20"/>
        </w:rPr>
        <w:t>PART I – FINANCIAL INFORMATION</w:t>
      </w:r>
    </w:p>
    <w:p>
      <w:pPr>
        <w:pStyle w:val="TextBody"/>
        <w:bidi w:val="0"/>
        <w:spacing w:before="240" w:after="283"/>
        <w:jc w:val="center"/>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7317" w:type="dxa"/>
        <w:jc w:val="left"/>
        <w:tblInd w:w="0" w:type="dxa"/>
        <w:tblLayout w:type="fixed"/>
        <w:tblCellMar>
          <w:top w:w="28" w:type="dxa"/>
          <w:left w:w="28" w:type="dxa"/>
          <w:bottom w:w="28" w:type="dxa"/>
          <w:right w:w="28" w:type="dxa"/>
        </w:tblCellMar>
      </w:tblPr>
      <w:tblGrid>
        <w:gridCol w:w="4321"/>
        <w:gridCol w:w="146"/>
        <w:gridCol w:w="211"/>
        <w:gridCol w:w="841"/>
        <w:gridCol w:w="166"/>
        <w:gridCol w:w="146"/>
        <w:gridCol w:w="219"/>
        <w:gridCol w:w="876"/>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vAlign w:val="center"/>
          </w:tcPr>
          <w:p>
            <w:pPr>
              <w:pStyle w:val="TableContents"/>
              <w:bidi w:val="0"/>
              <w:spacing w:before="0" w:after="283"/>
              <w:jc w:val="center"/>
              <w:rPr/>
            </w:pPr>
            <w:r>
              <w:rPr/>
              <w:t> </w:t>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43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45,681</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3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Short-term investments in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58,961</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43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111,582</w:t>
            </w:r>
          </w:p>
        </w:tc>
        <w:tc>
          <w:tcPr>
            <w:tcW w:w="39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43,277</w:t>
            </w:r>
          </w:p>
        </w:tc>
        <w:tc>
          <w:tcPr>
            <w:tcW w:w="39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9,979</w:t>
            </w:r>
          </w:p>
        </w:tc>
        <w:tc>
          <w:tcPr>
            <w:tcW w:w="39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43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3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12,784</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43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22,733</w:t>
            </w:r>
          </w:p>
        </w:tc>
        <w:tc>
          <w:tcPr>
            <w:tcW w:w="39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w:t>
            </w:r>
          </w:p>
        </w:tc>
        <w:tc>
          <w:tcPr>
            <w:tcW w:w="39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31,091</w:t>
            </w:r>
          </w:p>
        </w:tc>
        <w:tc>
          <w:tcPr>
            <w:tcW w:w="39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43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43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542,805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3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sz w:val="20"/>
        </w:rPr>
      </w:pPr>
      <w:bookmarkStart w:id="5" w:name="condensed_statements_operations_comprehe"/>
      <w:bookmarkEnd w:id="5"/>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data)</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374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52,082</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374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(68,827</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100"/>
              <w:jc w:val="right"/>
              <w:rPr/>
            </w:pPr>
            <w:r>
              <w:rPr/>
              <w:t> </w:t>
            </w:r>
          </w:p>
        </w:tc>
      </w:tr>
      <w:tr>
        <w:trPr/>
        <w:tc>
          <w:tcPr>
            <w:tcW w:w="374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74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income (loss),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(65,006</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100"/>
              <w:jc w:val="right"/>
              <w:rPr/>
            </w:pPr>
            <w:r>
              <w:rPr/>
              <w:t> </w:t>
            </w:r>
          </w:p>
        </w:tc>
      </w:tr>
      <w:tr>
        <w:trPr/>
        <w:tc>
          <w:tcPr>
            <w:tcW w:w="374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unrealized gain (loss) on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85,706,501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73,399,847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83,344,414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73,249,702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TENAYA THERAPEUTICS, INC.</w:t>
      </w:r>
    </w:p>
    <w:p>
      <w:pPr>
        <w:pStyle w:val="TextBody"/>
        <w:bidi w:val="0"/>
        <w:spacing w:before="240" w:after="283"/>
        <w:jc w:val="center"/>
        <w:rPr>
          <w:rFonts w:ascii="Times New Roman" w:hAnsi="Times New Roman"/>
          <w:b/>
          <w:color w:val="000000"/>
          <w:sz w:val="20"/>
        </w:rPr>
      </w:pPr>
      <w:bookmarkStart w:id="6" w:name="condensed_statements_convertible_preferr"/>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83"/>
        <w:gridCol w:w="146"/>
        <w:gridCol w:w="146"/>
        <w:gridCol w:w="146"/>
        <w:gridCol w:w="916"/>
        <w:gridCol w:w="146"/>
        <w:gridCol w:w="146"/>
        <w:gridCol w:w="249"/>
        <w:gridCol w:w="442"/>
        <w:gridCol w:w="146"/>
        <w:gridCol w:w="146"/>
        <w:gridCol w:w="196"/>
        <w:gridCol w:w="691"/>
        <w:gridCol w:w="146"/>
        <w:gridCol w:w="146"/>
        <w:gridCol w:w="417"/>
        <w:gridCol w:w="929"/>
        <w:gridCol w:w="166"/>
        <w:gridCol w:w="146"/>
        <w:gridCol w:w="217"/>
        <w:gridCol w:w="834"/>
        <w:gridCol w:w="166"/>
        <w:gridCol w:w="146"/>
        <w:gridCol w:w="237"/>
        <w:gridCol w:w="842"/>
        <w:gridCol w:w="414"/>
      </w:tblGrid>
      <w:tr>
        <w:trPr/>
        <w:tc>
          <w:tcPr>
            <w:tcW w:w="1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8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414" w:type="dxa"/>
            <w:tcBorders/>
            <w:shd w:fill="FFFFFF" w:val="clear"/>
            <w:vAlign w:val="center"/>
          </w:tcPr>
          <w:p>
            <w:pPr>
              <w:pStyle w:val="TableContents"/>
              <w:bidi w:val="0"/>
              <w:spacing w:before="0" w:after="283"/>
              <w:jc w:val="center"/>
              <w:rPr/>
            </w:pPr>
            <w:r>
              <w:rPr/>
              <w:t> </w:t>
            </w:r>
          </w:p>
        </w:tc>
      </w:tr>
      <w:tr>
        <w:trPr/>
        <w:tc>
          <w:tcPr>
            <w:tcW w:w="18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68,330,342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542,805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(403,282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139,424</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18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and pre-funded warrants, net of issuance costs of $3,236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8,888,890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46,762</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18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upon exercise of stock options and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18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upon exercise of pre-funded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1,051,594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18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4,224</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18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414"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(32,228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8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78,517,534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593,802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(435,510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158,180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pursuant to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320,951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7"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18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upon exercise of stock options and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7"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18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7"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18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7"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18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(29,431</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8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78,867,437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133,997</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5"/>
        <w:gridCol w:w="146"/>
        <w:gridCol w:w="146"/>
        <w:gridCol w:w="146"/>
        <w:gridCol w:w="916"/>
        <w:gridCol w:w="146"/>
        <w:gridCol w:w="146"/>
        <w:gridCol w:w="249"/>
        <w:gridCol w:w="442"/>
        <w:gridCol w:w="146"/>
        <w:gridCol w:w="146"/>
        <w:gridCol w:w="196"/>
        <w:gridCol w:w="691"/>
        <w:gridCol w:w="146"/>
        <w:gridCol w:w="146"/>
        <w:gridCol w:w="445"/>
        <w:gridCol w:w="990"/>
        <w:gridCol w:w="166"/>
        <w:gridCol w:w="146"/>
        <w:gridCol w:w="217"/>
        <w:gridCol w:w="834"/>
        <w:gridCol w:w="166"/>
        <w:gridCol w:w="146"/>
        <w:gridCol w:w="244"/>
        <w:gridCol w:w="865"/>
        <w:gridCol w:w="413"/>
      </w:tblGrid>
      <w:tr>
        <w:trPr/>
        <w:tc>
          <w:tcPr>
            <w:tcW w:w="1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7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413" w:type="dxa"/>
            <w:tcBorders/>
            <w:shd w:fill="FFFFFF" w:val="clear"/>
            <w:vAlign w:val="center"/>
          </w:tcPr>
          <w:p>
            <w:pPr>
              <w:pStyle w:val="TableContents"/>
              <w:bidi w:val="0"/>
              <w:spacing w:before="0" w:after="283"/>
              <w:jc w:val="center"/>
              <w:rPr/>
            </w:pPr>
            <w:r>
              <w:rPr/>
              <w:t> </w:t>
            </w:r>
          </w:p>
        </w:tc>
      </w:tr>
      <w:tr>
        <w:trPr/>
        <w:tc>
          <w:tcPr>
            <w:tcW w:w="17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66,857,113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522,945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(279,198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243,376</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7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upon exercise</w:t>
              <w:br/>
              <w:t>   of stock options and vesting of restricted</w:t>
              <w:br/>
              <w:t>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color w:val="000000"/>
              </w:rPr>
            </w:pPr>
            <w:r>
              <w:rPr>
                <w:color w:val="000000"/>
              </w:rPr>
              <w:t>—</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7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Vesting of early exercised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pPr>
            <w:r>
              <w:rPr/>
              <w:t> </w:t>
            </w:r>
          </w:p>
        </w:tc>
        <w:tc>
          <w:tcPr>
            <w:tcW w:w="99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7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3,514</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7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pPr>
            <w:r>
              <w:rPr/>
              <w:t> </w:t>
            </w:r>
          </w:p>
        </w:tc>
        <w:tc>
          <w:tcPr>
            <w:tcW w:w="9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7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(31,737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6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66,865,424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526,460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215,412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in connection with</w:t>
              <w:br/>
              <w:t>   at-the-market sales, net of issuance costs of $120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535,767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4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7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upon exercise</w:t>
              <w:br/>
              <w:t>  of pre-funded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302,517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45" w:type="dxa"/>
            <w:tcBorders/>
            <w:shd w:fill="CFF0FC" w:val="clear"/>
            <w:vAlign w:val="center"/>
          </w:tcPr>
          <w:p>
            <w:pPr>
              <w:pStyle w:val="TableContents"/>
              <w:bidi w:val="0"/>
              <w:spacing w:before="0" w:after="283"/>
              <w:jc w:val="left"/>
              <w:rPr/>
            </w:pPr>
            <w:r>
              <w:rPr/>
              <w:t> </w:t>
            </w:r>
          </w:p>
        </w:tc>
        <w:tc>
          <w:tcPr>
            <w:tcW w:w="99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color w:val="000000"/>
              </w:rPr>
            </w:pPr>
            <w:r>
              <w:rPr>
                <w:color w:val="000000"/>
              </w:rPr>
              <w:t>—</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7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Issuance of common stock pursuant to </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4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7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upon exercise</w:t>
              <w:br/>
              <w:t>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45" w:type="dxa"/>
            <w:tcBorders/>
            <w:shd w:fill="CFF0FC" w:val="clear"/>
            <w:vAlign w:val="center"/>
          </w:tcPr>
          <w:p>
            <w:pPr>
              <w:pStyle w:val="TableContents"/>
              <w:bidi w:val="0"/>
              <w:spacing w:before="0" w:after="283"/>
              <w:jc w:val="left"/>
              <w:rPr/>
            </w:pPr>
            <w:r>
              <w:rPr/>
              <w:t> </w:t>
            </w:r>
          </w:p>
        </w:tc>
        <w:tc>
          <w:tcPr>
            <w:tcW w:w="99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7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45"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3,831</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76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45" w:type="dxa"/>
            <w:tcBorders/>
            <w:shd w:fill="CFF0FC" w:val="clear"/>
            <w:vAlign w:val="center"/>
          </w:tcPr>
          <w:p>
            <w:pPr>
              <w:pStyle w:val="TableContents"/>
              <w:bidi w:val="0"/>
              <w:spacing w:before="0" w:after="283"/>
              <w:jc w:val="left"/>
              <w:rPr/>
            </w:pPr>
            <w:r>
              <w:rPr/>
              <w:t> </w:t>
            </w:r>
          </w:p>
        </w:tc>
        <w:tc>
          <w:tcPr>
            <w:tcW w:w="9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413"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6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(33,269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6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67,865,158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534,470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(344,204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189,940</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b/>
          <w:color w:val="000000"/>
          <w:sz w:val="20"/>
        </w:rPr>
      </w:pPr>
      <w:bookmarkStart w:id="7" w:name="condensed_statements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84"/>
        <w:gridCol w:w="146"/>
        <w:gridCol w:w="199"/>
        <w:gridCol w:w="673"/>
        <w:gridCol w:w="168"/>
        <w:gridCol w:w="148"/>
        <w:gridCol w:w="199"/>
        <w:gridCol w:w="673"/>
        <w:gridCol w:w="715"/>
      </w:tblGrid>
      <w:tr>
        <w:trPr/>
        <w:tc>
          <w:tcPr>
            <w:tcW w:w="7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72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left"/>
              <w:rPr>
                <w:sz w:val="4"/>
                <w:szCs w:val="4"/>
              </w:rPr>
            </w:pPr>
            <w:r>
              <w:rPr>
                <w:sz w:val="4"/>
                <w:szCs w:val="4"/>
              </w:rPr>
            </w:r>
          </w:p>
        </w:tc>
        <w:tc>
          <w:tcPr>
            <w:tcW w:w="16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715" w:type="dxa"/>
            <w:tcBorders/>
            <w:shd w:fill="CFF0FC" w:val="clear"/>
            <w:vAlign w:val="center"/>
          </w:tcPr>
          <w:p>
            <w:pPr>
              <w:pStyle w:val="TableContents"/>
              <w:bidi w:val="0"/>
              <w:spacing w:before="0" w:after="283"/>
              <w:jc w:val="right"/>
              <w:rPr/>
            </w:pPr>
            <w:r>
              <w:rPr/>
              <w:t> </w:t>
            </w:r>
          </w:p>
        </w:tc>
      </w:tr>
      <w:tr>
        <w:trPr/>
        <w:tc>
          <w:tcPr>
            <w:tcW w:w="72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(61,659</w:t>
            </w:r>
          </w:p>
        </w:tc>
        <w:tc>
          <w:tcPr>
            <w:tcW w:w="16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(65,006</w:t>
            </w:r>
          </w:p>
        </w:tc>
        <w:tc>
          <w:tcPr>
            <w:tcW w:w="71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715" w:type="dxa"/>
            <w:tcBorders/>
            <w:shd w:fill="CFF0FC" w:val="clear"/>
            <w:vAlign w:val="center"/>
          </w:tcPr>
          <w:p>
            <w:pPr>
              <w:pStyle w:val="TableContents"/>
              <w:bidi w:val="0"/>
              <w:spacing w:before="0" w:after="283"/>
              <w:ind w:left="0" w:right="0" w:firstLine="200"/>
              <w:jc w:val="right"/>
              <w:rPr/>
            </w:pPr>
            <w:r>
              <w:rPr/>
              <w:t> </w:t>
            </w:r>
          </w:p>
        </w:tc>
      </w:tr>
      <w:tr>
        <w:trPr/>
        <w:tc>
          <w:tcPr>
            <w:tcW w:w="72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4,278</w:t>
            </w:r>
          </w:p>
        </w:tc>
        <w:tc>
          <w:tcPr>
            <w:tcW w:w="16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4,325</w:t>
            </w:r>
          </w:p>
        </w:tc>
        <w:tc>
          <w:tcPr>
            <w:tcW w:w="715" w:type="dxa"/>
            <w:tcBorders/>
            <w:shd w:fill="FFFFFF" w:val="clear"/>
            <w:vAlign w:val="center"/>
          </w:tcPr>
          <w:p>
            <w:pPr>
              <w:pStyle w:val="TableContents"/>
              <w:bidi w:val="0"/>
              <w:spacing w:before="0" w:after="283"/>
              <w:ind w:left="0" w:right="0" w:firstLine="200"/>
              <w:jc w:val="left"/>
              <w:rPr/>
            </w:pPr>
            <w:r>
              <w:rPr/>
              <w:t> </w:t>
            </w:r>
          </w:p>
        </w:tc>
      </w:tr>
      <w:tr>
        <w:trPr/>
        <w:tc>
          <w:tcPr>
            <w:tcW w:w="72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(accretion) of premium (discount) on marketable securities</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w:t>
            </w:r>
          </w:p>
        </w:tc>
        <w:tc>
          <w:tcPr>
            <w:tcW w:w="715"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2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8,835</w:t>
            </w:r>
          </w:p>
        </w:tc>
        <w:tc>
          <w:tcPr>
            <w:tcW w:w="16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7,345</w:t>
            </w:r>
          </w:p>
        </w:tc>
        <w:tc>
          <w:tcPr>
            <w:tcW w:w="715" w:type="dxa"/>
            <w:tcBorders/>
            <w:shd w:fill="FFFFFF" w:val="clear"/>
            <w:vAlign w:val="center"/>
          </w:tcPr>
          <w:p>
            <w:pPr>
              <w:pStyle w:val="TableContents"/>
              <w:bidi w:val="0"/>
              <w:spacing w:before="0" w:after="283"/>
              <w:ind w:left="0" w:right="0" w:firstLine="200"/>
              <w:jc w:val="left"/>
              <w:rPr/>
            </w:pPr>
            <w:r>
              <w:rPr/>
              <w:t> </w:t>
            </w:r>
          </w:p>
        </w:tc>
      </w:tr>
      <w:tr>
        <w:trPr/>
        <w:tc>
          <w:tcPr>
            <w:tcW w:w="72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Non-cash operating lease expense</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w:t>
            </w:r>
          </w:p>
        </w:tc>
        <w:tc>
          <w:tcPr>
            <w:tcW w:w="715" w:type="dxa"/>
            <w:tcBorders/>
            <w:shd w:fill="CFF0FC" w:val="clear"/>
            <w:vAlign w:val="center"/>
          </w:tcPr>
          <w:p>
            <w:pPr>
              <w:pStyle w:val="TableContents"/>
              <w:bidi w:val="0"/>
              <w:spacing w:before="0" w:after="283"/>
              <w:ind w:left="0" w:right="0" w:firstLine="200"/>
              <w:jc w:val="left"/>
              <w:rPr/>
            </w:pPr>
            <w:r>
              <w:rPr/>
              <w:t> </w:t>
            </w:r>
          </w:p>
        </w:tc>
      </w:tr>
      <w:tr>
        <w:trPr/>
        <w:tc>
          <w:tcPr>
            <w:tcW w:w="72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16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715" w:type="dxa"/>
            <w:tcBorders/>
            <w:shd w:fill="FFFFFF" w:val="clear"/>
            <w:vAlign w:val="center"/>
          </w:tcPr>
          <w:p>
            <w:pPr>
              <w:pStyle w:val="TableContents"/>
              <w:bidi w:val="0"/>
              <w:spacing w:before="0" w:after="283"/>
              <w:ind w:left="0" w:right="0" w:firstLine="200"/>
              <w:jc w:val="left"/>
              <w:rPr/>
            </w:pPr>
            <w:r>
              <w:rPr/>
              <w:t> </w:t>
            </w:r>
          </w:p>
        </w:tc>
      </w:tr>
      <w:tr>
        <w:trPr/>
        <w:tc>
          <w:tcPr>
            <w:tcW w:w="72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872" w:type="dxa"/>
            <w:gridSpan w:val="2"/>
            <w:tcBorders/>
            <w:shd w:fill="CFF0FC" w:val="clear"/>
            <w:vAlign w:val="center"/>
          </w:tcPr>
          <w:p>
            <w:pPr>
              <w:pStyle w:val="TableContents"/>
              <w:bidi w:val="0"/>
              <w:spacing w:before="0" w:after="283"/>
              <w:jc w:val="right"/>
              <w:rPr/>
            </w:pPr>
            <w:r>
              <w:rPr/>
              <w:t> </w:t>
            </w:r>
          </w:p>
        </w:tc>
        <w:tc>
          <w:tcPr>
            <w:tcW w:w="715" w:type="dxa"/>
            <w:tcBorders/>
            <w:shd w:fill="CFF0FC" w:val="clear"/>
            <w:vAlign w:val="center"/>
          </w:tcPr>
          <w:p>
            <w:pPr>
              <w:pStyle w:val="TableContents"/>
              <w:bidi w:val="0"/>
              <w:spacing w:before="0" w:after="283"/>
              <w:ind w:left="0" w:right="0" w:firstLine="400"/>
              <w:jc w:val="right"/>
              <w:rPr/>
            </w:pPr>
            <w:r>
              <w:rPr/>
              <w:t> </w:t>
            </w:r>
          </w:p>
        </w:tc>
      </w:tr>
      <w:tr>
        <w:trPr/>
        <w:tc>
          <w:tcPr>
            <w:tcW w:w="728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w:t>
            </w:r>
          </w:p>
        </w:tc>
        <w:tc>
          <w:tcPr>
            <w:tcW w:w="16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w:t>
            </w:r>
          </w:p>
        </w:tc>
        <w:tc>
          <w:tcPr>
            <w:tcW w:w="715" w:type="dxa"/>
            <w:tcBorders/>
            <w:shd w:fill="FFFFFF" w:val="clear"/>
            <w:vAlign w:val="center"/>
          </w:tcPr>
          <w:p>
            <w:pPr>
              <w:pStyle w:val="TableContents"/>
              <w:bidi w:val="0"/>
              <w:spacing w:before="0" w:after="283"/>
              <w:ind w:left="0" w:right="0" w:firstLine="400"/>
              <w:jc w:val="left"/>
              <w:rPr/>
            </w:pPr>
            <w:r>
              <w:rPr/>
              <w:t> </w:t>
            </w:r>
          </w:p>
        </w:tc>
      </w:tr>
      <w:tr>
        <w:trPr/>
        <w:tc>
          <w:tcPr>
            <w:tcW w:w="728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noncurrent assets</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w:t>
            </w:r>
          </w:p>
        </w:tc>
        <w:tc>
          <w:tcPr>
            <w:tcW w:w="715"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28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w:t>
            </w:r>
          </w:p>
        </w:tc>
        <w:tc>
          <w:tcPr>
            <w:tcW w:w="16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715"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28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(3,754</w:t>
            </w:r>
          </w:p>
        </w:tc>
        <w:tc>
          <w:tcPr>
            <w:tcW w:w="1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w:t>
            </w:r>
          </w:p>
        </w:tc>
        <w:tc>
          <w:tcPr>
            <w:tcW w:w="715"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28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(2,153</w:t>
            </w:r>
          </w:p>
        </w:tc>
        <w:tc>
          <w:tcPr>
            <w:tcW w:w="16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(1,995</w:t>
            </w:r>
          </w:p>
        </w:tc>
        <w:tc>
          <w:tcPr>
            <w:tcW w:w="715" w:type="dxa"/>
            <w:tcBorders/>
            <w:shd w:fill="FFFFFF" w:val="cle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7284" w:type="dxa"/>
            <w:tcBorders/>
            <w:shd w:fill="CFF0FC" w:val="clear"/>
            <w:vAlign w:val="center"/>
          </w:tcPr>
          <w:p>
            <w:pPr>
              <w:pStyle w:val="TableContents"/>
              <w:bidi w:val="0"/>
              <w:spacing w:before="0" w:after="283"/>
              <w:ind w:left="500" w:right="0" w:firstLine="5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9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(52,277</w:t>
            </w:r>
          </w:p>
        </w:tc>
        <w:tc>
          <w:tcPr>
            <w:tcW w:w="16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vAlign w:val="center"/>
          </w:tcPr>
          <w:p>
            <w:pPr>
              <w:pStyle w:val="TableContents"/>
              <w:bidi w:val="0"/>
              <w:spacing w:before="0" w:after="283"/>
              <w:jc w:val="left"/>
              <w:rPr/>
            </w:pPr>
            <w:r>
              <w:rPr/>
              <w:t> </w:t>
            </w:r>
          </w:p>
        </w:tc>
        <w:tc>
          <w:tcPr>
            <w:tcW w:w="19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(56,510</w:t>
            </w:r>
          </w:p>
        </w:tc>
        <w:tc>
          <w:tcPr>
            <w:tcW w:w="7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8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715" w:type="dxa"/>
            <w:tcBorders/>
            <w:shd w:fill="FFFFFF" w:val="clear"/>
            <w:vAlign w:val="center"/>
          </w:tcPr>
          <w:p>
            <w:pPr>
              <w:pStyle w:val="TableContents"/>
              <w:bidi w:val="0"/>
              <w:spacing w:before="0" w:after="283"/>
              <w:ind w:left="0" w:right="0" w:firstLine="200"/>
              <w:jc w:val="right"/>
              <w:rPr/>
            </w:pPr>
            <w:r>
              <w:rPr/>
              <w:t> </w:t>
            </w:r>
          </w:p>
        </w:tc>
      </w:tr>
      <w:tr>
        <w:trPr/>
        <w:tc>
          <w:tcPr>
            <w:tcW w:w="72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w:t>
            </w:r>
          </w:p>
        </w:tc>
        <w:tc>
          <w:tcPr>
            <w:tcW w:w="1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715"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2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Purchases of marketable securities</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(34,451</w:t>
            </w:r>
          </w:p>
        </w:tc>
        <w:tc>
          <w:tcPr>
            <w:tcW w:w="16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(40,998</w:t>
            </w:r>
          </w:p>
        </w:tc>
        <w:tc>
          <w:tcPr>
            <w:tcW w:w="715"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2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maturities of marketable securities</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52,209</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74,984</w:t>
            </w:r>
          </w:p>
        </w:tc>
        <w:tc>
          <w:tcPr>
            <w:tcW w:w="715" w:type="dxa"/>
            <w:tcBorders/>
            <w:shd w:fill="CFF0FC" w:val="clear"/>
            <w:vAlign w:val="center"/>
          </w:tcPr>
          <w:p>
            <w:pPr>
              <w:pStyle w:val="TableContents"/>
              <w:bidi w:val="0"/>
              <w:spacing w:before="0" w:after="283"/>
              <w:ind w:left="0" w:right="0" w:firstLine="200"/>
              <w:jc w:val="left"/>
              <w:rPr/>
            </w:pPr>
            <w:r>
              <w:rPr/>
              <w:t> </w:t>
            </w:r>
          </w:p>
        </w:tc>
      </w:tr>
      <w:tr>
        <w:trPr/>
        <w:tc>
          <w:tcPr>
            <w:tcW w:w="72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7284" w:type="dxa"/>
            <w:tcBorders/>
            <w:shd w:fill="CFF0FC" w:val="clear"/>
            <w:vAlign w:val="center"/>
          </w:tcPr>
          <w:p>
            <w:pPr>
              <w:pStyle w:val="TableContents"/>
              <w:bidi w:val="0"/>
              <w:spacing w:before="0" w:after="283"/>
              <w:ind w:left="500" w:right="0" w:firstLine="500"/>
              <w:jc w:val="left"/>
              <w:rPr>
                <w:rFonts w:ascii="Times New Roman" w:hAnsi="Times New Roman"/>
                <w:color w:val="000000"/>
                <w:sz w:val="16"/>
              </w:rPr>
            </w:pPr>
            <w:r>
              <w:rPr>
                <w:rFonts w:ascii="Times New Roman" w:hAnsi="Times New Roman"/>
                <w:color w:val="000000"/>
                <w:sz w:val="16"/>
              </w:rPr>
              <w:t>Net cash provided by investing activities</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17,126</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33,146</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715" w:type="dxa"/>
            <w:tcBorders/>
            <w:shd w:fill="FFFFFF" w:val="clear"/>
            <w:vAlign w:val="center"/>
          </w:tcPr>
          <w:p>
            <w:pPr>
              <w:pStyle w:val="TableContents"/>
              <w:bidi w:val="0"/>
              <w:spacing w:before="0" w:after="283"/>
              <w:ind w:left="0" w:right="0" w:firstLine="200"/>
              <w:jc w:val="right"/>
              <w:rPr/>
            </w:pPr>
            <w:r>
              <w:rPr/>
              <w:t> </w:t>
            </w:r>
          </w:p>
        </w:tc>
      </w:tr>
      <w:tr>
        <w:trPr/>
        <w:tc>
          <w:tcPr>
            <w:tcW w:w="72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issuance of common stock and pre-funded warrants in follow-on offering, net of issuance costs</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46,762</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color w:val="000000"/>
              </w:rPr>
            </w:pPr>
            <w:r>
              <w:rPr>
                <w:color w:val="000000"/>
              </w:rPr>
              <w:t>—</w:t>
            </w:r>
          </w:p>
        </w:tc>
        <w:tc>
          <w:tcPr>
            <w:tcW w:w="715" w:type="dxa"/>
            <w:tcBorders/>
            <w:shd w:fill="CFF0FC" w:val="clear"/>
            <w:vAlign w:val="center"/>
          </w:tcPr>
          <w:p>
            <w:pPr>
              <w:pStyle w:val="TableContents"/>
              <w:bidi w:val="0"/>
              <w:spacing w:before="0" w:after="283"/>
              <w:ind w:left="0" w:right="0" w:firstLine="200"/>
              <w:jc w:val="left"/>
              <w:rPr/>
            </w:pPr>
            <w:r>
              <w:rPr/>
              <w:t> </w:t>
            </w:r>
          </w:p>
        </w:tc>
      </w:tr>
      <w:tr>
        <w:trPr/>
        <w:tc>
          <w:tcPr>
            <w:tcW w:w="72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exercise of stock options and employee stock purchase plan</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w:t>
            </w:r>
          </w:p>
        </w:tc>
        <w:tc>
          <w:tcPr>
            <w:tcW w:w="16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715" w:type="dxa"/>
            <w:tcBorders/>
            <w:shd w:fill="FFFFFF" w:val="clear"/>
            <w:vAlign w:val="center"/>
          </w:tcPr>
          <w:p>
            <w:pPr>
              <w:pStyle w:val="TableContents"/>
              <w:bidi w:val="0"/>
              <w:spacing w:before="0" w:after="283"/>
              <w:ind w:left="0" w:right="0" w:firstLine="200"/>
              <w:jc w:val="left"/>
              <w:rPr/>
            </w:pPr>
            <w:r>
              <w:rPr/>
              <w:t> </w:t>
            </w:r>
          </w:p>
        </w:tc>
      </w:tr>
      <w:tr>
        <w:trPr/>
        <w:tc>
          <w:tcPr>
            <w:tcW w:w="72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exercises of pre-funded warrants</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color w:val="000000"/>
              </w:rPr>
            </w:pPr>
            <w:r>
              <w:rPr>
                <w:color w:val="000000"/>
              </w:rPr>
              <w:t>—</w:t>
            </w:r>
          </w:p>
        </w:tc>
        <w:tc>
          <w:tcPr>
            <w:tcW w:w="715" w:type="dxa"/>
            <w:tcBorders/>
            <w:shd w:fill="CFF0FC" w:val="clear"/>
            <w:vAlign w:val="center"/>
          </w:tcPr>
          <w:p>
            <w:pPr>
              <w:pStyle w:val="TableContents"/>
              <w:bidi w:val="0"/>
              <w:spacing w:before="0" w:after="283"/>
              <w:ind w:left="0" w:right="0" w:firstLine="200"/>
              <w:jc w:val="left"/>
              <w:rPr/>
            </w:pPr>
            <w:r>
              <w:rPr/>
              <w:t> </w:t>
            </w:r>
          </w:p>
        </w:tc>
      </w:tr>
      <w:tr>
        <w:trPr/>
        <w:tc>
          <w:tcPr>
            <w:tcW w:w="72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at-the-market sales, net of issuance costs</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color w:val="000000"/>
              </w:rPr>
            </w:pPr>
            <w:r>
              <w:rPr>
                <w:color w:val="000000"/>
              </w:rPr>
              <w:t>—</w:t>
            </w:r>
          </w:p>
        </w:tc>
        <w:tc>
          <w:tcPr>
            <w:tcW w:w="16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3,868</w:t>
            </w:r>
          </w:p>
        </w:tc>
        <w:tc>
          <w:tcPr>
            <w:tcW w:w="715" w:type="dxa"/>
            <w:tcBorders/>
            <w:shd w:fill="FFFFFF" w:val="clear"/>
            <w:vAlign w:val="center"/>
          </w:tcPr>
          <w:p>
            <w:pPr>
              <w:pStyle w:val="TableContents"/>
              <w:bidi w:val="0"/>
              <w:spacing w:before="0" w:after="283"/>
              <w:ind w:left="0" w:right="0" w:firstLine="200"/>
              <w:jc w:val="left"/>
              <w:rPr/>
            </w:pPr>
            <w:r>
              <w:rPr/>
              <w:t> </w:t>
            </w:r>
          </w:p>
        </w:tc>
      </w:tr>
      <w:tr>
        <w:trPr/>
        <w:tc>
          <w:tcPr>
            <w:tcW w:w="72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 of accrued offering costs</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w:t>
            </w:r>
          </w:p>
        </w:tc>
      </w:tr>
      <w:tr>
        <w:trPr/>
        <w:tc>
          <w:tcPr>
            <w:tcW w:w="7284"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47,341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3,678</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12,190</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(19,686</w:t>
            </w:r>
          </w:p>
        </w:tc>
        <w:tc>
          <w:tcPr>
            <w:tcW w:w="71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46,363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95,671</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58,553</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75,985</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Components of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715" w:type="dxa"/>
            <w:tcBorders/>
            <w:shd w:fill="FFFFFF" w:val="clear"/>
            <w:vAlign w:val="center"/>
          </w:tcPr>
          <w:p>
            <w:pPr>
              <w:pStyle w:val="TableContents"/>
              <w:bidi w:val="0"/>
              <w:spacing w:before="0" w:after="283"/>
              <w:jc w:val="right"/>
              <w:rPr/>
            </w:pPr>
            <w:r>
              <w:rPr/>
              <w:t> </w:t>
            </w:r>
          </w:p>
        </w:tc>
      </w:tr>
      <w:tr>
        <w:trPr/>
        <w:tc>
          <w:tcPr>
            <w:tcW w:w="72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58,134</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75,565</w:t>
            </w:r>
          </w:p>
        </w:tc>
        <w:tc>
          <w:tcPr>
            <w:tcW w:w="715" w:type="dxa"/>
            <w:tcBorders/>
            <w:shd w:fill="CFF0FC" w:val="clear"/>
            <w:vAlign w:val="center"/>
          </w:tcPr>
          <w:p>
            <w:pPr>
              <w:pStyle w:val="TableContents"/>
              <w:bidi w:val="0"/>
              <w:spacing w:before="0" w:after="283"/>
              <w:jc w:val="left"/>
              <w:rPr/>
            </w:pPr>
            <w:r>
              <w:rPr/>
              <w:t> </w:t>
            </w:r>
          </w:p>
        </w:tc>
      </w:tr>
      <w:tr>
        <w:trPr/>
        <w:tc>
          <w:tcPr>
            <w:tcW w:w="72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 included in other noncurrent assets</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58,553</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75,985</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right"/>
              <w:rPr/>
            </w:pPr>
            <w:r>
              <w:rPr/>
              <w:t> </w:t>
            </w:r>
          </w:p>
        </w:tc>
        <w:tc>
          <w:tcPr>
            <w:tcW w:w="715" w:type="dxa"/>
            <w:tcBorders/>
            <w:shd w:fill="FFFFFF" w:val="clear"/>
            <w:vAlign w:val="center"/>
          </w:tcPr>
          <w:p>
            <w:pPr>
              <w:pStyle w:val="TableContents"/>
              <w:bidi w:val="0"/>
              <w:spacing w:before="0" w:after="283"/>
              <w:ind w:left="0" w:right="0" w:firstLine="200"/>
              <w:jc w:val="right"/>
              <w:rPr/>
            </w:pPr>
            <w:r>
              <w:rPr/>
              <w:t> </w:t>
            </w:r>
          </w:p>
        </w:tc>
      </w:tr>
      <w:tr>
        <w:trPr/>
        <w:tc>
          <w:tcPr>
            <w:tcW w:w="728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Property and equipment included in accounts payable and 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6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71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TENAYA THERAPEUTICS, INC.</w:t>
      </w:r>
      <w:r>
        <w:rPr>
          <w:rFonts w:ascii="Times New Roman" w:hAnsi="Times New Roman"/>
          <w:caps/>
          <w:color w:val="000000"/>
          <w:sz w:val="20"/>
        </w:rPr>
        <w:t xml:space="preserve"> </w:t>
      </w:r>
    </w:p>
    <w:p>
      <w:pPr>
        <w:pStyle w:val="TextBody"/>
        <w:bidi w:val="0"/>
        <w:spacing w:before="240" w:after="283"/>
        <w:jc w:val="center"/>
        <w:rPr>
          <w:rFonts w:ascii="Times New Roman" w:hAnsi="Times New Roman"/>
          <w:sz w:val="20"/>
        </w:rPr>
      </w:pPr>
      <w:bookmarkStart w:id="8" w:name="notes_to_unaudited_condensed_financial_s"/>
      <w:bookmarkEnd w:id="8"/>
      <w:r>
        <w:rPr>
          <w:rFonts w:ascii="Times New Roman" w:hAnsi="Times New Roman"/>
          <w:b/>
          <w:color w:val="000000"/>
          <w:sz w:val="20"/>
        </w:rPr>
        <w:t>Notes to Unaudited Condensed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Organization and Description of the Business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TN-401, a gene therapy for plakophilin 2-associated arrhythmogenic right ventricular cardiomyopathy, and TN-301, a small molecule for heart failure with preserved ejection fraction. </w:t>
      </w:r>
    </w:p>
    <w:p>
      <w:pPr>
        <w:pStyle w:val="TextBody"/>
        <w:bidi w:val="0"/>
        <w:spacing w:before="240" w:after="283"/>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incurred net losses since inception and expects such losses to continue in the future as it conducts research and development activities. As of June 30, 2024, the Company had an accumulated deficit of $464.9 million. The Company incurred a net loss of $61.7 million and $65.0 million during the six months ended June 30, 2024 and 2023, respectively. The Company had $99.3 million of cash, cash equivalents and investments in marketable securities as of June 30, 2024.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August 6, 2024, the Company entered into a Loan Agreement with Silicon Valley Bank (SVB), a division of First-Citizens Bank &amp; Trust Company (the Loan Agreement). Under the Loan Agreement, the Company has the right to draw down $15.0 million at its discretion, up to an additional $10.0 million upon the satisfaction of certain milestones and up to an additional $20.0 million that may be available at SVB's discretion, subject to specified conditions. See Note 10, </w:t>
      </w:r>
      <w:r>
        <w:rPr>
          <w:rFonts w:ascii="Times New Roman" w:hAnsi="Times New Roman"/>
          <w:i/>
          <w:color w:val="000000"/>
          <w:sz w:val="20"/>
        </w:rPr>
        <w:t>Subsequent Event</w:t>
      </w:r>
      <w:r>
        <w:rPr>
          <w:rFonts w:ascii="Times New Roman" w:hAnsi="Times New Roman"/>
          <w:color w:val="000000"/>
          <w:sz w:val="20"/>
        </w:rPr>
        <w:t>, for further details.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cash equivalents and investments in marketable securities as of June 30, 2024, along with the $15.0 million of funds available under its Loan Agreement with SVB, will be sufficient to fund the Company’s operations for at least the next twelve months following the date these condensed financial statements are filed with the Securities and Exchange Commission (SEC).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Workforce Reduction</w:t>
      </w:r>
    </w:p>
    <w:p>
      <w:pPr>
        <w:pStyle w:val="TextBody"/>
        <w:bidi w:val="0"/>
        <w:spacing w:before="120" w:after="283"/>
        <w:jc w:val="left"/>
        <w:rPr>
          <w:rFonts w:ascii="Times New Roman" w:hAnsi="Times New Roman"/>
          <w:sz w:val="20"/>
        </w:rPr>
      </w:pPr>
      <w:r>
        <w:rPr>
          <w:rFonts w:ascii="Times New Roman" w:hAnsi="Times New Roman"/>
          <w:color w:val="212529"/>
          <w:sz w:val="20"/>
        </w:rPr>
        <w:t>On May 14, 2024, the Company announced cost containment measures, including a committed plan to reduce its workforce (the Workforce Reduction) by approximately 22%. The cost containment measures align with the Company's focus on generating data from its clinical-stage gene therapy programs.</w:t>
      </w:r>
      <w:r>
        <w:rPr>
          <w:rFonts w:ascii="Times New Roman" w:hAnsi="Times New Roman"/>
          <w:color w:val="000000"/>
          <w:sz w:val="20"/>
        </w:rPr>
        <w:t xml:space="preserve"> The Workforce Reduction has been substantially completed as of June 30, 2024. During the quarter ended June 30, 2024, the Company recognized $1.4 million of aggregate charges, primarily related to employee cash severance and continuing health insurance benefits.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financial statements have been prepared in accordance with accounting principles generally accepted in the United States of America (GAAP) and follow the requirements of the SEC for interim reporting. As permitted under those rules, certain footnotes or other financial information that are normally required by GAAP can be condensed or omitted.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interim condensed balance sheet as of June 30, 2024, the interim condensed statements of operations and comprehensive loss, stockholders’ equity and cash flows for the six months ended June 30, 2024 and 2023 are unaudited. These unaudited interim condensed financial statements have been prepared on the same basis as the Company’s annual financial statements and reflect all adjustments that are necessary for the fair statement of the Company’s financial position, results of operations and cash flows for the interim periods presented. The condensed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operations for the six months ended June 30, 2024, are not necessarily indicative of the results to be expected for the full year or for any other future annual or interim period. The condensed balance sheet as of December 31, 2023, included herein was derived from the audited financial statements as of that date. These condensed financial statements should be read in conjunction with the Company’s audited financial statements and the related notes thereto for the year ended December 31, 2023, included in Company’s Annual Report on Form 10-K, filed with the SEC on March 18, 2024.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Significant estimates and assumptions made in the accompanying financial statements include, but are not limited to, accrued expenses related to research and development activities. The Company bases its estimates on historical experience, the current economic environment, and on various other assumptions that are believed to be reasonable under the circumstances. Actual results may differ from those estimates or assumptions. </w:t>
      </w:r>
    </w:p>
    <w:p>
      <w:pPr>
        <w:pStyle w:val="TextBody"/>
        <w:bidi w:val="0"/>
        <w:spacing w:before="240" w:after="283"/>
        <w:jc w:val="left"/>
        <w:rPr>
          <w:rFonts w:ascii="Times New Roman" w:hAnsi="Times New Roman"/>
          <w:sz w:val="20"/>
        </w:rPr>
      </w:pPr>
      <w:r>
        <w:rPr>
          <w:rFonts w:ascii="Times New Roman" w:hAnsi="Times New Roman"/>
          <w:b/>
          <w:i/>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revisions to the Company’s significant accounting policies described in Note 2 to the financial statements included in the Company’s Annual Report on Form 10-K for the year ended December 31,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Financial Accounting Standards Board (FASB) issued ASU No. 2023-07, </w:t>
      </w:r>
      <w:r>
        <w:rPr>
          <w:rFonts w:ascii="Times New Roman" w:hAnsi="Times New Roman"/>
          <w:i/>
          <w:color w:val="000000"/>
          <w:sz w:val="20"/>
        </w:rPr>
        <w:t xml:space="preserve">Segment Reporting (Topic 280): Improvements to Reportable Segment Disclosures </w:t>
      </w:r>
      <w:r>
        <w:rPr>
          <w:rFonts w:ascii="Times New Roman" w:hAnsi="Times New Roman"/>
          <w:color w:val="000000"/>
          <w:sz w:val="20"/>
        </w:rPr>
        <w:t xml:space="preserve">(ASU 2023-07), which improves reportable segment disclosure requirements, primarily through enhanced disclosures about significant segment expenses. In addition, ASU 2023-07 enhances interim disclosure requirements, clarifies circumstances in which an entity can disclose multiple segment measures of profit or loss, provides new segment disclosure requirements for entities with a single reportable segment, and contains other disclosure requirements. ASU 2023-07 is effective for annual periods beginning after December 15, 2023, and interim periods beginning after December 15, 2024. The Company is evaluating the impact of this standard on its financial statements and related disclosures.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 xml:space="preserve">Income Taxes (Topic 740): Improvements to Income Tax Disclosures </w:t>
      </w:r>
      <w:r>
        <w:rPr>
          <w:rFonts w:ascii="Times New Roman" w:hAnsi="Times New Roman"/>
          <w:color w:val="000000"/>
          <w:sz w:val="20"/>
        </w:rPr>
        <w:t xml:space="preserve">(ASU 2023-09), which requires disaggregated information about a reporting entity’s effective tax rate reconciliation as well as information on income taxes paid. ASU 2023-09 is effective for the Company beginning January 1, 2025. The Company is evaluating the impact of this standard on its financial statements and related disclosures.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Inputs are unadjusted, quoted prices in active markets for identical assets or liabilities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summarize the Company’s financial assets measured at fair value on a recurring basis by level within the fair value hierarchy: </w:t>
      </w:r>
    </w:p>
    <w:tbl>
      <w:tblPr>
        <w:tblW w:w="8397" w:type="dxa"/>
        <w:jc w:val="left"/>
        <w:tblInd w:w="0" w:type="dxa"/>
        <w:tblLayout w:type="fixed"/>
        <w:tblCellMar>
          <w:top w:w="28" w:type="dxa"/>
          <w:left w:w="28" w:type="dxa"/>
          <w:bottom w:w="28" w:type="dxa"/>
          <w:right w:w="28" w:type="dxa"/>
        </w:tblCellMar>
      </w:tblPr>
      <w:tblGrid>
        <w:gridCol w:w="2516"/>
        <w:gridCol w:w="146"/>
        <w:gridCol w:w="856"/>
        <w:gridCol w:w="146"/>
        <w:gridCol w:w="211"/>
        <w:gridCol w:w="676"/>
        <w:gridCol w:w="146"/>
        <w:gridCol w:w="146"/>
        <w:gridCol w:w="335"/>
        <w:gridCol w:w="551"/>
        <w:gridCol w:w="146"/>
        <w:gridCol w:w="146"/>
        <w:gridCol w:w="318"/>
        <w:gridCol w:w="568"/>
        <w:gridCol w:w="166"/>
        <w:gridCol w:w="146"/>
        <w:gridCol w:w="211"/>
        <w:gridCol w:w="676"/>
        <w:gridCol w:w="29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4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25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Government agencies bonds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Government agencies bonds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97,412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607" w:type="dxa"/>
        <w:jc w:val="left"/>
        <w:tblInd w:w="0" w:type="dxa"/>
        <w:tblLayout w:type="fixed"/>
        <w:tblCellMar>
          <w:top w:w="28" w:type="dxa"/>
          <w:left w:w="28" w:type="dxa"/>
          <w:bottom w:w="28" w:type="dxa"/>
          <w:right w:w="28" w:type="dxa"/>
        </w:tblCellMar>
      </w:tblPr>
      <w:tblGrid>
        <w:gridCol w:w="2516"/>
        <w:gridCol w:w="146"/>
        <w:gridCol w:w="856"/>
        <w:gridCol w:w="146"/>
        <w:gridCol w:w="211"/>
        <w:gridCol w:w="781"/>
        <w:gridCol w:w="146"/>
        <w:gridCol w:w="146"/>
        <w:gridCol w:w="335"/>
        <w:gridCol w:w="551"/>
        <w:gridCol w:w="146"/>
        <w:gridCol w:w="146"/>
        <w:gridCol w:w="270"/>
        <w:gridCol w:w="616"/>
        <w:gridCol w:w="166"/>
        <w:gridCol w:w="146"/>
        <w:gridCol w:w="211"/>
        <w:gridCol w:w="781"/>
        <w:gridCol w:w="29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5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25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Government agencies bonds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5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5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Government agencies bonds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103,920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Money market funds and U.S. treasury securities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These models generally use inputs such as observable market data, quoted market prices for similar instruments, or historical pricing trends of a security relative to its peers.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believes it is more likely than not that its marketable securities in an unrealized loss position will be held until maturity or the recovery of the cost basis of the investment. To date, the Company has not recorded any allowance for credit losses on its investment securities. Based upon its quarterly impairment review, the Company determined that the unrealized losses were not attributed to credit risk, but were primarily driven by the broader change in interest rates.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the fair value of available-for-sale marketable securities was $41.2 million, all of which had remaining maturities of less than one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 of the Company’s remaining financial assets and liabilities, which include cash, receivables and payables, approximate their fair values due to their short-term nature.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Property and equipment, net consists of the following:</w:t>
      </w:r>
    </w:p>
    <w:tbl>
      <w:tblPr>
        <w:tblW w:w="6922" w:type="dxa"/>
        <w:jc w:val="left"/>
        <w:tblInd w:w="0" w:type="dxa"/>
        <w:tblLayout w:type="fixed"/>
        <w:tblCellMar>
          <w:top w:w="28" w:type="dxa"/>
          <w:left w:w="28" w:type="dxa"/>
          <w:bottom w:w="28" w:type="dxa"/>
          <w:right w:w="28" w:type="dxa"/>
        </w:tblCellMar>
      </w:tblPr>
      <w:tblGrid>
        <w:gridCol w:w="4111"/>
        <w:gridCol w:w="146"/>
        <w:gridCol w:w="211"/>
        <w:gridCol w:w="736"/>
        <w:gridCol w:w="166"/>
        <w:gridCol w:w="146"/>
        <w:gridCol w:w="244"/>
        <w:gridCol w:w="851"/>
        <w:gridCol w:w="3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25,608</w:t>
            </w:r>
          </w:p>
        </w:tc>
        <w:tc>
          <w:tcPr>
            <w:tcW w:w="3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19,973</w:t>
            </w:r>
          </w:p>
        </w:tc>
        <w:tc>
          <w:tcPr>
            <w:tcW w:w="3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17,716</w:t>
            </w:r>
          </w:p>
        </w:tc>
        <w:tc>
          <w:tcPr>
            <w:tcW w:w="3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3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3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67,617</w:t>
            </w:r>
          </w:p>
        </w:tc>
        <w:tc>
          <w:tcPr>
            <w:tcW w:w="3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for the three months ended June 30, 2024 and 2023 was $2.1 million and $2.2 million, respectively. Depreciation and amortization expense for each of the six months ended June 30, 2024 and 2023 was $4.3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and other current liabilities consist of the following:</w:t>
      </w:r>
    </w:p>
    <w:tbl>
      <w:tblPr>
        <w:tblW w:w="6342" w:type="dxa"/>
        <w:jc w:val="left"/>
        <w:tblInd w:w="0" w:type="dxa"/>
        <w:tblLayout w:type="fixed"/>
        <w:tblCellMar>
          <w:top w:w="28" w:type="dxa"/>
          <w:left w:w="28" w:type="dxa"/>
          <w:bottom w:w="28" w:type="dxa"/>
          <w:right w:w="28" w:type="dxa"/>
        </w:tblCellMar>
      </w:tblPr>
      <w:tblGrid>
        <w:gridCol w:w="3736"/>
        <w:gridCol w:w="146"/>
        <w:gridCol w:w="211"/>
        <w:gridCol w:w="571"/>
        <w:gridCol w:w="146"/>
        <w:gridCol w:w="146"/>
        <w:gridCol w:w="260"/>
        <w:gridCol w:w="835"/>
        <w:gridCol w:w="2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6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8,700</w:t>
            </w:r>
          </w:p>
        </w:tc>
        <w:tc>
          <w:tcPr>
            <w:tcW w:w="2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2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2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facility management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Prepaid expenses and other current assets consist of the following:</w:t>
      </w:r>
    </w:p>
    <w:tbl>
      <w:tblPr>
        <w:tblW w:w="6937" w:type="dxa"/>
        <w:jc w:val="left"/>
        <w:tblInd w:w="0" w:type="dxa"/>
        <w:tblLayout w:type="fixed"/>
        <w:tblCellMar>
          <w:top w:w="28" w:type="dxa"/>
          <w:left w:w="28" w:type="dxa"/>
          <w:bottom w:w="28" w:type="dxa"/>
          <w:right w:w="28" w:type="dxa"/>
        </w:tblCellMar>
      </w:tblPr>
      <w:tblGrid>
        <w:gridCol w:w="4031"/>
        <w:gridCol w:w="246"/>
        <w:gridCol w:w="211"/>
        <w:gridCol w:w="571"/>
        <w:gridCol w:w="246"/>
        <w:gridCol w:w="246"/>
        <w:gridCol w:w="294"/>
        <w:gridCol w:w="801"/>
        <w:gridCol w:w="291"/>
      </w:tblGrid>
      <w:tr>
        <w:trPr/>
        <w:tc>
          <w:tcPr>
            <w:tcW w:w="40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36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4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w:t>
            </w:r>
          </w:p>
        </w:tc>
        <w:tc>
          <w:tcPr>
            <w:tcW w:w="291" w:type="dxa"/>
            <w:tcBorders/>
            <w:shd w:fill="CFF0FC" w:val="clear"/>
            <w:vAlign w:val="center"/>
          </w:tcPr>
          <w:p>
            <w:pPr>
              <w:pStyle w:val="TableContents"/>
              <w:bidi w:val="0"/>
              <w:spacing w:before="0" w:after="283"/>
              <w:jc w:val="left"/>
              <w:rPr/>
            </w:pPr>
            <w:r>
              <w:rPr/>
              <w:t> </w:t>
            </w:r>
          </w:p>
        </w:tc>
      </w:tr>
      <w:tr>
        <w:trPr/>
        <w:tc>
          <w:tcPr>
            <w:tcW w:w="4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3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Facility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2016, the Company entered into a lease agreement for office and laboratory space in South San Francisco, California. The lease was initially set to expire in May 2025 and the Company may renew the lease term for two additional five-year periods. In June 2024, the Company entered the First Amendment to the lease. Under the First Amendment, the Company extended the term of the lease from June 2025 through November 2027. This extended term was deemed to represent the first of the two renewal options. The Company has one option remaining to extend the lease term for a period of five years at the end of the extended lease term.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2021, the Company entered into a lease agreement for the Union City Facility. The lease commenced in May 2021 and has a ten-year term with one five-year renewal option.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2021, the Company entered into a short-term sublease agreement for additional office and laboratory space in South San Francisco, California with a lease term that was initially set to expire on June 30, 2022. In May 2022, the Company entered into an amendment to extend the term for the existing sublease premise through December 31, 2022. Under the amendment, the Company also subleased additional office and laboratory space at the same sublease premise through November 30, 2023. In October 2023, the Company entered into a second amendment for additional laboratory space and to extend the term of the sublease premise through November 30, 2024.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Information related to operating lease activity during the three and six months ended June 30, 2024 was as follows (in thousands):</w:t>
      </w:r>
    </w:p>
    <w:tbl>
      <w:tblPr>
        <w:tblW w:w="10205" w:type="dxa"/>
        <w:jc w:val="left"/>
        <w:tblInd w:w="0" w:type="dxa"/>
        <w:tblLayout w:type="fixed"/>
        <w:tblCellMar>
          <w:top w:w="28" w:type="dxa"/>
          <w:left w:w="28" w:type="dxa"/>
          <w:bottom w:w="28" w:type="dxa"/>
          <w:right w:w="28" w:type="dxa"/>
        </w:tblCellMar>
      </w:tblPr>
      <w:tblGrid>
        <w:gridCol w:w="5186"/>
        <w:gridCol w:w="146"/>
        <w:gridCol w:w="246"/>
        <w:gridCol w:w="668"/>
        <w:gridCol w:w="170"/>
        <w:gridCol w:w="170"/>
        <w:gridCol w:w="246"/>
        <w:gridCol w:w="668"/>
        <w:gridCol w:w="146"/>
        <w:gridCol w:w="146"/>
        <w:gridCol w:w="229"/>
        <w:gridCol w:w="621"/>
        <w:gridCol w:w="158"/>
        <w:gridCol w:w="158"/>
        <w:gridCol w:w="229"/>
        <w:gridCol w:w="621"/>
        <w:gridCol w:w="397"/>
      </w:tblGrid>
      <w:tr>
        <w:trPr/>
        <w:tc>
          <w:tcPr>
            <w:tcW w:w="5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5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76"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7" w:type="dxa"/>
            <w:tcBorders/>
            <w:shd w:fill="FFFFFF" w:val="clear"/>
            <w:vAlign w:val="center"/>
          </w:tcPr>
          <w:p>
            <w:pPr>
              <w:pStyle w:val="TableContents"/>
              <w:bidi w:val="0"/>
              <w:spacing w:before="0" w:after="283"/>
              <w:jc w:val="center"/>
              <w:rPr/>
            </w:pPr>
            <w:r>
              <w:rPr/>
              <w:t> </w:t>
            </w:r>
          </w:p>
        </w:tc>
      </w:tr>
      <w:tr>
        <w:trPr/>
        <w:tc>
          <w:tcPr>
            <w:tcW w:w="5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397" w:type="dxa"/>
            <w:tcBorders/>
            <w:shd w:fill="CFF0FC" w:val="clear"/>
            <w:vAlign w:val="center"/>
          </w:tcPr>
          <w:p>
            <w:pPr>
              <w:pStyle w:val="TableContents"/>
              <w:bidi w:val="0"/>
              <w:spacing w:before="0" w:after="283"/>
              <w:jc w:val="left"/>
              <w:rPr/>
            </w:pPr>
            <w:r>
              <w:rPr/>
              <w:t> </w:t>
            </w:r>
          </w:p>
        </w:tc>
      </w:tr>
      <w:tr>
        <w:trPr/>
        <w:tc>
          <w:tcPr>
            <w:tcW w:w="5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7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397" w:type="dxa"/>
            <w:tcBorders/>
            <w:shd w:fill="FFFFFF" w:val="clear"/>
            <w:vAlign w:val="center"/>
          </w:tcPr>
          <w:p>
            <w:pPr>
              <w:pStyle w:val="TableContents"/>
              <w:bidi w:val="0"/>
              <w:spacing w:before="0" w:after="283"/>
              <w:jc w:val="left"/>
              <w:rPr/>
            </w:pPr>
            <w:r>
              <w:rPr/>
              <w:t> </w:t>
            </w:r>
          </w:p>
        </w:tc>
      </w:tr>
      <w:tr>
        <w:trPr/>
        <w:tc>
          <w:tcPr>
            <w:tcW w:w="5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8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4"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91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0" w:type="dxa"/>
            <w:gridSpan w:val="2"/>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850" w:type="dxa"/>
            <w:gridSpan w:val="2"/>
            <w:tcBorders/>
            <w:shd w:fill="CFF0FC" w:val="clear"/>
            <w:vAlign w:val="center"/>
          </w:tcPr>
          <w:p>
            <w:pPr>
              <w:pStyle w:val="TableContents"/>
              <w:bidi w:val="0"/>
              <w:spacing w:before="0" w:after="283"/>
              <w:jc w:val="right"/>
              <w:rPr/>
            </w:pPr>
            <w:r>
              <w:rPr/>
              <w:t> </w:t>
            </w:r>
          </w:p>
        </w:tc>
        <w:tc>
          <w:tcPr>
            <w:tcW w:w="397" w:type="dxa"/>
            <w:tcBorders/>
            <w:shd w:fill="CFF0FC" w:val="clear"/>
            <w:vAlign w:val="center"/>
          </w:tcPr>
          <w:p>
            <w:pPr>
              <w:pStyle w:val="TableContents"/>
              <w:bidi w:val="0"/>
              <w:spacing w:before="0" w:after="283"/>
              <w:jc w:val="right"/>
              <w:rPr/>
            </w:pPr>
            <w:r>
              <w:rPr/>
              <w:t> </w:t>
            </w:r>
          </w:p>
        </w:tc>
      </w:tr>
      <w:tr>
        <w:trPr/>
        <w:tc>
          <w:tcPr>
            <w:tcW w:w="5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obtained in exchange for lease obligations</w:t>
            </w:r>
          </w:p>
        </w:tc>
        <w:tc>
          <w:tcPr>
            <w:tcW w:w="146" w:type="dxa"/>
            <w:tcBorders/>
            <w:shd w:fill="FFFFFF" w:val="clear"/>
            <w:vAlign w:val="center"/>
          </w:tcPr>
          <w:p>
            <w:pPr>
              <w:pStyle w:val="TableContents"/>
              <w:bidi w:val="0"/>
              <w:spacing w:before="0" w:after="283"/>
              <w:jc w:val="left"/>
              <w:rPr/>
            </w:pPr>
            <w:r>
              <w:rPr/>
              <w:t> </w:t>
            </w:r>
          </w:p>
        </w:tc>
        <w:tc>
          <w:tcPr>
            <w:tcW w:w="914" w:type="dxa"/>
            <w:gridSpan w:val="2"/>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right"/>
              <w:rPr/>
            </w:pPr>
            <w:r>
              <w:rPr/>
              <w:t> </w:t>
            </w:r>
          </w:p>
        </w:tc>
        <w:tc>
          <w:tcPr>
            <w:tcW w:w="9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vAlign w:val="center"/>
          </w:tcPr>
          <w:p>
            <w:pPr>
              <w:pStyle w:val="TableContents"/>
              <w:bidi w:val="0"/>
              <w:spacing w:before="0" w:after="283"/>
              <w:jc w:val="right"/>
              <w:rPr>
                <w:color w:val="000000"/>
              </w:rPr>
            </w:pPr>
            <w:r>
              <w:rPr>
                <w:color w:val="000000"/>
              </w:rPr>
              <w:t>—</w:t>
            </w:r>
          </w:p>
        </w:tc>
        <w:tc>
          <w:tcPr>
            <w:tcW w:w="397" w:type="dxa"/>
            <w:tcBorders/>
            <w:shd w:fill="FFFFFF" w:val="clear"/>
            <w:vAlign w:val="center"/>
          </w:tcPr>
          <w:p>
            <w:pPr>
              <w:pStyle w:val="TableContents"/>
              <w:bidi w:val="0"/>
              <w:spacing w:before="0" w:after="283"/>
              <w:jc w:val="left"/>
              <w:rPr/>
            </w:pPr>
            <w:r>
              <w:rPr/>
              <w:t> </w:t>
            </w:r>
          </w:p>
        </w:tc>
      </w:tr>
      <w:tr>
        <w:trPr/>
        <w:tc>
          <w:tcPr>
            <w:tcW w:w="5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914" w:type="dxa"/>
            <w:gridSpan w:val="2"/>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right"/>
              <w:rPr/>
            </w:pPr>
            <w:r>
              <w:rPr/>
              <w:t> </w:t>
            </w:r>
          </w:p>
        </w:tc>
        <w:tc>
          <w:tcPr>
            <w:tcW w:w="91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397" w:type="dxa"/>
            <w:tcBorders/>
            <w:shd w:fill="CFF0FC" w:val="cle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June 30, 2024, the Company’s operating leases had a weighted average remaining lease term of 5.0 years and a weighted average discount rate of 8.8%. As of December 31, 2023, the Company’s operating leases had a weighted average remaining lease term of 5.1 years and a weighted average discount rate of 9.3%. Future minimum lease payments under the Company’s operating leases as of June 30, 2024 were as follows: </w:t>
      </w:r>
    </w:p>
    <w:tbl>
      <w:tblPr>
        <w:tblW w:w="6113" w:type="dxa"/>
        <w:jc w:val="left"/>
        <w:tblInd w:w="0" w:type="dxa"/>
        <w:tblLayout w:type="fixed"/>
        <w:tblCellMar>
          <w:top w:w="28" w:type="dxa"/>
          <w:left w:w="28" w:type="dxa"/>
          <w:bottom w:w="28" w:type="dxa"/>
          <w:right w:w="28" w:type="dxa"/>
        </w:tblCellMar>
      </w:tblPr>
      <w:tblGrid>
        <w:gridCol w:w="4436"/>
        <w:gridCol w:w="146"/>
        <w:gridCol w:w="271"/>
        <w:gridCol w:w="869"/>
        <w:gridCol w:w="391"/>
      </w:tblGrid>
      <w:tr>
        <w:trPr/>
        <w:tc>
          <w:tcPr>
            <w:tcW w:w="4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(remaining 6 months)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391" w:type="dxa"/>
            <w:tcBorders/>
            <w:shd w:fill="CFF0FC" w:val="clear"/>
            <w:vAlign w:val="center"/>
          </w:tcPr>
          <w:p>
            <w:pPr>
              <w:pStyle w:val="TableContents"/>
              <w:bidi w:val="0"/>
              <w:spacing w:before="0" w:after="283"/>
              <w:jc w:val="left"/>
              <w:rPr/>
            </w:pPr>
            <w:r>
              <w:rPr/>
              <w:t> </w:t>
            </w:r>
          </w:p>
        </w:tc>
      </w:tr>
      <w:tr>
        <w:trPr/>
        <w:tc>
          <w:tcPr>
            <w:tcW w:w="4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w:t>
            </w:r>
          </w:p>
        </w:tc>
        <w:tc>
          <w:tcPr>
            <w:tcW w:w="391" w:type="dxa"/>
            <w:tcBorders/>
            <w:shd w:fill="FFFFFF" w:val="clear"/>
            <w:vAlign w:val="center"/>
          </w:tcPr>
          <w:p>
            <w:pPr>
              <w:pStyle w:val="TableContents"/>
              <w:bidi w:val="0"/>
              <w:spacing w:before="0" w:after="283"/>
              <w:jc w:val="left"/>
              <w:rPr/>
            </w:pPr>
            <w:r>
              <w:rPr/>
              <w:t> </w:t>
            </w:r>
          </w:p>
        </w:tc>
      </w:tr>
      <w:tr>
        <w:trPr/>
        <w:tc>
          <w:tcPr>
            <w:tcW w:w="4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w:t>
            </w:r>
          </w:p>
        </w:tc>
        <w:tc>
          <w:tcPr>
            <w:tcW w:w="391" w:type="dxa"/>
            <w:tcBorders/>
            <w:shd w:fill="CFF0FC" w:val="clear"/>
            <w:vAlign w:val="center"/>
          </w:tcPr>
          <w:p>
            <w:pPr>
              <w:pStyle w:val="TableContents"/>
              <w:bidi w:val="0"/>
              <w:spacing w:before="0" w:after="283"/>
              <w:jc w:val="left"/>
              <w:rPr/>
            </w:pPr>
            <w:r>
              <w:rPr/>
              <w:t> </w:t>
            </w:r>
          </w:p>
        </w:tc>
      </w:tr>
      <w:tr>
        <w:trPr/>
        <w:tc>
          <w:tcPr>
            <w:tcW w:w="4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w:t>
            </w:r>
          </w:p>
        </w:tc>
        <w:tc>
          <w:tcPr>
            <w:tcW w:w="391" w:type="dxa"/>
            <w:tcBorders/>
            <w:shd w:fill="FFFFFF" w:val="clear"/>
            <w:vAlign w:val="center"/>
          </w:tcPr>
          <w:p>
            <w:pPr>
              <w:pStyle w:val="TableContents"/>
              <w:bidi w:val="0"/>
              <w:spacing w:before="0" w:after="283"/>
              <w:jc w:val="left"/>
              <w:rPr/>
            </w:pPr>
            <w:r>
              <w:rPr/>
              <w:t> </w:t>
            </w:r>
          </w:p>
        </w:tc>
      </w:tr>
      <w:tr>
        <w:trPr/>
        <w:tc>
          <w:tcPr>
            <w:tcW w:w="4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391" w:type="dxa"/>
            <w:tcBorders/>
            <w:shd w:fill="CFF0FC" w:val="clear"/>
            <w:vAlign w:val="center"/>
          </w:tcPr>
          <w:p>
            <w:pPr>
              <w:pStyle w:val="TableContents"/>
              <w:bidi w:val="0"/>
              <w:spacing w:before="0" w:after="283"/>
              <w:jc w:val="left"/>
              <w:rPr/>
            </w:pPr>
            <w:r>
              <w:rPr/>
              <w:t> </w:t>
            </w:r>
          </w:p>
        </w:tc>
      </w:tr>
      <w:tr>
        <w:trPr/>
        <w:tc>
          <w:tcPr>
            <w:tcW w:w="44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Imputed interest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Purchase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financial statements indicates that it is probable that a liability had been incurred at the date of the financial statements and (ii) the range of loss can be reasonably estimated. The Company was not involved in any material litigation as of June 30,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June 30, 2024, the Company did not have any material indemnification claims that were probable or reasonably possible and, consequently, has not recorded any related liabilities.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sz w:val="20"/>
        </w:rPr>
      </w:pPr>
      <w:r>
        <w:rPr>
          <w:rFonts w:ascii="Times New Roman" w:hAnsi="Times New Roman"/>
          <w:b/>
          <w:i/>
          <w:color w:val="000000"/>
          <w:sz w:val="20"/>
        </w:rPr>
        <w:t>2021 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Company's 2021 Equity Incentive Plan (2021 Plan), 4,000,000 shares of the Company’s common stock were initially reserved for issuance of equity awards to employees, directors, and consultants, under terms and provisions established by the board of directors. The number of shares of common stock available for issuance under the 2021 Plan automatically increases on the first day of January for a period of ten years, commencing on January 1, 2022, in an amount equal to the lesser of: 4,000,000 shares; 4% of the outstanding shares of the Company’s common stock as of the last day of the immediately preceding year; or such other amount as the board of directors may determine.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shares reserved and available for grant under the 2021 Plan as of June 30, 2024 are 781,439.</w:t>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 Activity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stock option activity:</w:t>
      </w:r>
    </w:p>
    <w:tbl>
      <w:tblPr>
        <w:tblW w:w="6097" w:type="dxa"/>
        <w:jc w:val="left"/>
        <w:tblInd w:w="0" w:type="dxa"/>
        <w:tblLayout w:type="fixed"/>
        <w:tblCellMar>
          <w:top w:w="28" w:type="dxa"/>
          <w:left w:w="28" w:type="dxa"/>
          <w:bottom w:w="28" w:type="dxa"/>
          <w:right w:w="28" w:type="dxa"/>
        </w:tblCellMar>
      </w:tblPr>
      <w:tblGrid>
        <w:gridCol w:w="3166"/>
        <w:gridCol w:w="146"/>
        <w:gridCol w:w="146"/>
        <w:gridCol w:w="1036"/>
        <w:gridCol w:w="166"/>
        <w:gridCol w:w="146"/>
        <w:gridCol w:w="242"/>
        <w:gridCol w:w="658"/>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dollars)</w:t>
            </w:r>
          </w:p>
        </w:tc>
        <w:tc>
          <w:tcPr>
            <w:tcW w:w="391" w:type="dxa"/>
            <w:tcBorders/>
            <w:shd w:fill="FFFFFF" w:val="cle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8,343,434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2,470,100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3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10,452,027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Stock option awards granted to employees generally vest over a four-year period. The contractual term of stock option awards is generally 10 years from the grant date. </w:t>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 Valuation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fair value of the Company’s stock option awards is estimated on the date of grant using the Black-Scholes option pricing model using the following assumptions: </w:t>
      </w:r>
    </w:p>
    <w:tbl>
      <w:tblPr>
        <w:tblW w:w="6709" w:type="dxa"/>
        <w:jc w:val="left"/>
        <w:tblInd w:w="0" w:type="dxa"/>
        <w:tblLayout w:type="fixed"/>
        <w:tblCellMar>
          <w:top w:w="28" w:type="dxa"/>
          <w:left w:w="28" w:type="dxa"/>
          <w:bottom w:w="28" w:type="dxa"/>
          <w:right w:w="28" w:type="dxa"/>
        </w:tblCellMar>
      </w:tblPr>
      <w:tblGrid>
        <w:gridCol w:w="2131"/>
        <w:gridCol w:w="146"/>
        <w:gridCol w:w="526"/>
        <w:gridCol w:w="146"/>
        <w:gridCol w:w="1141"/>
        <w:gridCol w:w="146"/>
        <w:gridCol w:w="1141"/>
        <w:gridCol w:w="146"/>
        <w:gridCol w:w="118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 6.1</w:t>
            </w:r>
          </w:p>
        </w:tc>
        <w:tc>
          <w:tcPr>
            <w:tcW w:w="146"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 – 95%</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 – 93%</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 – 95%</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 – 3.9%</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 – 4.5%</w:t>
            </w:r>
          </w:p>
        </w:tc>
        <w:tc>
          <w:tcPr>
            <w:tcW w:w="146"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 – 4.0%</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pPr>
            <w:r>
              <w:rPr>
                <w:color w:val="000000"/>
              </w:rPr>
              <w:t>—</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pPr>
            <w:r>
              <w:rPr>
                <w:color w:val="000000"/>
              </w:rPr>
              <w:t>—</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pPr>
            <w:r>
              <w:rPr>
                <w:color w:val="000000"/>
              </w:rPr>
              <w:t>—</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pPr>
            <w:r>
              <w:rPr>
                <w:color w:val="000000"/>
              </w:rPr>
              <w:t>—</w:t>
            </w: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Restricted stock units (RSUs) are awards that entitle the holder to receive freely tradable shares of the Company’s common stock upon the completion of a specific period of continued service. RSUs generally vest over a two to four year period and are subject to forfeiture if employment terminates prior to the release of vesting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 </w:t>
      </w:r>
    </w:p>
    <w:tbl>
      <w:tblPr>
        <w:tblW w:w="5597" w:type="dxa"/>
        <w:jc w:val="left"/>
        <w:tblInd w:w="0" w:type="dxa"/>
        <w:tblLayout w:type="fixed"/>
        <w:tblCellMar>
          <w:top w:w="28" w:type="dxa"/>
          <w:left w:w="28" w:type="dxa"/>
          <w:bottom w:w="28" w:type="dxa"/>
          <w:right w:w="28" w:type="dxa"/>
        </w:tblCellMar>
      </w:tblPr>
      <w:tblGrid>
        <w:gridCol w:w="2926"/>
        <w:gridCol w:w="146"/>
        <w:gridCol w:w="146"/>
        <w:gridCol w:w="931"/>
        <w:gridCol w:w="166"/>
        <w:gridCol w:w="146"/>
        <w:gridCol w:w="294"/>
        <w:gridCol w:w="651"/>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Grant Date</w:t>
              <w:br/>
              <w:t xml:space="preserve">Fair Value </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dollars)</w:t>
            </w:r>
          </w:p>
        </w:tc>
        <w:tc>
          <w:tcPr>
            <w:tcW w:w="191" w:type="dxa"/>
            <w:tcBorders/>
            <w:shd w:fill="FFFFFF" w:val="clear"/>
            <w:vAlign w:val="center"/>
          </w:tcPr>
          <w:p>
            <w:pPr>
              <w:pStyle w:val="TableContents"/>
              <w:bidi w:val="0"/>
              <w:spacing w:before="0" w:after="283"/>
              <w:jc w:val="center"/>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1,088,276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893,665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1,621,462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Company's 2021 Employee Stock Purchase Plan (ESPP), the Company initially reserved 800,000 shares for future issuance. The number of shares of common stock available for issuance under the ESPP automatically increases on the first day of each fiscal year for a period of ten years beginning with 2022 in an amount equal to the lesser of: 800,000 shares; 1% of the outstanding shares of the Company’s common stock as of the last day of the immediately preceding year; or such other amount as the board of directors may determine. As of June 30, 2024, 1,767,746 shares were reserved for future issuance under the ESPP. Under the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6 months. The ESPP permits eligible employees to purchase common stock through payroll deductions for up to 15% of qualified compensation, up to an annual limit of $25,000 per the Internal Revenue Service. For the six months ended June 30, 2024 and 2023, the stock-based compensation expense for ESPP was not material.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stock-based compensation recognized in the Company’s condensed statements of operations and comprehensive loss:</w:t>
      </w:r>
    </w:p>
    <w:tbl>
      <w:tblPr>
        <w:tblW w:w="7207" w:type="dxa"/>
        <w:jc w:val="left"/>
        <w:tblInd w:w="0" w:type="dxa"/>
        <w:tblLayout w:type="fixed"/>
        <w:tblCellMar>
          <w:top w:w="28" w:type="dxa"/>
          <w:left w:w="28" w:type="dxa"/>
          <w:bottom w:w="28" w:type="dxa"/>
          <w:right w:w="28" w:type="dxa"/>
        </w:tblCellMar>
      </w:tblPr>
      <w:tblGrid>
        <w:gridCol w:w="2866"/>
        <w:gridCol w:w="146"/>
        <w:gridCol w:w="211"/>
        <w:gridCol w:w="571"/>
        <w:gridCol w:w="146"/>
        <w:gridCol w:w="146"/>
        <w:gridCol w:w="211"/>
        <w:gridCol w:w="571"/>
        <w:gridCol w:w="146"/>
        <w:gridCol w:w="146"/>
        <w:gridCol w:w="211"/>
        <w:gridCol w:w="571"/>
        <w:gridCol w:w="146"/>
        <w:gridCol w:w="146"/>
        <w:gridCol w:w="211"/>
        <w:gridCol w:w="57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91" w:type="dxa"/>
            <w:tcBorders/>
            <w:shd w:fill="CFF0FC" w:val="cle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w:t>
      </w:r>
    </w:p>
    <w:p>
      <w:pPr>
        <w:pStyle w:val="TextBody"/>
        <w:bidi w:val="0"/>
        <w:jc w:val="left"/>
        <w:rPr>
          <w:rFonts w:ascii="Times New Roman" w:hAnsi="Times New Roman"/>
          <w:b/>
          <w:color w:val="000000"/>
          <w:sz w:val="20"/>
        </w:rPr>
      </w:pPr>
      <w:r>
        <w:rPr>
          <w:rFonts w:ascii="Times New Roman" w:hAnsi="Times New Roman"/>
          <w:b/>
          <w:color w:val="000000"/>
          <w:sz w:val="20"/>
        </w:rPr>
        <w:t xml:space="preserve">Stockholders' Equity </w:t>
      </w:r>
    </w:p>
    <w:p>
      <w:pPr>
        <w:pStyle w:val="TextBody"/>
        <w:bidi w:val="0"/>
        <w:spacing w:before="120" w:after="283"/>
        <w:jc w:val="left"/>
        <w:rPr>
          <w:color w:val="000000"/>
        </w:rPr>
      </w:pPr>
      <w:r>
        <w:rPr>
          <w:color w:val="000000"/>
        </w:rPr>
        <w:t>“</w:t>
      </w:r>
      <w:r>
        <w:rPr>
          <w:rFonts w:ascii="Times New Roman" w:hAnsi="Times New Roman"/>
          <w:b/>
          <w:i/>
          <w:color w:val="000000"/>
          <w:sz w:val="20"/>
        </w:rPr>
        <w:t>At-the-Market” Equity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10, 2022, the Company entered into a sales agreement (Sales Agreement) with Leerink Partners LLC (formerly SVB Securities LLC) to establish an at-the-market (ATM) offering defined in Rule 415 under the Securities Act. Pursuant to the Sales Agreement, the Company is permitted to offer and sell, from time to time, shares of its common stock having a maximum aggregate offering price of up to $75.0 million. As of June 30, 2024, the Company may issue and sell up to approximately $71.0 million in additional shares of its common stock under the ATM.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Follow-On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12, 2024, the Company completed an underwritten offering of 8,888,890 shares of its common stock at a price of $4.50 per share and, to an investor in lieu of common stock, pre-funded warrants to purchase 2,222,271 shares of its common stock at a price of $4.499 per each pre-funded warrant. The pre-funded warrants can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exercised at any time after issuance for an exercise price of $0.001 per share, subject to certain ownership limitations. The Company received net proceeds of approximately $46.8 million, after deducting underwriting discounts and commissions of approximately $3.0 million and offering expenses of $0.2 million.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2024, total shares of common stock reserved for issuance, on an as-if converted basis, are as follows:</w:t>
      </w:r>
    </w:p>
    <w:tbl>
      <w:tblPr>
        <w:tblW w:w="8475" w:type="dxa"/>
        <w:jc w:val="left"/>
        <w:tblInd w:w="0" w:type="dxa"/>
        <w:tblLayout w:type="fixed"/>
        <w:tblCellMar>
          <w:top w:w="28" w:type="dxa"/>
          <w:left w:w="28" w:type="dxa"/>
          <w:bottom w:w="28" w:type="dxa"/>
          <w:right w:w="28" w:type="dxa"/>
        </w:tblCellMar>
      </w:tblPr>
      <w:tblGrid>
        <w:gridCol w:w="6856"/>
        <w:gridCol w:w="146"/>
        <w:gridCol w:w="146"/>
        <w:gridCol w:w="1036"/>
        <w:gridCol w:w="291"/>
      </w:tblGrid>
      <w:tr>
        <w:trPr/>
        <w:tc>
          <w:tcPr>
            <w:tcW w:w="6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8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and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12,073,489</w:t>
            </w:r>
          </w:p>
        </w:tc>
        <w:tc>
          <w:tcPr>
            <w:tcW w:w="291" w:type="dxa"/>
            <w:tcBorders/>
            <w:shd w:fill="CFF0FC"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pre-funded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7,104,853</w:t>
            </w:r>
          </w:p>
        </w:tc>
        <w:tc>
          <w:tcPr>
            <w:tcW w:w="291" w:type="dxa"/>
            <w:tcBorders/>
            <w:shd w:fill="FFFFFF" w:val="clear"/>
            <w:vAlign w:val="center"/>
          </w:tcPr>
          <w:p>
            <w:pPr>
              <w:pStyle w:val="TableContents"/>
              <w:bidi w:val="0"/>
              <w:spacing w:before="0" w:after="283"/>
              <w:jc w:val="left"/>
              <w:rPr/>
            </w:pPr>
            <w:r>
              <w:rPr/>
              <w:t> </w:t>
            </w:r>
          </w:p>
        </w:tc>
      </w:tr>
      <w:tr>
        <w:trPr/>
        <w:tc>
          <w:tcPr>
            <w:tcW w:w="68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further issuance under the 2021 Equity Incentive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781,439</w:t>
            </w:r>
          </w:p>
        </w:tc>
        <w:tc>
          <w:tcPr>
            <w:tcW w:w="291" w:type="dxa"/>
            <w:tcBorders/>
            <w:shd w:fill="CFF0FC"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further issuance under the 2021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1,767,746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21,727,527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2024 and 2023, the Company did not record any income tax expense or benefit. The Company has recorded a full valuation allowance against its U.S. federal and state deferred tax assets as the Company believes it is more likely than not that the benefit will not be realized.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and diluted loss per share are computed by dividing net loss by the weighted-average number of common shares outstanding during the reporting period. Basic weighted-average shares of common stock outstanding includes the weighted-average effect of the Company’s outstanding pre-funded warrants.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potentially dilutive securities were not included in the calculation of diluted net loss per share as of the periods presented because the effect would have been anti-dilutive:</w:t>
      </w:r>
    </w:p>
    <w:tbl>
      <w:tblPr>
        <w:tblW w:w="7224" w:type="dxa"/>
        <w:jc w:val="left"/>
        <w:tblInd w:w="0" w:type="dxa"/>
        <w:tblLayout w:type="fixed"/>
        <w:tblCellMar>
          <w:top w:w="28" w:type="dxa"/>
          <w:left w:w="28" w:type="dxa"/>
          <w:bottom w:w="28" w:type="dxa"/>
          <w:right w:w="28" w:type="dxa"/>
        </w:tblCellMar>
      </w:tblPr>
      <w:tblGrid>
        <w:gridCol w:w="4336"/>
        <w:gridCol w:w="146"/>
        <w:gridCol w:w="146"/>
        <w:gridCol w:w="1036"/>
        <w:gridCol w:w="146"/>
        <w:gridCol w:w="146"/>
        <w:gridCol w:w="146"/>
        <w:gridCol w:w="931"/>
        <w:gridCol w:w="1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and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12,073,489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9,484,387</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Subsequent Event</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On August 6, 2024, the Company entered into the Loan Agreement with SVB. Under the Loan Agreement, the Company has the right to draw down $15.0 million at its discretion, up to an additional $10.0 million upon the satisfaction of certain milestones and up to an additional $20.0 million that may be available at SVB's discretion, subject to specified conditions.</w:t>
      </w:r>
    </w:p>
    <w:p>
      <w:pPr>
        <w:pStyle w:val="TextBody"/>
        <w:bidi w:val="0"/>
        <w:spacing w:before="120" w:after="283"/>
        <w:jc w:val="left"/>
        <w:rPr>
          <w:rFonts w:ascii="Times New Roman" w:hAnsi="Times New Roman"/>
          <w:sz w:val="20"/>
        </w:rPr>
      </w:pPr>
      <w:r>
        <w:rPr>
          <w:rFonts w:ascii="Times New Roman" w:hAnsi="Times New Roman"/>
          <w:color w:val="212529"/>
          <w:sz w:val="20"/>
        </w:rPr>
        <w:t>In connection with the Loan Agreement, the Company issued to SVB a warrant to purchase shares of our common stock. The warrant is exercisable for 73,649 shares upon closing, which represents 0.075</w:t>
      </w:r>
      <w:r>
        <w:rPr>
          <w:rFonts w:ascii="Times New Roman" w:hAnsi="Times New Roman"/>
          <w:color w:val="000000"/>
          <w:sz w:val="20"/>
        </w:rPr>
        <w:t>% of our common stock and common stock equivalents outstanding as of June 30, 2024, on a fully-diluted basis,</w:t>
      </w:r>
      <w:r>
        <w:rPr>
          <w:rFonts w:ascii="Times New Roman" w:hAnsi="Times New Roman"/>
          <w:color w:val="212529"/>
          <w:sz w:val="20"/>
        </w:rPr>
        <w:t xml:space="preserve"> at an exercise price of $2.55 per share. The warrant becomes exercisable for up to an additional 98,199 shares pro-rated based on amounts actually advanced for the various tranches under the Loan Agreement. The warrant expires on August 6, 2034.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condensed financial statements and related notes included elsewhere in this Quarterly Report on Form 10-Q and our audited financial statements and related notes thereto for the year ended December 31, 2023, included in our Annual Report on Form 10-K filed with the Securities and Exchange Commission on March 18, 2024, or Annual Report.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 addition to historical financial information, this discussion and analysis and other parts of this report contain forward-looking statements within the meaning of Section 27A of the Securities Act of 1933, as amended (the Securities Act), and Section 21E of the Securities Exchange Act of 1934, as amended, based upon current expectations that involve risks, uncertainties and assumptions. Our actual results could differ materially from those anticipated in these forward-looking statements as a result of various factors, including those set forth in the section titled “Risk Factors” under Part II, Item 1A. below. You should carefully read the “Risk Factors” to gain an understanding of the factors that could cause actual results to differ materially from our forward-looking statements. Please also see the section titled “Special Note Regarding Forward-Looking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advancing a deep and diverse pipeline of disease-modifying therapies that includes both gene therapies and small molecules discovered internally and developed using our extensive core capabilities to target patients with rare or highly prevalent forms of heart disease. All of our programs are currently being assessed in clinical trials or are in the preclinical stage; we do not have any products approved for sale and have not generated any revenue to date. </w:t>
      </w:r>
    </w:p>
    <w:p>
      <w:pPr>
        <w:pStyle w:val="TextBody"/>
        <w:bidi w:val="0"/>
        <w:spacing w:before="120" w:after="283"/>
        <w:jc w:val="left"/>
        <w:rPr>
          <w:rFonts w:ascii="Times New Roman" w:hAnsi="Times New Roman"/>
          <w:sz w:val="20"/>
        </w:rPr>
      </w:pPr>
      <w:r>
        <w:rPr>
          <w:rFonts w:ascii="Times New Roman" w:hAnsi="Times New Roman"/>
          <w:color w:val="000000"/>
          <w:sz w:val="20"/>
        </w:rPr>
        <w:t>Our lead investigational product candidates are TN-201, a gene therapy for myosin binding protein C3 (</w:t>
      </w:r>
      <w:r>
        <w:rPr>
          <w:rFonts w:ascii="Times New Roman" w:hAnsi="Times New Roman"/>
          <w:i/>
          <w:color w:val="000000"/>
          <w:sz w:val="20"/>
        </w:rPr>
        <w:t>MYBPC3)</w:t>
      </w:r>
      <w:r>
        <w:rPr>
          <w:rFonts w:ascii="Times New Roman" w:hAnsi="Times New Roman"/>
          <w:color w:val="000000"/>
          <w:sz w:val="20"/>
        </w:rPr>
        <w:t>-associated hypertrophic cardiomyopathy (HCM), TN-401, a gene therapy for plakophilin 2 (</w:t>
      </w:r>
      <w:r>
        <w:rPr>
          <w:rFonts w:ascii="Times New Roman" w:hAnsi="Times New Roman"/>
          <w:i/>
          <w:color w:val="000000"/>
          <w:sz w:val="20"/>
        </w:rPr>
        <w:t>PKP2)</w:t>
      </w:r>
      <w:r>
        <w:rPr>
          <w:rFonts w:ascii="Times New Roman" w:hAnsi="Times New Roman"/>
          <w:color w:val="000000"/>
          <w:sz w:val="20"/>
        </w:rPr>
        <w:t>-associated arrhythmogenic right ventricular cardiomyopathy (ARVC), and TN-301, a small molecule for heart failure with preserved ejection fraction (HFpEF).</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TN-201 is our potential first-in-class and best-in-class gene therapy for adults and children with HCM due to </w:t>
      </w:r>
      <w:r>
        <w:rPr>
          <w:rFonts w:ascii="Times New Roman" w:hAnsi="Times New Roman"/>
          <w:i/>
          <w:color w:val="000000"/>
          <w:sz w:val="20"/>
        </w:rPr>
        <w:t>MYBPC3</w:t>
      </w:r>
      <w:r>
        <w:rPr>
          <w:rFonts w:ascii="Times New Roman" w:hAnsi="Times New Roman"/>
          <w:color w:val="000000"/>
          <w:sz w:val="20"/>
        </w:rPr>
        <w:t xml:space="preserve"> gene mutations. These mutations result in a deficiency of myosin binding protein, which in turn can cause the heart walls of affected individuals to become significantly thickened, leading to fibrosis, abnormal heart rhythms, cardiac dysfunction and heart failure. HCM is a chronic, progressive condition and those diagnosed with the disease often experience significant impairment in overall quality of life and may be at higher risk for serious complications and co-morbidities. TN-201 utilizes a recombinant adeno-associated virus serotype 9 (AAV9) capsid to deliver a working </w:t>
      </w:r>
      <w:r>
        <w:rPr>
          <w:rFonts w:ascii="Times New Roman" w:hAnsi="Times New Roman"/>
          <w:i/>
          <w:color w:val="000000"/>
          <w:sz w:val="20"/>
        </w:rPr>
        <w:t xml:space="preserve">MYBPC3 </w:t>
      </w:r>
      <w:r>
        <w:rPr>
          <w:rFonts w:ascii="Times New Roman" w:hAnsi="Times New Roman"/>
          <w:color w:val="000000"/>
          <w:sz w:val="20"/>
        </w:rPr>
        <w:t xml:space="preserve">gene to specific cells of the heart in order to produce cardiac myosin binding protein and thereby slow or even reverse the course of </w:t>
      </w:r>
      <w:r>
        <w:rPr>
          <w:rFonts w:ascii="Times New Roman" w:hAnsi="Times New Roman"/>
          <w:i/>
          <w:color w:val="000000"/>
          <w:sz w:val="20"/>
        </w:rPr>
        <w:t>MYBPC3</w:t>
      </w:r>
      <w:r>
        <w:rPr>
          <w:rFonts w:ascii="Times New Roman" w:hAnsi="Times New Roman"/>
          <w:color w:val="000000"/>
          <w:sz w:val="20"/>
        </w:rPr>
        <w:t>-associated HCM following a single infusion. In October 2023, we began dosing patients in the MyPEAK</w:t>
      </w:r>
      <w:r>
        <w:rPr>
          <w:rFonts w:ascii="Times New Roman" w:hAnsi="Times New Roman"/>
          <w:color w:val="000000"/>
          <w:sz w:val="13"/>
        </w:rPr>
        <w:t>TM</w:t>
      </w:r>
      <w:r>
        <w:rPr>
          <w:rFonts w:ascii="Times New Roman" w:hAnsi="Times New Roman"/>
          <w:color w:val="000000"/>
          <w:sz w:val="20"/>
        </w:rPr>
        <w:t>-1 Phase 1b multi-center, open-label clinical trial, designed to assess the safety, tolerability and efficacy of a one-time intravenous infusion of TN-201. MyPEAK-1 is actively enrolling patients at several U.S. clinical sites and initial data from the trial is anticipated in the second half of 2024.</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 support our development efforts for TN-201 we are conducting two noninterventional studies: a study evaluating seroprevalence to AAV9 antibodies among adults with </w:t>
      </w:r>
      <w:r>
        <w:rPr>
          <w:rFonts w:ascii="Times New Roman" w:hAnsi="Times New Roman"/>
          <w:i/>
          <w:color w:val="000000"/>
          <w:sz w:val="20"/>
        </w:rPr>
        <w:t>MYBPC3</w:t>
      </w:r>
      <w:r>
        <w:rPr>
          <w:rFonts w:ascii="Times New Roman" w:hAnsi="Times New Roman"/>
          <w:color w:val="000000"/>
          <w:sz w:val="20"/>
        </w:rPr>
        <w:t xml:space="preserve">-associated HCM, and MyClimb, a prospective and retrospective global natural history study focused on pediatric patients with </w:t>
      </w:r>
      <w:r>
        <w:rPr>
          <w:rFonts w:ascii="Times New Roman" w:hAnsi="Times New Roman"/>
          <w:i/>
          <w:color w:val="000000"/>
          <w:sz w:val="20"/>
        </w:rPr>
        <w:t>MYBPC3</w:t>
      </w:r>
      <w:r>
        <w:rPr>
          <w:rFonts w:ascii="Times New Roman" w:hAnsi="Times New Roman"/>
          <w:color w:val="000000"/>
          <w:sz w:val="20"/>
        </w:rPr>
        <w:t xml:space="preserve"> mutation-associated cardiomyopathy. The seroprevalence study has completed enrollment and data is under analysis. The objective of the natural history study is to characterize the outcomes, burden of illness, risk factors, quality of life, and biomarkers associated with disease progression in pediatric patients with cardiomyopathy due to </w:t>
      </w:r>
      <w:r>
        <w:rPr>
          <w:rFonts w:ascii="Times New Roman" w:hAnsi="Times New Roman"/>
          <w:i/>
          <w:color w:val="000000"/>
          <w:sz w:val="20"/>
        </w:rPr>
        <w:t>MYBPC3</w:t>
      </w:r>
      <w:r>
        <w:rPr>
          <w:rFonts w:ascii="Times New Roman" w:hAnsi="Times New Roman"/>
          <w:color w:val="000000"/>
          <w:sz w:val="20"/>
        </w:rPr>
        <w:t xml:space="preserve"> gene mutations, as well as treatments and procedures. MyClimb complements existing disease registries focused primarily on adult patient HCM populations and may support and expedite the development of TN-201 in the pediatric patient population. In July 2024, we received rare pediatric disease designation from the FDA for TN-201 in </w:t>
      </w:r>
      <w:r>
        <w:rPr>
          <w:rFonts w:ascii="Times New Roman" w:hAnsi="Times New Roman"/>
          <w:i/>
          <w:color w:val="000000"/>
          <w:sz w:val="20"/>
        </w:rPr>
        <w:t>MYBPC3</w:t>
      </w:r>
      <w:r>
        <w:rPr>
          <w:rFonts w:ascii="Times New Roman" w:hAnsi="Times New Roman"/>
          <w:color w:val="000000"/>
          <w:sz w:val="20"/>
        </w:rPr>
        <w:t>-associated HCM. TN-201 has also been granted orphan drug designation from the FDA, orphan medicinal product designation from the European Commission (EC), and Fast Track Designation from the FDA.</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TN-401 is our potential first-in-class and best-in-class AAV9-based gene therapy for the treatment of ARVC due to disease-causing variants in the </w:t>
      </w:r>
      <w:r>
        <w:rPr>
          <w:rFonts w:ascii="Times New Roman" w:hAnsi="Times New Roman"/>
          <w:i/>
          <w:color w:val="000000"/>
          <w:sz w:val="20"/>
        </w:rPr>
        <w:t xml:space="preserve">PKP2 </w:t>
      </w:r>
      <w:r>
        <w:rPr>
          <w:rFonts w:ascii="Times New Roman" w:hAnsi="Times New Roman"/>
          <w:color w:val="000000"/>
          <w:sz w:val="20"/>
        </w:rPr>
        <w:t xml:space="preserve">gene. ARVC, also known as arrhythmogenic cardiomyopathy, or ACM,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is a chronic, progressive disease characterized by potentially dangerous and frequent ventricular arrhythmias. The disease is associated with significant impairment to patients’ overall quality of life, as well as an elevated risk of sudden cardiac death. </w:t>
      </w:r>
      <w:r>
        <w:rPr>
          <w:rFonts w:ascii="Times New Roman" w:hAnsi="Times New Roman"/>
          <w:i/>
          <w:color w:val="000000"/>
          <w:sz w:val="20"/>
        </w:rPr>
        <w:t>PKP2</w:t>
      </w:r>
      <w:r>
        <w:rPr>
          <w:rFonts w:ascii="Times New Roman" w:hAnsi="Times New Roman"/>
          <w:color w:val="000000"/>
          <w:sz w:val="20"/>
        </w:rPr>
        <w:t xml:space="preserve"> mutations are the most common genetic cause of ARVC and result in insufficient expression of a protein needed for proper functioning of the desmosomal complex that maintains physical connections and electrical signaling between heart muscle cells. </w:t>
      </w:r>
    </w:p>
    <w:p>
      <w:pPr>
        <w:pStyle w:val="TextBody"/>
        <w:bidi w:val="0"/>
        <w:spacing w:before="120" w:after="283"/>
        <w:jc w:val="left"/>
        <w:rPr>
          <w:rFonts w:ascii="Times New Roman" w:hAnsi="Times New Roman"/>
          <w:sz w:val="20"/>
        </w:rPr>
      </w:pPr>
      <w:r>
        <w:rPr>
          <w:rFonts w:ascii="Times New Roman" w:hAnsi="Times New Roman"/>
          <w:color w:val="000000"/>
          <w:sz w:val="20"/>
        </w:rPr>
        <w:t>In October 2023, the FDA provided clearance of our IND application to initiate clinical testing of TN-401. We plan to initiate patient dosing in RIDGE</w:t>
      </w:r>
      <w:r>
        <w:rPr>
          <w:rFonts w:ascii="Times New Roman" w:hAnsi="Times New Roman"/>
          <w:color w:val="000000"/>
          <w:sz w:val="13"/>
        </w:rPr>
        <w:t>TM</w:t>
      </w:r>
      <w:r>
        <w:rPr>
          <w:rFonts w:ascii="Times New Roman" w:hAnsi="Times New Roman"/>
          <w:color w:val="000000"/>
          <w:sz w:val="20"/>
        </w:rPr>
        <w:t xml:space="preserve">-1, our Phase 1b multi-center, open-label clinical trial, designed to assess the safety, tolerability and efficacy of a one-time intravenous infusion of TN-401, in the fourth quarter of 2024 and have activated multiple clinical trial sites at leading cardiology centers with ARVC expertise. We intend to expand enrollment of RIDGE-1 outside the U.S. and received approval from the United Kingdom Medicines and Healthcare Products Regulatory Agency, Research Ethics Committee and Health Research Authority for our TN-401 Clinical Trial Authorization in June 2024.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support of our development efforts for TN-401, we have initiated a global noninterventional study to collect treatment history and seroprevalence to AAV9 antibodies data among ARVC patients who carry pathogenic or likely pathogenic </w:t>
      </w:r>
      <w:r>
        <w:rPr>
          <w:rFonts w:ascii="Times New Roman" w:hAnsi="Times New Roman"/>
          <w:i/>
          <w:color w:val="000000"/>
          <w:sz w:val="20"/>
        </w:rPr>
        <w:t xml:space="preserve">PKP2 </w:t>
      </w:r>
      <w:r>
        <w:rPr>
          <w:rFonts w:ascii="Times New Roman" w:hAnsi="Times New Roman"/>
          <w:color w:val="000000"/>
          <w:sz w:val="20"/>
        </w:rPr>
        <w:t>gene mutations.TN-401 has received orphan drug designation from the FDA and orphan medicinal product designation from the EC, as well as Fast Track Designation from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TN-301 is our small molecule inhibitor of histone deacetylase-6 (HDAC6), initially being developed for the potential treatment of HFpEF. HFpEF is characterized by a stiffening of the heart muscle resulting in an inability for the left ventricle to relax and fill with oxygenated blood sufficient to meet the body’s needs. There are several cellular processes thought to underlie the pathophysiology of HFpEF, including increases in fibrosis and inflammation and defects in metabolism. Although HFpEF accounts for approximately half of all heart failures, there are few proven treatment options. </w:t>
      </w:r>
    </w:p>
    <w:p>
      <w:pPr>
        <w:pStyle w:val="TextBody"/>
        <w:bidi w:val="0"/>
        <w:spacing w:before="120" w:after="283"/>
        <w:jc w:val="left"/>
        <w:rPr>
          <w:rFonts w:ascii="Times New Roman" w:hAnsi="Times New Roman"/>
          <w:sz w:val="20"/>
        </w:rPr>
      </w:pPr>
      <w:r>
        <w:rPr>
          <w:rFonts w:ascii="Times New Roman" w:hAnsi="Times New Roman"/>
          <w:color w:val="000000"/>
          <w:sz w:val="20"/>
        </w:rPr>
        <w:t>In October 2023, 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In preclinical studies, selective HDAC6 inhibition has been shown to have comparable efficacy to empagliflozin, a sodium-glucose cotransporter-2 (SGLT2) inhibitor which is approved for the treatment of HFpEF and co-administration of our HDAC6 inhibition with a SGLT2 inhibitor demonstrated additive benefit. Taken together, these data support continued development of TN-301 as a potential treatment for patients with HFpEF. We believe late-stage clinical development of TN-301 is best suited for development by or with a well-resourced partner</w:t>
      </w:r>
      <w:r>
        <w:rPr>
          <w:rFonts w:ascii="Times New Roman" w:hAnsi="Times New Roman"/>
          <w:color w:val="333333"/>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lead product candidates, we have multiple early-stage programs progressing through preclinical development using various therapeutic approaches, including gene editing, cellular regeneration and gene addition to address other forms of rare and/or prevalent heart disease.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distinct suite of integrated capabilities supports our efforts to discover and develop disease-modifying treatments focused on heart disease. We also continue to invest in complementary new technologies and the optimization of our existing proprietary capabilities, including the use of human-iPSC disease models, machine learning and phenotypic screening, gene editing, capsid engineering and novel promoter constructs to enable the discovery, design, delivery and development of therapeutics that are best suited to a given cardiovascular condition. We have also internalized and integrated both current Good Manufacturing Practices (cGMP) and non-GMP AAV manufacturing capabilities to support our emerging portfolio of gene therapy and cellular regeneration product candidates. Our Genetic Medicines Manufacturing Center, a cGMP facility, is strategically located near our research labs in the San Francisco Bay Area to enable smooth scale-up of production to support our clinical studies and utilizes a modular, scalable design to produce AAV-based gene therapies under current GMP standards. We seek to build on existing proprietary capabilities with the aim of increasing the safety and efficacy of genetic medicines, accelerating early-stage discovery and preclinical optimization and reducing the overall cost of goods by increasing manufacturing productivity.</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 xml:space="preserve">In May 2024, we announced cost containment measures, including a committed plan to reduce our workforce (the Workforce Reduction) by approximately 22%, which was substantially completed in the second quarter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2024. The cost containment measures align with our focus on generating data from our clinical-stage gene therapy programs while maintaining our core capabilities in Research and Manufacturing.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2024 and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tbl>
      <w:tblPr>
        <w:tblW w:w="7260" w:type="dxa"/>
        <w:jc w:val="left"/>
        <w:tblInd w:w="0" w:type="dxa"/>
        <w:tblLayout w:type="fixed"/>
        <w:tblCellMar>
          <w:top w:w="28" w:type="dxa"/>
          <w:left w:w="28" w:type="dxa"/>
          <w:bottom w:w="28" w:type="dxa"/>
          <w:right w:w="28" w:type="dxa"/>
        </w:tblCellMar>
      </w:tblPr>
      <w:tblGrid>
        <w:gridCol w:w="2596"/>
        <w:gridCol w:w="146"/>
        <w:gridCol w:w="211"/>
        <w:gridCol w:w="736"/>
        <w:gridCol w:w="166"/>
        <w:gridCol w:w="146"/>
        <w:gridCol w:w="211"/>
        <w:gridCol w:w="736"/>
        <w:gridCol w:w="166"/>
        <w:gridCol w:w="146"/>
        <w:gridCol w:w="211"/>
        <w:gridCol w:w="631"/>
        <w:gridCol w:w="166"/>
        <w:gridCol w:w="146"/>
        <w:gridCol w:w="84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(12%)</w:t>
            </w:r>
          </w:p>
        </w:tc>
      </w:tr>
      <w:tr>
        <w:trPr/>
        <w:tc>
          <w:tcPr>
            <w:tcW w:w="2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ind w:left="0" w:right="0" w:firstLine="100"/>
              <w:jc w:val="center"/>
              <w:rPr/>
            </w:pPr>
            <w:r>
              <w:rPr/>
              <w:t> </w:t>
            </w:r>
          </w:p>
        </w:tc>
      </w:tr>
      <w:tr>
        <w:trPr/>
        <w:tc>
          <w:tcPr>
            <w:tcW w:w="25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(24%)</w:t>
            </w:r>
          </w:p>
        </w:tc>
      </w:tr>
      <w:tr>
        <w:trPr/>
        <w:tc>
          <w:tcPr>
            <w:tcW w:w="25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(50%)</w:t>
            </w:r>
          </w:p>
        </w:tc>
      </w:tr>
      <w:tr>
        <w:trPr/>
        <w:tc>
          <w:tcPr>
            <w:tcW w:w="2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account for a significant portion of our operating expenses. Research and development expenses relate primarily to discovery and development of our research programs, product candidates and proprietary platform technology,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 expenses include, among others, fees paid to contract research organizations (CROs) to execute preclinical studies and clinical trials on our behalf, consulting fees and fees related to licensing agreements. We do not allocate our costs by research program, product candidate or proprietary platform technology, as a significant amount of research and development expenses represent internal costs, which are deployed across our programs, product candidates, proprietary platform technology, and other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expense all research and development costs in the periods in which they are incurred. We enter into various agreements with CROs. Costs of certain research and development activities are recognized based on estimates from a number of factors, including an evaluation of the progress of the activities, as well as input from external service providers.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presented:</w:t>
      </w:r>
    </w:p>
    <w:tbl>
      <w:tblPr>
        <w:tblW w:w="8060" w:type="dxa"/>
        <w:jc w:val="left"/>
        <w:tblInd w:w="0" w:type="dxa"/>
        <w:tblLayout w:type="fixed"/>
        <w:tblCellMar>
          <w:top w:w="28" w:type="dxa"/>
          <w:left w:w="28" w:type="dxa"/>
          <w:bottom w:w="28" w:type="dxa"/>
          <w:right w:w="28" w:type="dxa"/>
        </w:tblCellMar>
      </w:tblPr>
      <w:tblGrid>
        <w:gridCol w:w="3696"/>
        <w:gridCol w:w="146"/>
        <w:gridCol w:w="211"/>
        <w:gridCol w:w="676"/>
        <w:gridCol w:w="146"/>
        <w:gridCol w:w="146"/>
        <w:gridCol w:w="211"/>
        <w:gridCol w:w="676"/>
        <w:gridCol w:w="146"/>
        <w:gridCol w:w="146"/>
        <w:gridCol w:w="211"/>
        <w:gridCol w:w="631"/>
        <w:gridCol w:w="166"/>
        <w:gridCol w:w="146"/>
        <w:gridCol w:w="706"/>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36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3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laboratory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3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Outside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3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6%</w:t>
            </w:r>
          </w:p>
        </w:tc>
      </w:tr>
      <w:tr>
        <w:trPr/>
        <w:tc>
          <w:tcPr>
            <w:tcW w:w="36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$22.6 million and $26.5 million for the three months ended June 30, 2024 and 2023, respectively. The year-over-year decrease of $3.8 million, or 14%,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$2.5 million in facility and laboratory costs, reflecting lower facility management fees and lower costs of supplies and materials as there were no IND-enabling activities in 2024;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decrease of $2.4 million in outside services reflecting lower costs for outside lab services as there were no IND-enabling activities in 2024, lower costs for clinical trial activities as we concluded our Phase 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clinical trial for TN-301 at the end of 2023, and lower costs for preclinical studies as we prioritize to focus on advancing our clinical-stage gene therapy programs; partially offset by</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$1.0 million in employee-related costs primarily driven by employee severance and continuing health insurance costs from the Workforce Reduction and higher stock-based compensation and salaries.</w:t>
      </w:r>
    </w:p>
    <w:p>
      <w:pPr>
        <w:pStyle w:val="TextBody"/>
        <w:bidi w:val="0"/>
        <w:spacing w:before="120" w:after="283"/>
        <w:jc w:val="left"/>
        <w:rPr>
          <w:rFonts w:ascii="Times New Roman" w:hAnsi="Times New Roman"/>
          <w:sz w:val="20"/>
        </w:rPr>
      </w:pPr>
      <w:r>
        <w:rPr>
          <w:rFonts w:ascii="Times New Roman" w:hAnsi="Times New Roman"/>
          <w:color w:val="000000"/>
          <w:sz w:val="20"/>
        </w:rPr>
        <w:t>The process of conducting the necessary research to advance through the clinical stages and ultimately obtain regulatory approval is costly and time-consuming, and the successful development of our product candidates is highly uncertain. As a result, we cannot reasonably estimate or know the nature, timing or estimated costs of the efforts that will be necessary to complete the development of, and obtain regulatory approval for, or when and to what extent we will generate revenue from the commercialization and sale of any of our product candidates. However, we expect our research and development expenses to generally remain flat for the remainder of 2024</w:t>
      </w:r>
      <w:r>
        <w:rPr>
          <w:rFonts w:ascii="Times New Roman" w:hAnsi="Times New Roman"/>
          <w:color w:val="4472C4"/>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property-related matters.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$8.2 million and $8.6 million for the three months ended June 30, 2024 and 2023, respectively. The year-over-year decrease of $0.5 million, or 5%, was primarily due to a decrease in professional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general and administrative expenses to generally remain flat for the remainder of 2024, as we continue to support our research and development activities and business development opportunities, and incur professional service fees. In addition, we will continue to incur legal, accounting, insurance and other expenses in operating our business as a public company, including costs associated with regulatory and compliance activities.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primarily consists of interest earned on our cash, cash equivalents and investment balances. The year-over-year decrease of $0.4 million was primarily due to lower cash, cash equivalents and investment balances.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for the three months ended June 30, 2024, was $29.4 million, compared to a net loss of $33.3 million for the three months ended June 30,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Six Months Ended June 30, 2024 and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tbl>
      <w:tblPr>
        <w:tblW w:w="7160" w:type="dxa"/>
        <w:jc w:val="left"/>
        <w:tblInd w:w="0" w:type="dxa"/>
        <w:tblLayout w:type="fixed"/>
        <w:tblCellMar>
          <w:top w:w="28" w:type="dxa"/>
          <w:left w:w="28" w:type="dxa"/>
          <w:bottom w:w="28" w:type="dxa"/>
          <w:right w:w="28" w:type="dxa"/>
        </w:tblCellMar>
      </w:tblPr>
      <w:tblGrid>
        <w:gridCol w:w="2596"/>
        <w:gridCol w:w="146"/>
        <w:gridCol w:w="211"/>
        <w:gridCol w:w="736"/>
        <w:gridCol w:w="166"/>
        <w:gridCol w:w="146"/>
        <w:gridCol w:w="211"/>
        <w:gridCol w:w="736"/>
        <w:gridCol w:w="166"/>
        <w:gridCol w:w="146"/>
        <w:gridCol w:w="211"/>
        <w:gridCol w:w="631"/>
        <w:gridCol w:w="166"/>
        <w:gridCol w:w="146"/>
        <w:gridCol w:w="74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4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46" w:type="dxa"/>
            <w:tcBorders/>
            <w:shd w:fill="CFF0FC" w:val="cle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ind w:left="0" w:right="0" w:firstLine="100"/>
              <w:jc w:val="center"/>
              <w:rPr/>
            </w:pPr>
            <w:r>
              <w:rPr/>
              <w:t> </w:t>
            </w:r>
          </w:p>
        </w:tc>
      </w:tr>
      <w:tr>
        <w:trPr/>
        <w:tc>
          <w:tcPr>
            <w:tcW w:w="259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(25%)</w:t>
            </w:r>
          </w:p>
        </w:tc>
      </w:tr>
      <w:tr>
        <w:trPr/>
        <w:tc>
          <w:tcPr>
            <w:tcW w:w="259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NM</w:t>
            </w:r>
          </w:p>
        </w:tc>
      </w:tr>
      <w:tr>
        <w:trPr/>
        <w:tc>
          <w:tcPr>
            <w:tcW w:w="2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presented:</w:t>
      </w:r>
    </w:p>
    <w:tbl>
      <w:tblPr>
        <w:tblW w:w="8080" w:type="dxa"/>
        <w:jc w:val="left"/>
        <w:tblInd w:w="0" w:type="dxa"/>
        <w:tblLayout w:type="fixed"/>
        <w:tblCellMar>
          <w:top w:w="28" w:type="dxa"/>
          <w:left w:w="28" w:type="dxa"/>
          <w:bottom w:w="28" w:type="dxa"/>
          <w:right w:w="28" w:type="dxa"/>
        </w:tblCellMar>
      </w:tblPr>
      <w:tblGrid>
        <w:gridCol w:w="3696"/>
        <w:gridCol w:w="146"/>
        <w:gridCol w:w="211"/>
        <w:gridCol w:w="676"/>
        <w:gridCol w:w="146"/>
        <w:gridCol w:w="146"/>
        <w:gridCol w:w="211"/>
        <w:gridCol w:w="676"/>
        <w:gridCol w:w="146"/>
        <w:gridCol w:w="146"/>
        <w:gridCol w:w="211"/>
        <w:gridCol w:w="631"/>
        <w:gridCol w:w="166"/>
        <w:gridCol w:w="146"/>
        <w:gridCol w:w="726"/>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36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3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laboratory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r>
      <w:tr>
        <w:trPr/>
        <w:tc>
          <w:tcPr>
            <w:tcW w:w="3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Outside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r>
        <w:trPr/>
        <w:tc>
          <w:tcPr>
            <w:tcW w:w="3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18%</w:t>
            </w:r>
          </w:p>
        </w:tc>
      </w:tr>
      <w:tr>
        <w:trPr/>
        <w:tc>
          <w:tcPr>
            <w:tcW w:w="36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$47.7 million and $52.1 million for the six months ended June 30, 2024 and 2023, respectively. The year-over-year decrease of $4.4 million, or 8%,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decrease of $4.7 million in facility and laboratory costs, reflecting lower facility management fees and lower costs of supplies and materials as there were no IND-enabling activities in 2024;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$1.9 million in outside services reflecting lower outside lab service fees as there were no IND-enabling activities in 2024, lower costs for clinical trial activities as we concluded our Phase 1 clinical trial for TN-301 at the end of 2023, and lower costs for preclinical studies as we prioritize to focus on advancing our clinical-stage gene therapy programs;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$2.0 million in employee-related costs primarily driven by employee severance and continuing health insurance costs from the Workforce Reduction and higher stock-based compensation and salaries.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flat and were $16.9 million and $16.7 million for the six months ended June 30,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general and administrative expenses to generally remain flat for the remainder of 2024, as we continue to support our research and development activities and business development opportunities, and incur professional service fees. In addition, we will continue to incur legal, accounting, insurance and other expenses in operating our business as a public company, including costs associated with regulatory and compliance activities.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primarily consists of interest earned on our cash, cash equivalents and investment balances. The year-over-year decrease of $1.0 million was primarily due to lower cash, cash equivalents and investment balances.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for the six months ended June 30, 2024, was $61.7 million, compared to a net loss of $65.0 million for the six months ended June 30,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generated any revenue and we have incurred significant net losses and negative cash flows from operations. From our inception through June 30, 2024, we have funded our operations primarily from the sale and issuance of our equity securities. As of June 30, 2024, we had cash, cash equivalents and investments in marketable securities of $99.3 million and an accumulated deficit of $464.9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Loan Agreement</w:t>
      </w:r>
    </w:p>
    <w:p>
      <w:pPr>
        <w:pStyle w:val="TextBody"/>
        <w:bidi w:val="0"/>
        <w:spacing w:before="120" w:after="283"/>
        <w:jc w:val="left"/>
        <w:rPr>
          <w:rFonts w:ascii="Times New Roman" w:hAnsi="Times New Roman"/>
          <w:sz w:val="20"/>
        </w:rPr>
      </w:pPr>
      <w:r>
        <w:rPr>
          <w:rFonts w:ascii="Times New Roman" w:hAnsi="Times New Roman"/>
          <w:color w:val="212529"/>
          <w:sz w:val="20"/>
        </w:rPr>
        <w:t xml:space="preserve">On August 6, 2024, we entered into a </w:t>
      </w:r>
      <w:r>
        <w:rPr>
          <w:rFonts w:ascii="Times New Roman" w:hAnsi="Times New Roman"/>
          <w:color w:val="000000"/>
          <w:sz w:val="20"/>
        </w:rPr>
        <w:t>Loan Agreement with Silicon Valley Bank (SVB), a division of First-Citizens Bank &amp; Trust Company (the Loan Agreement)</w:t>
      </w:r>
      <w:r>
        <w:rPr>
          <w:rFonts w:ascii="Times New Roman" w:hAnsi="Times New Roman"/>
          <w:color w:val="212529"/>
          <w:sz w:val="20"/>
        </w:rPr>
        <w:t xml:space="preserve">. Under the Loan Agreement, we have the right to draw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down $15.0 million at our discretion, up to an additional $10.0 million upon the satisfaction of certain milestones and up to an additional $20.0 million that may be available at SVB’s discretion, subject to specified conditions.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Follow-on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12, 2024, we completed an underwritten offering of 8,888,890 shares of its common stock at a price of $4.50 per share and, to an investor in lieu of common stock, pre-funded warrants to purchase 2,222,271 shares of its common stock at a price of $4.499 per pre-funded warrant under our registration statement on Form S-3 (File No. 333-266741). The pre-funded warrants can be exercised at any time after issuance for an exercise price of $0.001 per share, subject to certain ownership limitations. We received net proceeds of approximately $46.8 million, after deducting underwriting discounts and commissions of approximately $3.0 million and other offering expenses of approximately $0.2 million. </w:t>
      </w:r>
    </w:p>
    <w:p>
      <w:pPr>
        <w:pStyle w:val="TextBody"/>
        <w:bidi w:val="0"/>
        <w:spacing w:before="240" w:after="283"/>
        <w:jc w:val="both"/>
        <w:rPr>
          <w:color w:val="000000"/>
        </w:rPr>
      </w:pPr>
      <w:r>
        <w:rPr>
          <w:color w:val="000000"/>
        </w:rPr>
        <w:t>“</w:t>
      </w:r>
      <w:r>
        <w:rPr>
          <w:rFonts w:ascii="Times New Roman" w:hAnsi="Times New Roman"/>
          <w:b/>
          <w:i/>
          <w:color w:val="000000"/>
          <w:sz w:val="20"/>
        </w:rPr>
        <w:t>At-the-Market” Equity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10, 2022, we entered into a sales agreement (the Sales Agreement) with Leerink Partners LLC (formerly SVB Securities LLC). Pursuant to the Sales Agreement, we may sell from time to time up to an aggregate of $75.0 million of our common stock through an “at-the-market” (ATM) offering defined in Rule 415 under the Securities Act. The $75.0 million of common stock that may be offered, issued and sold under the Sales Agreement is included in the $300.0 million of securities that may be offered, issued and sold by us under our registration statement on Form S-3 (File No. 333-266741). As of June 30, 2024, we may issue and sell up to approximately $71.0 million in additional shares of our common stock under the ATM.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we will continue to incur operating losses over the foreseeable future. Our operating expenses are expected to remain relatively flat for the next twelve months but may increase in the future,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advance our lead gene therapy product candidates, TN-201 and TN-401;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the scope of our existing clinical trials and transition into late-stage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of any of our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commercial-scale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operational, financial, and information systems and personnel to support our future product development and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additional research programs and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preclinical studies and clinical trials for any additional product candidates we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our future product candidates into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develop, expand, enforce, defend and protect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operate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current operating plan, we believe that our existing cash, cash equivalents and investments in marketable securities will be sufficient to meet our working capital and capital expenditure needs through at least the next twelve months following the date of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may be adversely impacted by global economic conditions or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cash flows for each of the periods presented:</w:t>
      </w:r>
    </w:p>
    <w:tbl>
      <w:tblPr>
        <w:tblW w:w="7579" w:type="dxa"/>
        <w:jc w:val="left"/>
        <w:tblInd w:w="0" w:type="dxa"/>
        <w:tblLayout w:type="fixed"/>
        <w:tblCellMar>
          <w:top w:w="28" w:type="dxa"/>
          <w:left w:w="28" w:type="dxa"/>
          <w:bottom w:w="28" w:type="dxa"/>
          <w:right w:w="28" w:type="dxa"/>
        </w:tblCellMar>
      </w:tblPr>
      <w:tblGrid>
        <w:gridCol w:w="4836"/>
        <w:gridCol w:w="146"/>
        <w:gridCol w:w="211"/>
        <w:gridCol w:w="736"/>
        <w:gridCol w:w="166"/>
        <w:gridCol w:w="146"/>
        <w:gridCol w:w="211"/>
        <w:gridCol w:w="736"/>
        <w:gridCol w:w="391"/>
      </w:tblGrid>
      <w:tr>
        <w:trPr/>
        <w:tc>
          <w:tcPr>
            <w:tcW w:w="4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ind w:left="0" w:right="0" w:firstLine="100"/>
              <w:jc w:val="center"/>
              <w:rPr/>
            </w:pPr>
            <w:r>
              <w:rPr/>
              <w:t> </w:t>
            </w:r>
          </w:p>
        </w:tc>
      </w:tr>
      <w:tr>
        <w:trPr/>
        <w:tc>
          <w:tcPr>
            <w:tcW w:w="48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(56,510</w:t>
            </w:r>
          </w:p>
        </w:tc>
        <w:tc>
          <w:tcPr>
            <w:tcW w:w="3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3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33,146</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48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2024 was $52.3 million, which consisted primarily of a net loss of $61.7 million and a net change in operating assets and liabilities of $5.6 million, partially offset by $14.2 million in non-cash charges. The change in net operating assets and liabilities was primarily due to a decrease in accounts payable and accrued expenses and other current liabilities of $4.9 million and a decrease in operating lease liabilities of $2.2 million, partially offset by a decrease of prepaid expenses and other current assets of $1.1 million. Cash flows from operations are generally impacted by the timing of payments to vendors and vendor payment terms. The non-cash charges primarily consisted of stock-based compensation of $8.8 million and depreciation and amortization of $4.3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2023 was $56.5 million, which consisted primarily of a net loss of $65.0 million and a net change in operating assets and liabilities of $3.8 million, partially offset by $12.2 million in non-cash charges. The change in net operating assets and liabilities was primarily due to a decrease in operating lease liabilities of $2.0 million and a decrease in accounts payable and accrued expenses and other current liabilities of $1.8 million. Cash flows from operations are generally impacted by the timing of payments to vendors and vendor payment terms. The non-cash charges primarily consisted of stock-based compensation of $7.3 million and depreciation and amortization of $4.3 million.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six months ended June 30, 2024 was $17.1 million, which consisted primarily of proceeds from maturities of marketable securities of $52.2 million, partially offset by purchases of marketable securities of $34.5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six months ended June 30, 2023 was $33.1 million, which consisted primarily of proceeds from maturities of marketable securities of $75.0 million, partially offset by purchases of marketable securities of $41.0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2024 was $47.3 million, which primarily consisted of net proceeds from follow-on offering of $46.8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2023 was $3.7 million, which primarily consisted of proceeds from at-the-market sales of $3.9 million, partially offset by payments of accrued offering costs.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Other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there have been no material changes from the contractual obligations and commitments previously disclosed in our Annual Report on Form 10-K for the year ended December 31,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not engaged in any off-balance sheet arrangements as defined in the rules and regulations of the SEC.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our critical accounting policies and estimates is presented in Part II, Item 7 of our Annual Report on Form 10-K for the year ended December 31, 2023. There were no material changes to our critical accounting policies and estimates during the three and six months ended June 30,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to our unaudited interim condensed financial statements for more information about recent accounting pronouncements, the timing of their adoption, and our assessment, to the extent we have made one yet, of their potential impact on our financial condition of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a smaller reporting company, as defined by Rule 12b-2 under the Securities and Exchange Act of 1934 and in Item 10(f)(1) of Regulation S-K, and are not required to provide the information under this item.</w:t>
      </w:r>
    </w:p>
    <w:p>
      <w:pPr>
        <w:pStyle w:val="TextBody"/>
        <w:bidi w:val="0"/>
        <w:spacing w:before="24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Exchange Act Rules 13a-15(f) and 15d-15(f)) during the quarter ended June 30, 2024 that have materially affected, or are reasonably likely to materially affect, our internal control over financial reporting.</w:t>
      </w:r>
    </w:p>
    <w:p>
      <w:pPr>
        <w:pStyle w:val="TextBody"/>
        <w:bidi w:val="0"/>
        <w:spacing w:before="240" w:after="283"/>
        <w:jc w:val="left"/>
        <w:rPr>
          <w:rFonts w:ascii="Times New Roman" w:hAnsi="Times New Roman"/>
          <w:b/>
          <w:color w:val="212529"/>
          <w:sz w:val="20"/>
        </w:rPr>
      </w:pPr>
      <w:r>
        <w:rPr>
          <w:rFonts w:ascii="Times New Roman" w:hAnsi="Times New Roman"/>
          <w:b/>
          <w:color w:val="212529"/>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various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 </w:t>
      </w:r>
    </w:p>
    <w:p>
      <w:pPr>
        <w:pStyle w:val="TextBody"/>
        <w:bidi w:val="0"/>
        <w:spacing w:before="24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w:t>
      </w:r>
      <w:r>
        <w:rPr>
          <w:rFonts w:ascii="Times New Roman" w:hAnsi="Times New Roman"/>
          <w:color w:val="000000"/>
          <w:sz w:val="20"/>
        </w:rPr>
        <w:t xml:space="preserve"> </w:t>
      </w:r>
      <w:r>
        <w:rPr>
          <w:rFonts w:ascii="Times New Roman" w:hAnsi="Times New Roman"/>
          <w:b/>
          <w:color w:val="000000"/>
          <w:sz w:val="20"/>
        </w:rPr>
        <w:t>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 Factors Summary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ability to execute on our business strategy is subject to a number of risks and uncertainties, including those outside of our control, that could cause our actual results to be harmed, including risks regarding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early in our development efforts, with a limited operating history, and have no products approved for commercial sale, which may make it difficult for you to evaluate our current business and likelihood of success and future viability.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not generated any product revenue to date, have incurred significant net losses since our inception, and expect to continue to incur significant net losses for the foreseeable future.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generate revenue and achieve profitability depends significantly on our ability to achieve several objectives relating to the discovery, development and commercialization of our product candidates, if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Loan Agreement requires us to comply with specified operating covenants and places restrictions on our operating and financial flexibility.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mechanisms of action of our product candidates are unproven, and we do not know whether we will be able to develop any drug of commercial value.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Due to our limited manufacturing experience there can be no assurance that we will be able to successfully manufacture product candidates to support our clinical development and commercialization plans.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commercial success depends significantly on our ability to operate without infringing, misappropriating or otherwise violating the patents and other intellectual property and proprietary rights of third parties.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Our Financial Position, Need for Additional Capital and Limited Operating History</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We are early in our development efforts, with a limited operating history and have no products approved for commercial sale, which may make it difficult for you to evaluate our current business and likelihood of success and future viability.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limited experience conducting clinical trials, have no products approved for commercial sale and have not generated any revenue. We are developing therapies that address the underlying drivers of heart disease, which is an unproven and highly uncertain undertaking and involves a substantial degree of risk. Since our inception, we have devoted substantially all of our focus and financial resources to identifying and developing product candidates, conducting preclinical studies and clinical trials, developing our internal capabilities, acquiring technology, organizing and recruiting management and technical staff, business planning, establishing our intellectual property portfolio, raising capital, and providing general and administrative support for these operations. We have not yet demonstrated our ability to successfully complete any late-stage clinical trials, obtain marketing approvals, manufacture a late stage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have not generated any product revenue to date, have incurred significant net losses since our inception, and expect to continue to incur significant net losses for the foreseeable future.</w:t>
      </w:r>
    </w:p>
    <w:p>
      <w:pPr>
        <w:pStyle w:val="TextBody"/>
        <w:bidi w:val="0"/>
        <w:spacing w:before="120" w:after="283"/>
        <w:jc w:val="left"/>
        <w:rPr>
          <w:rFonts w:ascii="Times New Roman" w:hAnsi="Times New Roman"/>
          <w:sz w:val="20"/>
        </w:rPr>
      </w:pPr>
      <w:r>
        <w:rPr>
          <w:rFonts w:ascii="Times New Roman" w:hAnsi="Times New Roman"/>
          <w:color w:val="231F20"/>
          <w:sz w:val="20"/>
        </w:rPr>
        <w:t>We have incurred significant net losses since our inception, have not generated any product revenue to date and have financed our operations principally through issuances of our stock. As of June 30, 2024, we had an accumulated deficit of $464.9 million.</w:t>
      </w:r>
      <w:r>
        <w:rPr>
          <w:rFonts w:ascii="Times New Roman" w:hAnsi="Times New Roman"/>
          <w:color w:val="000000"/>
          <w:sz w:val="20"/>
        </w:rPr>
        <w:t xml:space="preserve"> </w:t>
      </w:r>
      <w:r>
        <w:rPr>
          <w:rFonts w:ascii="Times New Roman" w:hAnsi="Times New Roman"/>
          <w:color w:val="231F20"/>
          <w:sz w:val="20"/>
        </w:rPr>
        <w:t>Substantially all of our losses have resulted from expenses incurred in connection with our research and development programs, manufacturing activities and from general and administrative costs associated with our operations.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late-stage clinical development, where costs may increase significantly.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ability to generate revenue and achieve profitability depends significantly on our ability to achieve several objectives relating to the discovery, development and commercialization of our product candidates, if approved.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business depends on the successful research, development, manufacturing, regulatory approval and commercialization of product candidates that we discover. Our ability to generate revenue and achieve profitability depends significantly on our ability, or any future collaborator’s ability, to achieve several objectives,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successful and timely completion of preclinical and clinical development of product candidates and programs, including, but not limited to, generating sufficient data to support the initiation or continuation of clinical trials;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submission of INDs or other regulatory applications for our planned clinical trials, obtaining regulatory approval to commence clinical trials of our product candidates, and achieving favorable results from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establishing and maintaining relationships with CROs and clinical sites for the clinical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initiation and successful patient enrollment and completion of clinical trials on a timely basis;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acceptable frequency and severity of adverse events in the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efficacy and safety profiles that are satisfactory to the FDA or any comparable foreign regulatory authority for marketing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timely receipt of marketing approvals from applicable regulatory authorities for any product candidates for which we successfully complete clinical development;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complying with any required post-marketing approval commitments to applicable regulatory authorities;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operating a manufacturing facility and developing an efficient and scalable manufacturing process for our product candidates, and the timely manufacture of sufficient quantities of a product candidate for use in clinical trials and, if approved, commercialization;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successful commercial launch following any marketing approval, including the development of a commercial infrastructure, whether in-house or with one or more collaborators;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successful outputs from our capsid engineering and promotor and regulator elements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continued acceptable safety profile following any marketing approval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actual market-size, ability to identify patients and the demographics of patients eligible for our product candidates, which may be different than expected;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commercial acceptance of our product candidates by patients, the medical community and third-party payors;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ability to distribute our products to certain segments of the patient population only accessible through restricted or closed distribution channels;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satisfying any required post-marketing approval commitments to applicable regulatory authorities, and maintaining consistent quality, purity, and potency across clinical supplies and commercial supplies for any approved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identifying, assessing and developing new product candidates, and our ability to expand into multiple indications;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maintaining, and expanding patent and other intellectual property protection, trade secret protection and regulatory exclusivity, both in the U.S. and internationally;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protecting and enforcing our rights in our intellectual property portfolio;</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defending against third-party infringement, misappropriation, or other claims, if any;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entering into, on favorable terms, any collaboration, licensing or other arrangements that may be necessary or desirable to develop, manufacture or commercialize our product candidates and to meet our obligations set forth under such arrangements;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coverage and adequate reimbursement by third-party payors for our products and patients’ willingness to pay in the absence of such coverage and adequate reimbursement;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additional funding to develop, manufacture and commercialize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addressing any competing therapies and technological and market developments;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managing costs, including any unforeseen costs, that we may incur as a result of nonclinical study or clinical trial delays;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attracting, hiring and retaining qualified and key personnel including clinical, scientific, management and administrative personnel.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and continue our operations.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recent cost containment initiative, including our Workforce Reduction, may not result in the anticipated savings and could result in total costs and expenses that are greater than expected and could disrupt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14, 2024, in alignment with our focus on generating data from our clinical-stage gene therapy programs, we announced cost containment measures, including the Workforce Reduction, which impacted approximately 22% of our workforce.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cost containment initiative, including the Workforce Reduction, may be disruptive to our operations. For example, the Workforce Reduction could yield unanticipated consequences, such as attrition beyond planned staff reductions, the loss of institutional knowledge and expertise, increased difficulties in our day-to-day operations, reduced employee morale and diversion of our management and employee attention from other business priorities. The Workforce Reduction could also harm our ability to attract and retain qualified personnel who are critical to our business, make it difficult for us to pursue new opportunities and initiatives and require us to hire qualified replacement personnel. We also may be required to take additional cost-saving measures in the future, including those involving personnel, and we may incur severance and other related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excessive unanticipated inefficiencies or incremental costs in connection with the Workforce Reduction, we may be unable to meaningfully realize cost savings and we may incur expenses in excess of what we anticipate. If we are unable to realize the anticipated benefits from the Workforce Reduction and our other cost-saving measures, or if we experience significant adverse consequences from these measures, it could prevent us from meeting our strategic objectives and could adversely impact our results of operations and financial condition.</w:t>
      </w:r>
    </w:p>
    <w:p>
      <w:pPr>
        <w:pStyle w:val="TextBody"/>
        <w:bidi w:val="0"/>
        <w:spacing w:before="240" w:after="283"/>
        <w:jc w:val="left"/>
        <w:rPr>
          <w:rFonts w:ascii="Times New Roman" w:hAnsi="Times New Roman"/>
          <w:sz w:val="20"/>
        </w:rPr>
      </w:pPr>
      <w:r>
        <w:rPr>
          <w:rFonts w:ascii="Times New Roman" w:hAnsi="Times New Roman"/>
          <w:b/>
          <w:i/>
          <w:color w:val="231F20"/>
          <w:sz w:val="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the near- and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 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of June 30, 2024, we had $99.3 million in cash, cash equivalents and investments in marketable securities.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investments, declaring dividends or encumbering our assets to secure future indebtedness. Such restrictions, including those in our Loan Agreement, could adversely impact our ability to conduct our operations and execute our business plan.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240" w:after="283"/>
        <w:jc w:val="left"/>
        <w:rPr>
          <w:rFonts w:ascii="Times New Roman" w:hAnsi="Times New Roman"/>
          <w:sz w:val="20"/>
        </w:rPr>
      </w:pPr>
      <w:r>
        <w:rPr>
          <w:rFonts w:ascii="Times New Roman" w:hAnsi="Times New Roman"/>
          <w:b/>
          <w:i/>
          <w:color w:val="000000"/>
          <w:sz w:val="20"/>
          <w:u w:val="single"/>
        </w:rPr>
        <w:t>Our Loan Agreement requires us to comply with specified operating covenants and places restrictions on our operating and financial flexibility.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our Loan Agreement, we have the right to draw down $15.0 million at our discretion, up to an additional $10.0 million, subject to specified conditions, and up to an additional $20.0 million may be made available to us at the lender’s sole discretion. Our ability to draw down three tranche commitments totaling $10.0 million in the aggregate is subject to our achievement, as determined by SVB in its discretion, of certain clinical milestones and the receipt of specified proceeds from equity financings and other qualified fundings. Our ability to draw down an additional tranche of $20.0 million is subject to agreement on the terms and conditions thereof and SVB’s sole discretion. As security for our obligations under the Loan Agreement, we granted SVB a first priority security interest on substantially all of our assets (other than intellectual property), subject to certain exceptions. We intend to satisfy our future debt service obligations with our existing cash and cash equivalents. However, we may not have sufficient funds or may be unable to arrange for additional financing to pay the amounts due under our outstanding debt. Funds from external sources may not be available on acceptable terms,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Loan Agreement contains customary representations and warranties, events of default and affirmative and negative covenants, including covenants that limit or restrict our ability to, among other things, dispose of assets, make changes to our business, merge or consolidate, incur additional indebtedness, incur additional liens, pay dividends or other distributions or repurchase equity, make investments, and enter into certain transactions with affiliates, in each case subject to certain exceptions. These restrictive covenants could limit our flexibility in operating our business and our ability to pursue business opportunities that we or our stockholders may consider beneficial. In addition, a failure to comply with the conditions of our Loan Agreement, including a breach of any covenant, could limit our ability to draw upon available tranches or result in an event of default and an acceleration of any outstanding loans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an acceleration of amounts due under our Loan Agreement as a result of an event of default, including upon the occurrence of an event or circumstance that could be expected to have a material adverse effect on our business, operations, properties, assets or financial condition or a failure to pay any principal or interest due, we may not have sufficient funds or may be unable to arrange for additional financing to repay our indebtedness or to make any accelerated payments, and SVB could seek to enforce security interests in the collateral securing such indebtedness. Even if we are able to repay such accelerated debt amount under the Loan Agreement, the repayment of these sums may significantly reduce our working capital and impair our ability to operate as planned. As such, any declaration by SVB of an event of default could significantly harm our business and prospects and could cause the price of our common stock to decline. Further, if we are liquidated, SVB’s rights to repayment under the Loan Agreement would be senior to the rights of the holders of our common stock to receive any proceeds from the liquidation.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ability to utilize our net operating loss carryforwards and certain other tax attributes to offset future taxable income may be limited.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net operating loss (NOL) carryforwards may be unavailable to offset future taxable income because of restrictions on their use under U.S. tax law. 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experienced such ownership changes in the past, and we may experience ownership changes in the future as a result of subsequent shifts in our stock ownership, some of which are outside our control. In addition, the use of our NOLs and other tax attributes may be subject to other limitations under applicable law. For example, California has recently proposed a temporary suspension on the use of state NOLs in taxable years beginning in 2024, 2025 and 2026, which would adversely affect our company if we earn taxable income in the impacted tax years. Consequently, our ability to use our NOLs and certain other tax attributes may be limited.</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the Discovery, Development, Manufacturing and Commercialization of Our Product Candidates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Before we are able to generate any revenue from product sales, each of our programs and product candidates will require additional preclinical and/or clinical development, expansion of manufacturing capabilities and expertise,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If we are unable to optimize our manufacturing processes to produce product candidates that meet applicable regulatory standards, do not successfully initiate and complete our clinical trials in a timely manner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is a high failure rate for biopharmaceutical products proceeding through clinical trials. It is not uncommon for product candidates to exhibit unforeseen safety issues or inadequate efficacy when tested in humans 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pStyle w:val="TextBody"/>
        <w:bidi w:val="0"/>
        <w:spacing w:before="120" w:after="283"/>
        <w:jc w:val="left"/>
        <w:rPr>
          <w:rFonts w:ascii="Times New Roman" w:hAnsi="Times New Roman"/>
          <w:sz w:val="20"/>
        </w:rPr>
      </w:pPr>
      <w:r>
        <w:rPr>
          <w:rFonts w:ascii="Times New Roman" w:hAnsi="Times New Roman"/>
          <w:color w:val="231F20"/>
          <w:sz w:val="20"/>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Times New Roman" w:hAnsi="Times New Roman"/>
          <w:i/>
          <w:color w:val="231F20"/>
          <w:sz w:val="20"/>
        </w:rPr>
        <w:t>Our ability to generate revenue and achieve profitability depends significantly on our ability to achieve several objectives relating to the discovery, development and commercialization of our product candidates, if approved</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 and market additional product candidates. 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develop, obtain regulatory approval of, manufacture, commercialize or generate significant revenue from any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how much it will cost, or how likely it will be to obtain regulatory approvals for our product candidates in the U.S., EU or other jurisdictions.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requirements that will govern any novel gene therapy product candidate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or preclude regulatory approval of our product candidates. Moreover, there is substantial overlap in those responsible for regulation of existing gene therapy products and cell therapy products. For example, in the U.S.,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product candidates will need to meet safety and efficacy standards applicable to any new biologic under the regulatory framework administered by the FDA. In addition to FDA oversight and oversight by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clinical study sites receive NIH funding and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same applies in the European Union (EU). The EMA’s Committee for Advanced Therapies (CAT) is responsible for assessing the quality, safety, and efficacy of advanced-therapy medicinal products. Advanced-therapy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in the EU may be applied to any gene therapy product candidate we may develop, but that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remains uncertain at this point. Furthermore, approvals by the EMA may not be indicative of what the FDA may require for approval.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mechanisms of action of our product candidates are unproven, and we do not know whether we will be able to develop any drug of commercial value.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Preclinical and </w:t>
      </w:r>
      <w:r>
        <w:rPr>
          <w:rFonts w:ascii="Times New Roman" w:hAnsi="Times New Roman"/>
          <w:color w:val="231F20"/>
          <w:sz w:val="20"/>
        </w:rPr>
        <w:t xml:space="preserve">clinical testing is expensive, difficult to design and implement, can take many years to complete and its ultimate outcome is uncertain. We cannot guarantee that any of our preclinical studies or clinical trials will be initiated, conducted or completed on schedule or as planned, or at all. </w:t>
      </w:r>
      <w:r>
        <w:rPr>
          <w:rFonts w:ascii="Times New Roman" w:hAnsi="Times New Roman"/>
          <w:color w:val="000000"/>
          <w:sz w:val="20"/>
        </w:rPr>
        <w:t xml:space="preserve">Failure can occur at any stage of testing. </w:t>
      </w:r>
      <w:r>
        <w:rPr>
          <w:rFonts w:ascii="Times New Roman" w:hAnsi="Times New Roman"/>
          <w:color w:val="231F20"/>
          <w:sz w:val="20"/>
        </w:rPr>
        <w:t>Such failure may result from a multitude of factors, including, among other things, flaws in study design, dose selection issues, placebo effects, patient enrollment criteria, novel assay design and failure to demonstrate favorable safety or efficacy traits, which could delay or prevent the submission of an IND or CTA, initiation of a clinical trial, receipt of marketing approval or our ability to commercialize our product candidates, or require us to suspended or terminate further development of our product candidates. Moreover,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w:t>
      </w:r>
      <w:r>
        <w:rPr>
          <w:rFonts w:ascii="Times New Roman" w:hAnsi="Times New Roman"/>
          <w:color w:val="000000"/>
          <w:sz w:val="20"/>
        </w:rPr>
        <w:t xml:space="preserve"> </w:t>
      </w:r>
      <w:r>
        <w:rPr>
          <w:rFonts w:ascii="Times New Roman" w:hAnsi="Times New Roman"/>
          <w:color w:val="231F20"/>
          <w:sz w:val="20"/>
        </w:rPr>
        <w:t>we cannot assure you that any preclinical studies, clinical trials or post-marketing studies that we conduct will demonstrate consistent or adequate efficacy and safety to support marketing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Further, FDA and other regulatory authorities may implement new policies and regulations on clinical trials. For example, the EU Clinical Trials Regulation (CTR), which repealed the EU Clinical Trials Directive, became applicable on January 31, 2022, and provided a three-year transition period. The CTR streamlined the processes for applying for authorization and supervision of clinical trials in the EU. Any clinical trial we initiate in the EU in the future will become subject to the provisions of the CTR. Trials we initiate in the United Kingdom are also subject to regulatory requirements and policies of the Medicines and Healthcare products Regulatory Agency (MHRA). Compliance with the CTR and/or MHRA requirements by us, our collaborators and third-party service providers, such as contract research organizations, may increase our clinical trial costs and impact the timeline of our development plans. If we are slow or unable to adapt to changes in clinical trial requirements or the adoption of new requirements or policies governing clinical trials, our development plans may be negatively impacted.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FDA or comparable regulatory authorities to require additional testing before approving any of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experience numerous unforeseen events during, or as a result of, preclinical studies, clinical trials or post-marketing studies that could delay or prevent receipt of marketing approval or our ability to commercialize our product candidates, including:</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inability to generate sufficient preclinical, toxicology, or other </w:t>
      </w:r>
      <w:r>
        <w:rPr>
          <w:rFonts w:ascii="Times New Roman" w:hAnsi="Times New Roman"/>
          <w:i/>
          <w:color w:val="231F20"/>
          <w:sz w:val="20"/>
        </w:rPr>
        <w:t xml:space="preserve">in vivo </w:t>
      </w:r>
      <w:r>
        <w:rPr>
          <w:rFonts w:ascii="Times New Roman" w:hAnsi="Times New Roman"/>
          <w:color w:val="231F20"/>
          <w:sz w:val="20"/>
        </w:rPr>
        <w:t xml:space="preserve">or </w:t>
      </w:r>
      <w:r>
        <w:rPr>
          <w:rFonts w:ascii="Times New Roman" w:hAnsi="Times New Roman"/>
          <w:i/>
          <w:color w:val="231F20"/>
          <w:sz w:val="20"/>
        </w:rPr>
        <w:t xml:space="preserve">in vitro </w:t>
      </w:r>
      <w:r>
        <w:rPr>
          <w:rFonts w:ascii="Times New Roman" w:hAnsi="Times New Roman"/>
          <w:color w:val="231F20"/>
          <w:sz w:val="20"/>
        </w:rPr>
        <w:t>data to support the initiation of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sufficiently developing, characterizing or controlling a manufacturing process suitable for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receipt of feedback from regulatory authorities that requires us to modify the design of our preclinical or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preclinical study or clinical trial observations or results that require us to modify the design of our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negative or inconclusive preclinical study or clinical trial results that may require us to conduct additional preclinical studies or clinical trials or abandon certain research and/or drug development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extended IRB, IBC and/or EC review process, or inability to obtain approval from one or more of these committees;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number of patients required for clinical trials being larger than anticipated, enrollment in these clinical trials being slower than anticipated, participants dropping out of these clinical trials at a higher rate than anticipated, or more patients failing to meet eligibility criteria than anticipated;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failure or delay in reaching an agreement with CROs and clinical trial sites;</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the suspension or termination of our clinical trials, as a result of </w:t>
      </w:r>
      <w:r>
        <w:rPr>
          <w:rFonts w:ascii="Times New Roman" w:hAnsi="Times New Roman"/>
          <w:color w:val="000000"/>
          <w:sz w:val="20"/>
        </w:rPr>
        <w:t>a clinical hold by regulatory authorities or a voluntary pause,</w:t>
      </w:r>
      <w:r>
        <w:rPr>
          <w:color w:val="231F20"/>
        </w:rPr>
        <w:t xml:space="preserve"> </w:t>
      </w:r>
      <w:r>
        <w:rPr>
          <w:rFonts w:ascii="Times New Roman" w:hAnsi="Times New Roman"/>
          <w:color w:val="231F20"/>
          <w:sz w:val="20"/>
        </w:rPr>
        <w:t>for various reasons, including a finding that our product candidates have undesirable side effects or other unfavorable or unexpected characteristics or risks or non-compliance with regulatory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changes to clinical trial protocol;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clinical sites deviating from trial protocol or dropping out of a trial;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costs of preclinical studies or clinical trials being greater than anticipated;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supply or quality of our product candidates or other materials necessary to conduct clinical trials of our product candidates being insufficient or inadequate or slower than anticipated;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subjects experiencing serious, severe, unexpected or otherwise important drug-related or study-related adverse effects;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selection of clinical end points that require prolonged periods of clinical observation or analysis of the resulting data;</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inaccurate clinical data entry or reporting by clinical sites;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variability of efficacy assessments;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facility manufacturing our product candidates or any of their components being ordered by the FDA or comparable foreign regulatory authorities to temporarily or permanently shut down due to violations of cGMPs, regulations or other applicable requirements, or infections or cross-contaminations of product candidates in the manufacturing process;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changes to our manufacturing process that may be necessary or desired;</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third-party contractors not performing data collection or analysis in a timely or accurate manner;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regulators revising the requirements for approving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 unsuccessful post-marketing study or failure to complete such a study;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absence in some countries of established groups with sufficient regulatory expertise for review of AAV gene therapy protocols;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potential burden of complying with a variety of foreign laws, medical standards and regulatory requirements, including the regulation of pharmaceutical and biotechnology products and treatment.</w:t>
      </w:r>
    </w:p>
    <w:p>
      <w:pPr>
        <w:pStyle w:val="TextBody"/>
        <w:bidi w:val="0"/>
        <w:spacing w:before="120" w:after="283"/>
        <w:jc w:val="left"/>
        <w:rPr>
          <w:rFonts w:ascii="Times New Roman" w:hAnsi="Times New Roman"/>
          <w:sz w:val="20"/>
        </w:rPr>
      </w:pPr>
      <w:r>
        <w:rPr>
          <w:rFonts w:ascii="Times New Roman" w:hAnsi="Times New Roman"/>
          <w:color w:val="231F20"/>
          <w:sz w:val="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more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trials, such as bridging studies and additional safety studies before we can commence our clinical trials in pediatric populations. The FDA or other health authorities may require us to complete studies in adults prior to initiating testing in children. Any delays in our planned clinical development activities for pediatric patients could have an adverse effect on our business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231F20"/>
          <w:sz w:val="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w:t>
      </w:r>
      <w:r>
        <w:rPr>
          <w:rFonts w:ascii="Times New Roman" w:hAnsi="Times New Roman"/>
          <w:color w:val="000000"/>
          <w:sz w:val="20"/>
        </w:rPr>
        <w:t>mitting an IND, initiating clinical trials or seek</w:t>
      </w:r>
      <w:r>
        <w:rPr>
          <w:rFonts w:ascii="Times New Roman" w:hAnsi="Times New Roman"/>
          <w:color w:val="231F20"/>
          <w:sz w:val="20"/>
        </w:rPr>
        <w:t xml:space="preserve">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foreign regulatory authority, as the case may be, and may ultimately lead to the denial of marketing approval of one or more of our product candidates, which may harm our business, financial condition and prospects significantly.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pStyle w:val="TextBody"/>
        <w:bidi w:val="0"/>
        <w:spacing w:before="120" w:after="283"/>
        <w:jc w:val="left"/>
        <w:rPr>
          <w:rFonts w:ascii="Times New Roman" w:hAnsi="Times New Roman"/>
          <w:sz w:val="20"/>
        </w:rPr>
      </w:pPr>
      <w:r>
        <w:rPr>
          <w:rFonts w:ascii="Times New Roman" w:hAnsi="Times New Roman"/>
          <w:color w:val="000000"/>
          <w:sz w:val="20"/>
        </w:rPr>
        <w:t>We are developing novel therapies for the treatment of heart disease. As a result, there is uncertainty as to the safety profile of product candidates we may develop. Patients in our clinical trials have suffered and may continue to suffer adverse events, including serious adverse events or other side effects, including those not observed in our preclinical studies or previous clinical trials. Patients treated with our product candidates may also be undergoing other therapies or procedures which can cause side effects or adverse events that are unrelated to our product candidates but may still impact the success of our clinical trials. The inclusion of critically ill patients in our clinical trials may result in deaths or other adverse medical events, either during the course of or after participating in such trials. These events may be due to one or more factors, including, without limitation, other therapies or medications that such patients may be using, the drug product formulation of our product candidates, complications arising from protocol regimens, the method of delivery of our product candidates or simply due to the gravity of such patients’ illnesses. In some cases, it may not be clear if an adverse event is due to the product candidate, another therapy, the underlying disease, or another cause, and causality may be incorrectly attributed to the product candidate</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Serious adverse events or other side effects observed in any of our clinical trials, or similar trials by other sponsors, may result in difficulty recruiting patients to the clinical trials, cause patients to drop out of our trials, or require that we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or that the expected benefit does not justify the risk. Some potential therapeutics developed in the biotechnology industry that initially showed therapeutic promise in early-stage trials have later been found to cause side effects that prevented their further development. There is no guarantee that our product candidates will not have side effects similar to those seen in other gene therapies or that we will be able to prevent such side effects from escalating to an unsafe level for our patients.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general public for any indication. We cannot predict whether our product candidates will cause toxicities in humans that would preclude regulatory approval, of if approved, lead to the revocation of regulatory approval based on preclinical studies or early-stage clinical trials.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safety, which could delay regulatory approval, limit the size of the patient population to which we may market our product candidates, or prevent regulatory approval.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 and success in one trial does not ensure success in the next.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know whether any clinical trials we may conduct will demonstrate consistent or adequate efficacy and safety sufficient to obtain approval to market any of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experience delays or difficulties in the enrollment and/or maintenance of patients in clinical trials, our regulatory submissions or receipt of necessary marketing approvals could be delayed or prevented.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not be able to initiate or continue clinical trials for our product candidates if we are unable to locate and enroll a sufficient number of eligible patients to participate in these trials to such trial’s conclusion. Patient enrollment and retention are significant factors in the timing of clinical trials and our ability to enroll eligible patients may be limited or slower than we anticipate.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developing product candidates for the treatment of heart disease, including for certain indications, such as rare genetic diseases, that have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 Patients also have the right to withdraw from our clinical trials for any reason. Additionally, the FDA, EMA or other comparable foreign regulatory authorities may require long-term follow-up assessments for a certain number of patients, which could delay marketing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clinical trials has been and may continue to be affected by other factors,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size and nature of the patient population;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perceived risks and benefits of novel, unproven approaches;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severity of the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availability and efficacy of approved drugs for the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ongoing clinical trials evaluating other product candidates in the same disease under investigation;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patient eligibility criteria for the trial in question as defined in the protocol;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perceived risks and benefits of the product candidate under study;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patient referral practices of physicians;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challenges associated with recruiting eligible patients;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ability to monitor patients adequately during and after treatment;</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activities of key opinion leaders (KOLs) and patient advocacy groups;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proximity and availability of clinical trial sites for prospective patients and the ability of patients to travel to these sites;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burden of the study protocol on patients, including conflicts with their work, family and personal activities;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risk that patients enrolled in clinical trials will drop out of the trials before completion or, because they may have an advanced disease, will not survive the full terms of the clinical trials.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Due to the significant resources required for the development of product candidates, in particular our product candidates in clinical trials, we must decide which programs, product candidates and indications to pursue and advance the amount of resources to allocate to each. For example, in connection with our cost containment measures, including </w:t>
      </w:r>
      <w:r>
        <w:rPr>
          <w:rFonts w:ascii="Times New Roman" w:hAnsi="Times New Roman"/>
          <w:color w:val="000000"/>
          <w:sz w:val="20"/>
        </w:rPr>
        <w:t xml:space="preserve">the Workforce Reduction, we are prioritizing the ongoing clinical development of our lead gene therapy programs. </w:t>
      </w:r>
      <w:r>
        <w:rPr>
          <w:rFonts w:ascii="Times New Roman" w:hAnsi="Times New Roman"/>
          <w:color w:val="231F20"/>
          <w:sz w:val="20"/>
        </w:rPr>
        <w:t>Our decisions concerning the allocation of research, development, collaboration, management and financial resources toward particular programs, product candidates or therapeutic areas may not lead to the development of any viable commercial product and may result in the diversion of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competitors both in the U.S. and internationally, including major multinational pharmaceutical companies, established biotechnology companies, specialty pharmaceutical companies, emerging and start-up companies, universities and other research institutions. We face competition in recruiting personnel, establishing clinical trial sites, enrolling subjects for clinical trials and in identifying and in-licensing new product candidates.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Interim, topline and preliminary data from our clinical trials that we announce or publish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availability of additional data and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Further, others, including regulatory agencies, may not accept or agree with our assumptions, estimates, calculations, conclusions or analyses, may do their own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Problems with the manufacturing process, even minor deviations from the normal process, including during the manufacture of drug substance, drug product filling, labeling, packaging, storage and shipping and quality control and testing, could result in product defects, lot failures, product recalls, product liability claims or insufficient inventory. Additionally, we may encounter problems achieving adequate quantities and quality of clinical-grade materials that meet FDA, or other comparable applicable foreign regulatory authorities’ standards or specifications with consistent and acceptable production yields and costs.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Furthermore, should any of our manufacturing agreements with third parties be terminated for any reason, there are a limited number of manufacturers who would be suitable replacements, and it would take a significant amount of time to transition the manufacturing to a replacement. If we or our third-party manufacturers or suppliers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Due to our limited manufacturing experience, there can be no assurance that we will be able to successfully manufacture product candidates to support our clinical development and commercialization plans.</w:t>
      </w:r>
    </w:p>
    <w:p>
      <w:pPr>
        <w:pStyle w:val="TextBody"/>
        <w:bidi w:val="0"/>
        <w:spacing w:before="120" w:after="283"/>
        <w:jc w:val="left"/>
        <w:rPr>
          <w:rFonts w:ascii="Times New Roman" w:hAnsi="Times New Roman"/>
          <w:sz w:val="20"/>
        </w:rPr>
      </w:pPr>
      <w:r>
        <w:rPr>
          <w:rFonts w:ascii="Times New Roman" w:hAnsi="Times New Roman"/>
          <w:color w:val="000000"/>
          <w:sz w:val="20"/>
        </w:rPr>
        <w:t>We have fully integrated and internalized AAV manufacturing capabilities to support our gene therapy product candidates</w:t>
      </w:r>
      <w:r>
        <w:rPr>
          <w:rFonts w:ascii="Times New Roman" w:hAnsi="Times New Roman"/>
          <w:color w:val="231F20"/>
          <w:sz w:val="20"/>
        </w:rPr>
        <w:t xml:space="preserve">. However, to optimize our resources and to utilize extensive third-party experience in small molecule manufacturing, we intend to work with contract development and manufacturing organizations (CDMOs) for our small molecule programs.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Although some of our employees have experience in the manufacturing of biopharmaceutical products from prior employment at other companies, we as a company have limited experience in manufacturing. Furthermore, maintaining manufacturing operations requires significant resources, management time and capital expenditures, particularly in areas relating to operations, quality, regulatory, facilities and information technology.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cannot guarantee that our facility will be able to produce sufficient quantities of product candidates needed to support our preclinical studies and ongoing and planned clinical trials. We may face delays or increased costs in the production of clinical supply at our manufacturing facility. We also may encounter problems hiring and retaining the experienced scientific, quality control and manufacturing personnel needed to operate our manufacturing facility and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Any delays in the ongoing development of our internal manufacturing capabilities may disrupt or delay the supply of our product candidates if we have not maintained a sufficient back-up supply of such product candidates.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It may also hamper our ability to further process improvement, maintain quality control, limit our reliance on contract manufacturers and protect our trade secrets and other intellectual property, and could adversely impact the development or commercialization of our product candidates. Moreover, if we were required to change manufacturing facilities during the clinical development process, we may also be required to conduct additional studies, make notifications to regulatory authorities, make additional filings to regulatory authorities, and obtain regulatory authority approval for the new facilities, which approval may be delayed or never received.</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manufacturing facilities will be subject to significant government regulations and approvals, which are often costly and could result in adverse consequences to our business if we fail to comply with the regulations or maintain the approvals.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will need to comply with the FDA’s and applicable foreign regulatory authorities’ cGMP requirements for the production of product candidates for clinical trials and, if approved, commercial supply.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able to successfully manufacture our product candidates in sufficient quality and quantity, which would delay or prevent us from developing our product candidates and commercializing resulting approved products, if any.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To date, our product candidates have been manufactured in quantities adequate for preclinical studies and our Phase 1 clinical trials for our lead product candidates. In order to conduct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product candidates may not achieve adequate market acceptance among physicians, patients, healthcare payors and others in the medical community necessary for commercial success.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Even if our product candidates receive regulatory approval, they may not gain adequate market acceptance among physicians, patients, third-party payors and others in the medical community. If we are unable to demonstrate sufficient safety or efficacy to permit a broader use of our product candidates, we may not generate significant product revenue and we may not become profitable. The degree of market acceptance of any of our approved product candidates will depend on a number of factors,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efficacy and safety profile as demonstrated in clinical trials compared to alternative treatments;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perceived safety and efficacy profile and ease of use for pediatric patient population if approved for a pediatric indication;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timing of market introduction of the product candidate as well as competitive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clinical indications for which a product candidate is approved;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physicians, hospitals, treatment centers and patients considering our product candidates as a safe, pure and effective treatment;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perceived prevalence and severity of any side effects for our product candidates compared to the prevalence and severity of any side effects for conventional products and other gene therapies;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potential and perceived advantages of our product candidates over alternative treatments;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 of treatment in relation to alternative treatments;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relative convenience and ease of administration;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willingness of the target patient population or their caregivers to try new therapies and of physicians to prescribe these therapies;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size of the relevant pediatric patient population if approved for a pediatric indication, including challenges associated with diagnosing or identifying pediatric populations with the applicable target disease or condition;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availability of coverage and adequate reimbursement by third-party payors, including government authorities;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patients’ willingness to pay for these therapies in the absence of such coverage and adequate reimbursement;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effectiveness of sales and marketing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support from KOLs and patient advocacy groups;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unfavorable publicity relating to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approval of other new therapies for the same indications;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acceptance and use of genetic testing required to diagnose the disease and identify patients who qualify for treatment with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Adverse public perception or regulatory scrutiny of gene therapy technology or precision medicine for the treatment of heart diseases may negatively impact the developmental progress or commercial success of product candidates that we develop.</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Gene therapy and precision medicine remain novel technologies. The commercial success of our products, if successfully developed and approved, may be adversely affected by claims that gene therapy or precision medicine is unsafe, ineffective,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Publicity of any adverse events in, or unfavorable results of, preclinical studies or clinical trials for our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 It could also negatively impact our ability to raise capital or enter into strategic agreements for the development of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Any product candidates we develop may become subject to unfavorable third-party coverage and reimbursement practices, as well as pricing regulations.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available only to limited levels, we may not successfully commercialize any product candidate for which we obtain marketing approval.</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There is significant uncertainty related to third-party payor coverage and reimbursement of newly approved products. In the U.S., for example, principal decisions about reimbursement for new products are typically made by the </w:t>
      </w:r>
      <w:r>
        <w:rPr>
          <w:rFonts w:ascii="Times New Roman" w:hAnsi="Times New Roman"/>
          <w:color w:val="000000"/>
          <w:sz w:val="20"/>
        </w:rPr>
        <w:t>Centers for Medicare &amp; Medicaid Services (</w:t>
      </w:r>
      <w:r>
        <w:rPr>
          <w:rFonts w:ascii="Times New Roman" w:hAnsi="Times New Roman"/>
          <w:color w:val="231F20"/>
          <w:sz w:val="20"/>
        </w:rPr>
        <w:t>CMS), an agency within the U.S. Department of Health and Human Services.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As clinical trial and product liability insurance becomes increasingly expensive,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Regardless of the merits or eventual outcome, liability claims may result in: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the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FDA, EMA or other regulatory authority investigation of the safety and effectiveness of our products, our manufacturing processes and facilities or our marketing programs;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decreased or interrupted demand for our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injury to our reputation;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withdrawal of clinical trial participants and inability to continue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costs to defend the related litigation;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diversion of management’s time and our resources;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substantial monetary awards to trial participants or patients;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product recalls, withdrawals or labeling, marketing, or promotional restrictions;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loss of revenue;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exhaustion of any available insurance and our capital resources;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inability to commercialize any products.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Regulatory Approval and Other Legal Compliance Matters</w:t>
      </w:r>
    </w:p>
    <w:p>
      <w:pPr>
        <w:pStyle w:val="TextBody"/>
        <w:bidi w:val="0"/>
        <w:spacing w:before="120" w:after="283"/>
        <w:jc w:val="left"/>
        <w:rPr>
          <w:rFonts w:ascii="Times New Roman" w:hAnsi="Times New Roman"/>
          <w:sz w:val="20"/>
        </w:rPr>
      </w:pPr>
      <w:r>
        <w:rPr>
          <w:rFonts w:ascii="Times New Roman" w:hAnsi="Times New Roman"/>
          <w:b/>
          <w:i/>
          <w:color w:val="231F20"/>
          <w:sz w:val="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distribution and orphan exclusivity of drugs. Rigorous preclinical testing and clinical trials and an extensive regulatory approval process must be successfully completed in the U.S.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and the availability of alternative therapies.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disagree with the design, implementation or results of our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refuse to accept an application or decide not to accept data from our clinical trials conducted in locations outside of their jurisdiction;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disagree with our interpretation of data from preclinical studies or clinical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FDA, EMA or other comparable foreign regulatory authorities may require that we conduct additional preclinical studies or clinical trials;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unable to demonstrate to the FDA, EMA or other comparable foreign regulatory authorities that our product candidate’s risk-benefit ratio for its proposed indication is acceptable;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fail to approve the manufacturing processes, test procedures and specifications or facilities of third-party manufacturers with which we contract for clinical and commercial supplies;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FDA, EMA or other comparable foreign regulatory authorities may fail to approve companion diagnostic tests required for commercialization of our product candidates;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approval policies or regulations of the FDA, EMA or other comparable foreign regulatory authorities may significantly change in a manner rendering our clinical data insufficient for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requirements in international markets or fail to receive applicable marketing approvals, our target market will be reduced and our ability to realize the full market potential of our potential product candidates will be harmed.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Even if our product candidates receive regulatory approval, such approval may be for a narrower indication than we seek, and our product candidates will be subject to significant post-marketing regulatory requirements and oversight.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 post-marketing clinical trials. In addition, the FDA has the authority to require a Risk Evaluation and Mitigation Strategy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materially harm our business, financial condition, results of operations and prospects, and may significantly limit the size of the market for the drug and affect reimbursement by third-party payors.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post-approval. Manufacturers of drug products and their facilities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delays in or the rejection of product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restrictions on our ability to conduct clinical trials, including full or partial clinical holds on ongoing or planned trials;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restrictions on the products, manufacturers or manufacturing process;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warning or untitled letters;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civil and criminal penalties;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injunctions;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suspension or withdrawal of regulatory approvals;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product seizures, detentions or import bans;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voluntary or mandatory product recalls and publicity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total or partial suspension of production;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imposition of restrictions on operations, including costly new manufacturing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occurrence of any event or penalty described above may inhibit our ability to commercialize our product candidates, if approved, and generate revenue. Furthermore, non-compliance by us or any future collaborator with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requirements, including safety monitoring and with requirements related to the development of products for the pediatric population can also result in significant financial penalties.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To the extent we obtain orphan drug and other designations from the FDA for our product candidates, we may not realize the full benefits of such designations. Further, orphan drug exclusivity may not prevent the FDA, EMA or other comparable foreign regulatory authorities, from approving competing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EC,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In the EU, orphan drug designation entitles a party to financial incentives such as reduction of fees or fee waivers and without incentives, it is unlikely that sales of the drug in Europe would be sufficient to justify the necessary investment in developing the drug. However, there can be no assurances that we will be able to obtain orphan designations for our product candidates.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In view of the court decision in the </w:t>
      </w:r>
      <w:r>
        <w:rPr>
          <w:rFonts w:ascii="Times New Roman" w:hAnsi="Times New Roman"/>
          <w:i/>
          <w:color w:val="231F20"/>
          <w:sz w:val="20"/>
        </w:rPr>
        <w:t>Catalyst Pharms., Inc. v. Becerra</w:t>
      </w:r>
      <w:r>
        <w:rPr>
          <w:rFonts w:ascii="Times New Roman" w:hAnsi="Times New Roman"/>
          <w:color w:val="231F20"/>
          <w:sz w:val="20"/>
        </w:rPr>
        <w:t>, 14 F.4</w:t>
      </w:r>
      <w:r>
        <w:rPr>
          <w:rFonts w:ascii="Times New Roman" w:hAnsi="Times New Roman"/>
          <w:color w:val="231F20"/>
          <w:sz w:val="13"/>
        </w:rPr>
        <w:t>th</w:t>
      </w:r>
      <w:r>
        <w:rPr>
          <w:rFonts w:ascii="Times New Roman" w:hAnsi="Times New Roman"/>
          <w:color w:val="231F20"/>
          <w:sz w:val="20"/>
        </w:rPr>
        <w:t xml:space="preserve"> 1299 (11</w:t>
      </w:r>
      <w:r>
        <w:rPr>
          <w:rFonts w:ascii="Times New Roman" w:hAnsi="Times New Roman"/>
          <w:color w:val="231F20"/>
          <w:sz w:val="13"/>
        </w:rPr>
        <w:t>th</w:t>
      </w:r>
      <w:r>
        <w:rPr>
          <w:rFonts w:ascii="Times New Roman" w:hAnsi="Times New Roman"/>
          <w:color w:val="231F20"/>
          <w:sz w:val="20"/>
        </w:rPr>
        <w:t xml:space="preserve"> Cir. 2021) case, in a January 2023 notice, the FDA clarified that while the agency complies with the court’s order in </w:t>
      </w:r>
      <w:r>
        <w:rPr>
          <w:rFonts w:ascii="Times New Roman" w:hAnsi="Times New Roman"/>
          <w:i/>
          <w:color w:val="231F20"/>
          <w:sz w:val="20"/>
        </w:rPr>
        <w:t>Catalyst</w:t>
      </w:r>
      <w:r>
        <w:rPr>
          <w:rFonts w:ascii="Times New Roman" w:hAnsi="Times New Roman"/>
          <w:color w:val="231F20"/>
          <w:sz w:val="20"/>
        </w:rPr>
        <w:t xml:space="preserve">, the FDA intends to continue to apply its longstanding interpretation of the regulations to matters outside of the scope of the </w:t>
      </w:r>
      <w:r>
        <w:rPr>
          <w:rFonts w:ascii="Times New Roman" w:hAnsi="Times New Roman"/>
          <w:i/>
          <w:color w:val="231F20"/>
          <w:sz w:val="20"/>
        </w:rPr>
        <w:t xml:space="preserve">Catalyst </w:t>
      </w:r>
      <w:r>
        <w:rPr>
          <w:rFonts w:ascii="Times New Roman" w:hAnsi="Times New Roman"/>
          <w:color w:val="231F20"/>
          <w:sz w:val="20"/>
        </w:rPr>
        <w:t>order – that is, the scope of the orphan-drug exclusivity is limited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Rare Pediatric Disease Priority Review Voucher program, a sponsor who receives an approval for a drug or biological product for a rare pediatric disease may qualify for a voucher that can be redeemed to receive priority review for a different product. The sponsor may also transfer or sell the voucher to another sponsor. FDA awards rare pediatric disease priority review vouchers to sponsors of rare pediatric disease products that are approved and meet certain criteria, including a product candidate intended to treat a manifestation of a serious or life-threatening disease or condition in children aged 0 through 18 years of age. Under the current law, the rare pediatric disease priority review program will begin to sunset after September 30, 2024. The FDA may only award a voucher for an approved rare pediatric disease product application if the sponsor has rare pediatric disease designation for a drug and that designation was granted by September 30, 2024. After September 30, 2026, the FDA may not award any rare pediatric disease priority review vouchers. There is no guarantee that any of our product candidates will be approved by that date, or at all. We may not obtain a priority review voucher prior to expiration of the program, unless Congress further reauthorizes the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lead product candidates from our gene therapy platform, TN-201 and TN-401, have each been granted orphan drug designation by the FDA and the EC, and we may seek orphan drug designation for other product candidates in the U.S., Europe and other jurisdictions. In July 2024, we received rare pediatric disease designation from the FDA for TN-201 in MYBPC3-associated HCM. We may not be able to maintain orphan drug exclusivity for our product candidates and may not realize all the benefits of the orphan drug designation and the rare pediatric disease designation. Receiving these designations does not change FDA’s standards for regulatory approval of our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and may not lead to faster regulatory review of any product candidate or increase the likelihood that any product candidate will receive marketing approval, if at all.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not be the first to obtain marketing approval of any product candidate for which we have obtained orphan drug designation for the orphan-designated indication, in which case we could be precluded from receiving marketing approval for our product candidate for the applicable exclusivity period.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face difficulties from changes to current FDA and healthcare regulations and future legislation.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Existing regulatory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also cannot predict the likelihood, nature or extent of government regulation that may arise from future legislation or administrative or executive action, either in the U.S.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Recently, the U.S. Supreme Court overruled the Chevron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 Congressional challenges to certain aspects of the ACA, some of which have been successful, that create considerable uncertainty for our business. Although the U.S. Supreme Court held in 2021 that Texas and other challengers had no legal standing to challenge the ACA, we cannot predict how future challenges will impact our business, or what other healthcare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measures and regulations will ultimately be implemented at the federal or state level or the effect of any future legislation or regulation may have on our business.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other legislative changes have been proposed and adopted in the U.S. since the ACA was enacted, including aggregate reductions to Medicare payments to providers, effective April 1, 2013, which, through subsequent amendments, will remain in effect through 2032 and increased the statute of limitations period for the government to recover overpayments to providers from three to five years. These and future laws may result in additional reductions in Medicare and other healthcare funding, which could have a material adverse effect on customers for our drugs, if approved, and accordingly, our financial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Under the American Rescue Plan Act of 2021,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The impact of these judicial challenges as well as future judicial challenges in view of the Supreme Court’s overturn of the </w:t>
      </w:r>
      <w:r>
        <w:rPr>
          <w:rFonts w:ascii="Times New Roman" w:hAnsi="Times New Roman"/>
          <w:i/>
          <w:color w:val="231F20"/>
          <w:sz w:val="20"/>
        </w:rPr>
        <w:t>Chevron</w:t>
      </w:r>
      <w:r>
        <w:rPr>
          <w:rFonts w:ascii="Times New Roman" w:hAnsi="Times New Roman"/>
          <w:color w:val="231F20"/>
          <w:sz w:val="20"/>
        </w:rPr>
        <w:t xml:space="preserve"> doctrine, legislative, executive, and administrative actions and any future healthcare measures and agency rules implemented by the government on us and the pharmaceutical industry as a whole is unclear. The implementation of cost containment measures, including the prescription drug provisions under the IRA, as well as other healthcare reforms may prevent us from being able to generate revenue, attain profitability, or commercialize our product candidates if approved.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Outside of the U.S., relevant legal requirements continue to evolve. For example, the collection and use of health data and other personal data including personal data collected in clinical trials is governed in the EU by the </w:t>
      </w:r>
      <w:r>
        <w:rPr>
          <w:rFonts w:ascii="Times New Roman" w:hAnsi="Times New Roman"/>
          <w:color w:val="000000"/>
          <w:sz w:val="20"/>
        </w:rPr>
        <w:t>General Data Protection Regulation (</w:t>
      </w:r>
      <w:r>
        <w:rPr>
          <w:rFonts w:ascii="Times New Roman" w:hAnsi="Times New Roman"/>
          <w:color w:val="231F20"/>
          <w:sz w:val="20"/>
        </w:rPr>
        <w:t xml:space="preserve">GDPR), which imposes substantial obligations upon companies and new rights for individuals, by certain EU member state-level legislation. </w:t>
      </w:r>
      <w:r>
        <w:rPr>
          <w:rFonts w:ascii="Times New Roman" w:hAnsi="Times New Roman"/>
          <w:color w:val="000000"/>
          <w:sz w:val="20"/>
        </w:rPr>
        <w:t xml:space="preserve">The GDPR also forms part of the law of England and Wales, Scotland and Northern Ireland by virtue of section 3 of the European Union (Withdrawal) Act 2018 and as amended by the Data Protection, Privacy and Electronic Communications (Amendments etc.) (EU Exit) Regulations 2019 (SI 2019/419), known as UK GDPR. </w:t>
      </w:r>
      <w:r>
        <w:rPr>
          <w:rFonts w:ascii="Times New Roman" w:hAnsi="Times New Roman"/>
          <w:color w:val="231F20"/>
          <w:sz w:val="20"/>
        </w:rPr>
        <w:t xml:space="preserve">Failure to comply with the GDPR or UK GDPR may result in fines up to €20,000,000 or 4% of the total worldwide annual turnover of the preceding financial year, whichever is higher, and other administrative penalties. The GDPR or UK GDPR have increased our responsibility and liability in relation to personal data that we may process, and we may be required to implement additional measures in an effort to comply with the GDPR and UK GDPR or with other laws, rules, regulations and standards in the European Economic Area (EEA), United Kingdom (UK) and Switzerland relating to privacy and data protection. This may be onerous and if our efforts to comply with GDPR and UK GDPR or other applicable laws, rules, regulations and standards are not successful, or are perceived to be unsuccessful, it could adversely affect our business. Further, restrictions on the transfer of personal data from the EEA, UK and Switzerland to the U.S.,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and Switzerland to the U.S. </w:t>
      </w:r>
      <w:r>
        <w:rPr>
          <w:rFonts w:ascii="Times New Roman" w:hAnsi="Times New Roman"/>
          <w:color w:val="000000"/>
          <w:sz w:val="20"/>
        </w:rPr>
        <w:t>In Canada, the Personal Information Protection and Electronic Documents Act (PIPEDA) and similar provincial laws impose obligations on companies with respect to processing personal information, including health-related information, regarding Canadian data subjects and provides individuals certain rights with respect to such information, including the right to access and challenge the accuracy of their personal information held by an organization. Failure to comply with PIPEDA, where applicable, could result in fines and penalties</w:t>
      </w:r>
      <w:r>
        <w:rPr>
          <w:rFonts w:ascii="Times New Roman" w:hAnsi="Times New Roman"/>
          <w:color w:val="231F20"/>
          <w:sz w:val="20"/>
        </w:rPr>
        <w:t>.</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 the U.S., a variety of data privacy, protection and security laws, rules, regulations and standards potentially may apply to our activities, such as state data breach notification laws, state personal data privacy laws (for example, the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judgments and settlements). Although there are limited exemptions for clinical trial data under the CCPA and certain other state laws, the CCPA and other new and evolving state laws could impact our business activities, depending on their interpretation. Numerous </w:t>
      </w:r>
      <w:r>
        <w:rPr>
          <w:rFonts w:ascii="Times New Roman" w:hAnsi="Times New Roman"/>
          <w:color w:val="000000"/>
          <w:sz w:val="20"/>
        </w:rPr>
        <w:t>other states have enacted laws relating to privacy and data security that either are in operation or slated to go into operation over the next several years. In many cases, these laws are comprehensive privacy laws similar to the CCPA, with potentially greater penalties and more rigorous compliance requirements</w:t>
      </w:r>
      <w:r>
        <w:rPr>
          <w:rFonts w:ascii="Times New Roman" w:hAnsi="Times New Roman"/>
          <w:color w:val="231F20"/>
          <w:sz w:val="20"/>
        </w:rPr>
        <w:t xml:space="preserve">. States also are enacting laws addressing specific subject matter, such as Washington’s My Health, My Data Act, which includes a private right of action. Laws in all 50 states may require businesses to provide notice to individuals whose personal data has been disclosed as a result of a data breach. Finally, federal, state and foreign laws, rules, regulations and standards may apply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generally to the privacy and security of information we maintain, and may differ from each other significantly, thus complicating compliance efforts and potentially requiring us to undertake additional measures to comply with them.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With the GDPR, PIPEDA, CCPA,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federal Health Insurance Portability and Accountability Act of 1996 (HIPAA), as amended by the Health Information Technology for Economic and Clinical Health Act and their implementing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federal consumer protection and unfair competition laws, which broadly regulate marketplace activities and activities that potentially harm consumers;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fail to comply with environmental, health and safety laws and regulations, we could become subject to fines or penalties or incur costs that could have a material adverse effect on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business activities are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and agents from offering or providing improper payments or benefits to recipients in the public or private sector.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sometimes leverage third parties to assist with the conduct of our business abroad. As we increase our international business activities, our risks under these laws may increase. We, our employees and agents may have direct or indirect interactions with officials and employees of government agencies or state-owned or affiliated entities and may be held liable for the corrupt or other illegal activities of these employees and agents even if we do not explicitly authorize such activities.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These laws also require that we make and keep books and records that accurately and fairly reflect the transactions of the corporation and to devise and maintain an adequate system of internal accounting controls and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compliance procedures designed to prevent violations of anti-corruption laws. While we have policies and procedures to address compliance with such laws, we cannot assure you that all of our employees and agents will not take actions in violation of applicable law for which we may be ultimately held responsible.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Changes in tax law could increase the tax burden on our orphan drug programs and adversely affect our business and financial condition.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Changes in tax law, including to the orphan drug tax credit and other changes to U.S. and non-U.S. taxation, could increase our tax liability and adversely affect our operating results. For example, starting from January 1, 2022, the Tax Cuts and Jobs Act of 2017 requires taxpayers to capitalize domestic research and development costs in the year incurred and amortize such costs rather than deduct such costs in the year incurred. When and if we become profitable, these changes may cause us to pay federal income taxes earlier under the revised tax law than under the prior law and may increase our total federal tax liability attributable to orphan drug programs and other research and development. In addition, the Inflation Reduction Act of 2022 imposes a 1% excise tax on certain repurchases of stock made on or after January 1, 2023. These changes could increase our total federal tax liability when and if we become profitable.</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Employee Matters, Managing Our Growth and Other Risks Related to Our Business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Our success is highly dependent on our ability to attract and retain highly skilled executive officers and employees.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We are highly dependent on the principal members of our management, our scientific founders and other scientific and clinical advisors and consultants, and our scientific and medical staff. </w:t>
      </w:r>
      <w:r>
        <w:rPr>
          <w:rFonts w:ascii="Times New Roman" w:hAnsi="Times New Roman"/>
          <w:color w:val="000000"/>
          <w:sz w:val="20"/>
        </w:rPr>
        <w:t xml:space="preserve">The Workforce Reduction, and any future cost containment initiatives, could have an adverse impact on our ability to retain and recruit qualified personnel. </w:t>
      </w:r>
      <w:r>
        <w:rPr>
          <w:rFonts w:ascii="Times New Roman" w:hAnsi="Times New Roman"/>
          <w:color w:val="231F20"/>
          <w:sz w:val="20"/>
        </w:rPr>
        <w:t xml:space="preserve">If we do not succeed in attracting and retaining such personnel, particularly at the management level, it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 order to successfully implement our long-term plans and strategies, we will need to grow the size of our organization, and we may experience difficulties in managing this growth.</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order to successfully implement our development and commercialization plans and strategies, we expect to need additional managerial, operational, sales, marketing, financial and other personnel in the future.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subject to the successful clinical development of our product candidates,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pStyle w:val="TextBody"/>
        <w:bidi w:val="0"/>
        <w:spacing w:before="240" w:after="283"/>
        <w:jc w:val="left"/>
        <w:rPr>
          <w:rFonts w:ascii="Times New Roman" w:hAnsi="Times New Roman"/>
          <w:sz w:val="20"/>
        </w:rPr>
      </w:pPr>
      <w:r>
        <w:rPr>
          <w:rFonts w:ascii="Times New Roman" w:hAnsi="Times New Roman"/>
          <w:b/>
          <w:i/>
          <w:color w:val="231F20"/>
          <w:sz w:val="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w:t>
      </w:r>
      <w:r>
        <w:rPr>
          <w:rFonts w:ascii="Times New Roman" w:hAnsi="Times New Roman"/>
          <w:color w:val="231F2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or personal data, which could result in additional costs, loss of revenue, significant liabilities, harm to our brand and material disruption of our operations.</w:t>
      </w:r>
    </w:p>
    <w:p>
      <w:pPr>
        <w:pStyle w:val="TextBody"/>
        <w:bidi w:val="0"/>
        <w:spacing w:before="120" w:after="283"/>
        <w:jc w:val="left"/>
        <w:rPr>
          <w:rFonts w:ascii="Times New Roman" w:hAnsi="Times New Roman"/>
          <w:sz w:val="20"/>
        </w:rPr>
      </w:pPr>
      <w:r>
        <w:rPr>
          <w:rFonts w:ascii="Times New Roman" w:hAnsi="Times New Roman"/>
          <w:color w:val="000000"/>
          <w:sz w:val="20"/>
        </w:rPr>
        <w:t>As part of our business, we and our CROs, manufacturers, contractors (including sites performing our clinical trials), consultants and other third parties, collect, maintain and transmit sensitive data on our networks and systems, including our intellectual property and proprietary and confidential b</w:t>
      </w:r>
      <w:r>
        <w:rPr>
          <w:rFonts w:ascii="Times New Roman" w:hAnsi="Times New Roman"/>
          <w:color w:val="231F20"/>
          <w:sz w:val="20"/>
        </w:rPr>
        <w:t xml:space="preserve">usiness information (such as research data and personal information). Despite the implementation of security measures in an effort to protect systems that store our information, given their size and complexity and the increasing amounts of information maintained on our internal information technology systems, and those of our third-party CROs, manufacturers, contractors (including sites performing our clinical trials), consultants and other third parties, such systems are vulnerable to breakdown or other damage or interruption from, among other things, inadvertent or intentional actions by our employees, contractors, consultants, business partners, and other third parties, cyber-attacks and other hacking attempts by malicious third parties, which may compromise our system infrastructure or lead to the loss, destruction, alteration, prevention of access to, disclosure, dissemination of, or damage or unauthorized access to, our data or other data that we process or maintain or that is processed or maintained on our behalf, or other assets. Although we have not observed material impacts of cyber-attacks on our operations and financial condition </w:t>
      </w:r>
      <w:r>
        <w:rPr>
          <w:rFonts w:ascii="Times New Roman" w:hAnsi="Times New Roman"/>
          <w:color w:val="000000"/>
          <w:sz w:val="20"/>
        </w:rPr>
        <w:t>to date, we and our third-party service providers have frequently been the target of threats of this nature and we expect these threats and attacks to continue.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Any data breach, disruption or security incident resulting in any loss, destruction, unavailability, alteration, disclosure, dissemination of, or damage or unauthorized access to, our data, or any other data that we process or maintain or that is processed or maintained on our behalf, or other assets, or for it to be believed or reported that any of the foregoing occurred, could cause us to incur significant liability, including consequential damages, financial harm and reputational damage and the development and commercialization of our product candidates could be delayed. The loss, corruption, or unavailability of clinical trial data for our product candidates also could result in delays in our marketing approval efforts and significantly increase our costs to recover or reproduce the data. We cannot ensure that our data protection efforts and our investment in information technology, or the efforts or investments of CROs, consultants or other third parties, will prevent breakdowns in our or their systems or have prevented, or will prevent, cybersecurity breaches or incidents, including those that cause loss, destruction, unavailability, alteration, dissemination of, or damage or unauthorized access to, our data, including personal data, assets and other data processed or maintained on our behalf. Any such breakdowns, breaches, or incidents, and any resulting impacts, could have a material adverse effect upon our reputation, business, operations or financial condition.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also rely on third parties to support the development and manufacture of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 We maintain limited cybersecurity insurance and therefore the successful assertion of one or more large claims against us in connection with a breach or other cybersecurity-related matter could adversely affect our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identify, remediate or otherwise address any such incidents in an effective or timely manner. Our efforts to improve security and protect data from compromise may also identify previously undiscovered instances of data breaches or other cybersecurity incidents. Any data breach, disruption or security incident resulting in any loss, destruction, or alteration of, damage, unauthorized access to or inappropriate or unauthorized disclosure of or dissemination of, our data, including personal data, or other information that is processed or maintained on our behalf, or if any of these is believed or reported to have occurred,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operations are vulnerable to interruption by fire, earthquakes, power loss, telecommunications failure, terrorist activity, pandemics and other events beyond our control, which could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 variety of risks associated with development and marketing our product candidates internationally, subject to regulatory approval in applicable jurisdictions, could materially adversely affect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seek regulatory approval of our product candidates outside of the U.S. and/or work with contractors or partners in foreign jurisdictions, and we expect that we will be subject to additional risks and requirements related to our operations in foreign countries,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differing regulatory requirements and reimbursement regimes;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unexpected changes in tariffs, trade barriers, price and exchange controls and other regulatory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economic weakness, including inflation, or political instability in particular foreign economies and markets;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compliance with tax, employment, immigration and labor laws for employees living or traveling abroad;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foreign taxes, including withholding of payroll taxes;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difficulties staffing and managing foreign operations;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workforce uncertainty in countries where labor unrest is more common than in the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potential liability under the FCPA or comparable foreign regulations;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challenges obtaining, maintaining, protecting, defending and enforcing our contractual and intellectual property rights, especially in those foreign countries that do not respect and protect intellectual property rights to the same extent as the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production shortages resulting from any events affecting raw material supply or manufacturing capabilities abroad;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business interruptions resulting from geo-political actions, including war and terrorism, including effects of the Russia-Ukraine and Middle East conflicts.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These and other risks associated with our international operations may materially adversely affect our ability to attain or maintain profitable operations.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Our Intellectual Property</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commercial success depends in large part on our ability to obtain, maintain, protect, defend and enforce patents, trade secrets and other intellectual property relating to our product candidates and platforms and to operate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without infringing, misappropriating or otherwise violating the intellectual property of others. We rely on patent, copyright, trade secret and trademark laws in the U.S. and certain other countries to protect our 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Pending patent applications cannot be enforced until issued, and then only to the extent the issued claims cover the product candidate or relevant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 Any failure to obtain or maintain patent protection with respect to our technology and product candidates would have a material adverse effect on our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the </w:t>
      </w:r>
      <w:r>
        <w:rPr>
          <w:rFonts w:ascii="Times New Roman" w:hAnsi="Times New Roman"/>
          <w:color w:val="000000"/>
          <w:sz w:val="20"/>
        </w:rPr>
        <w:t>United States Patent and Trademark Office (</w:t>
      </w:r>
      <w:r>
        <w:rPr>
          <w:rFonts w:ascii="Times New Roman" w:hAnsi="Times New Roman"/>
          <w:color w:val="231F20"/>
          <w:sz w:val="20"/>
        </w:rPr>
        <w:t>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patent applications may not result in any patents being issued;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patents may be challenged, invalidated, modified, revoked, circumvented, found to be unenforceable, narrowed in scope or otherwise may not provide any competitive advantage;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While we believe our intellectual property allows us to pursue our current development programs, we may not be aware of all third-party intellectual property rights potentially relating to our technology and product candidates. 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pStyle w:val="TextBody"/>
        <w:bidi w:val="0"/>
        <w:spacing w:before="120" w:after="283"/>
        <w:jc w:val="left"/>
        <w:rPr>
          <w:rFonts w:ascii="Times New Roman" w:hAnsi="Times New Roman"/>
          <w:sz w:val="20"/>
        </w:rPr>
      </w:pPr>
      <w:r>
        <w:rPr>
          <w:rFonts w:ascii="Times New Roman" w:hAnsi="Times New Roman"/>
          <w:color w:val="231F20"/>
          <w:sz w:val="20"/>
        </w:rPr>
        <w:t>The issuance of a patent is not conclusive as to its inventorship, scope, validity or enforceability, and the inventorship, scope, validity or enforceability of our patents, potential future patents or the patents of our licensors that may be challenged in the courts or patent offices in the U.S. and abroad. For example, we may be subject to a third-party pre-issuance submission of prior art, post-grant review or inter partes review at the USPTO, or other similar proceedings including, opposition, derivation, revocation or reexamination proceedings in the U.S. or abroad.</w:t>
      </w:r>
      <w:r>
        <w:rPr>
          <w:rFonts w:ascii="Times New Roman" w:hAnsi="Times New Roman"/>
          <w:color w:val="000000"/>
          <w:sz w:val="20"/>
        </w:rPr>
        <w:t xml:space="preserve"> </w:t>
      </w:r>
      <w:r>
        <w:rPr>
          <w:rFonts w:ascii="Times New Roman" w:hAnsi="Times New Roman"/>
          <w:color w:val="231F20"/>
          <w:sz w:val="20"/>
        </w:rPr>
        <w:t>A third party may also claim that our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patents, potential future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patents, potential future patents and patent applications or the patents and patent applications of our licensors is threatened, regardless of the outcome, it could dissuade companies from collaborating with us to license, develop or commercialize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commercial success depends significantly on our ability to operate without infringing, misappropriating or otherwise violating the patents and other intellectual property and proprietary rights of third parties.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research, development and commercialization activities may be subject to claims that we infringe, misappropriate or otherwise violate patents or other intellectual property rights of others. Additionally,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 product candidates. Third-party patents or patent applications may include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both within and outside the U.S.,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the biotechnology industry expands and more patents are issued, the risk increases that our product candidates may be subject to claims of infringement, misappropriation or other violation of the patent or other intellectual property rights of third parties.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Although no third party has asserted a claim of patent infringement against us as of the date of this periodic report, there can be no assurance that we will not be subject to claims of patent or other intellectual property 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Third parties may assert patent infringement claims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regardless of its outcome, may cause negative publicity and could prohibit us from marketing or otherwise commercializing our product candidates and technology.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spacing w:before="120" w:after="283"/>
        <w:jc w:val="left"/>
        <w:rPr>
          <w:rFonts w:ascii="Times New Roman" w:hAnsi="Times New Roman"/>
          <w:sz w:val="20"/>
        </w:rPr>
      </w:pPr>
      <w:r>
        <w:rPr>
          <w:rFonts w:ascii="Times New Roman" w:hAnsi="Times New Roman"/>
          <w:color w:val="000000"/>
          <w:sz w:val="20"/>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r>
        <w:rPr>
          <w:rFonts w:ascii="Times New Roman" w:hAnsi="Times New Roman"/>
          <w:color w:val="231F20"/>
          <w:sz w:val="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successful in obtaining or maintaining necessary rights to our product candidates through acquisitions and in-licenses.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Changes in U.S. patent law, or laws in other countries, could diminish the value of patents in general, thereby impairing our ability to protect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potential future patents or in third-party patents.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the U.S. Congress or other foreign legislative bodies may pass patent reform legislation that is unfavorable to us. Patent reform legislation could increase the uncertainties and costs surrounding the prosecution of patent applications and the enforcement or defense of issued patents.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The laws and regulations governing patents could change in unpredictable ways that would weaken our ability to obtain new patents or to enforce our existing patent and the patents we might obtain or license in the future.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be subject to claims challenging the inventorship or ownership of our owned patent applications or in-licensed patent rights and other intellectual property.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impact our reputation or affect our ability to hire employees or contract with independent contractors.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do not obtain patent term extension for our product candidates, our business may be materially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not be able to protect our intellectual property rights throughout the world.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European patent applications now have the option, upon grant of a patent, of becoming a Unitary Patent which will be subject to the jurisdiction of the Unified Patent Court (UPC). This is a significant change in European patent practice. As the UPC is a relatively new court system, there is limited precedent for the court, increasing the uncertainty of any litigation. As a single court system can invalidate a European patent, we, where applicable, have opted out of the UPC and as such, but for proceedings such as an opposition, each European patent would need to be challenged in each individual country.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filing, prosecution and maintenance of issued patents in various jurisdictions.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These actions could result in abandonment or lapse of our patents or patent applications, resulting in partial or complete loss of patent rights in such jurisdictions.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Periodic maintenance fees, renewal fees, annuity fees and various other governmental fees on patents and/or patent applications will be due to the USPTO and various foreign patent offices outside of the U.S. at various points over the lifetime of our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intend to use registered or unregistered trademarks or trade names to brand and market ourselves and our products, but we do not yet own a U.S. registered trademark for our corporate name, “Tenaya”.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 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Moreover, third parties may still derive similar information independently, and we would have no right to prevent them from using that information to compete with us. We expect know-how and information to be 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be subject to claims that we or our employees, consultants, advisors or contractors have wrongfully used or disclosed alleged confidential information or trade secrets.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confidential or other information proprietary of their former employers or their former or current clients.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 example, the intellectual property we license from the University of Texas, Southwestern (UTSW) is subject to certain non-commercial rights reserved by UTSW.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have in-licensed, and we may develop, acquire or in-license in the future, certain patents, patent applications or other intellectual property generated using U.S. government funding or grants. Pursuant to the Bayh-Dole Act of 1980, the U.S. government has certain rights in inventions developed with government funding. These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exercises its march-in rights in our current or future intellectual property rights generated using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U.S. This preference for U.S. industry may limit our ability to contract with non-U.S. product manufacturers for products covered by such intellectual property, and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Our Dependence on Third Parties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third parties upon which we rely to conduct our preclinical studies and clinical trials have a significant role in the conduct of such drug development activities and the subsequent collection and analysis of data. These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third parties are not our employees, and except for remedies available to us under our agreements with such third parties, we have limited ability to control the amount or timing of resources that any such third party devotes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 development activities, increase costs, and materially impact our ability to meet our desired clinical development timelines.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rely on third parties to produce certain of our product candidates. This increases the risk that we will not have sufficient quality and quantities of product candidates or such quantities at an acceptable cost, which could delay, prevent or impair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 third-party manufacturer could result in delays in our manufacturing supply chain which could delay or otherwise impact development of our programs and result in increased costs.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be unable to maintain or establish required agreements with third-party manufacturers on acceptable terms. Even if we are able to do so, reliance on third-party manufacturers entails additional risks,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termination or nonrenewal of arrangements or agreements by our third-party contractors at a time that is costly or inconvenient for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breach by the third-party contractors of our agreements with them;</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failure of third-party contractors to manufacture our product candidates according to our specifications or comply with applicable regulatory requirements, including cGMP;</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mislabeling of clinical supplies, potentially resulting in the wrong dose amounts being supplied or active drug or placebo not being properly identified;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infringement, misappropriation or other violation of our intellectual property or proprietary information.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complete control over all aspects of the manufacturing process of our CDMOs and are dependent on these CDMOs for compliance with cGMP regulations for manufacturing API, drug substance and finished drug products. We are in the process of developing our supply chain for each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dependence upon others for the manufacture of our product candidates may adversely affect our future profit margins and our ability to commercialize any product candidates that receive marketing approval on a timely and competitive basis.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increased operating expenses and cash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assumption of additional indebtedness or contingent liabilities;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issuance of our equity securities;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assimilation of operations, intellectual property and products of an acquired company, including difficulties associated with integrating new personnel;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diversion of our management’s attention from our existing programs and initiatives in pursuing such a strategic partnership or acquisition;</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unauthorized use or disclosure of our confidential information accessed in connection with partnership activities;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loss of key personnel and uncertainties in our ability to maintain key business relationships;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risks and uncertainties associated with the other party to such a transaction, including the prospects of that party and their existing products or product candidates and marketing approvals;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inability to generate revenue from acquired technology and/or products sufficient to meet our objectives in undertaking the acquisition or even to offset the associated acquisition and maintenance costs;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inability to realize anticipated efficiencies and strategic benefits from such acquisitions or strategic partnerships.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and 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regarding our business, the applicable product candidate or technology subject to the collaboration negotiation and the related market potential.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unable to reach a definitive agreement,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have significant discretion in determining the efforts and resources that they will apply to, and the manner in which they perform their obligations under, these collaborations and may not perform their obligations as expected;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relationship may require us to incur non-recurring and other charges, increase our near- and long-term expenditures, issue securities that dilute our existing stockholders, or disrupt our management and business;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collaborator with marketing and distribution rights to multiple products may not commit sufficient resources to the marketing and distribution of our product relative to other products;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may grant exclusive rights to our collaborators that would prevent us from collaborating with others;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collaboration agreements may not lead to development or commercialization of product candidates in the most efficient manner or at all;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collaborator’s sales and marketing activities or other operations may not be in compliance with applicable laws resulting in civil or criminal proceedings.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There are risks involved with both establishing our own commercial capabilities and entering into arrangements with third parties to perform these services. If the commercial launch of a product candidate for which we recruit a sales force and establish marketing and other commercialization capabilities is delayed or does not occur, we would have prematurely or unnecessarily incurred these commercialization expenses. This may be costly, and our investment would be lost if we cannot retain or reposition our commercialization personnel.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Risks Related to the Securities Market and Ownership of Our Common Stock</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The price of our stock is volatile, and you could lose all or part of your investment.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timing of achievement of our research, clinical, regulatory and other milestones for our product candidates;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results of preclinical studies and clinical trials of our product candidates, those conducted by third parties or those of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success of competitive products or announcements by potential competitors of their product development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actions with respect to our product candidates or those of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actual or anticipated changes in our growth rate relative to our competitors;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regulatory or legal developments in the U.S. and other countries;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litigation, including developments or disputes concerning patent applications, issued patents or other intellectual property or proprietary rights;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recruitment or departure of key personnel;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announcements by us or our competitors of significant acquisitions, strategic collaborations, joint ventures, collaborations or capital commitments;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actual or anticipated changes in estimates as to financial results, development timelines or coverage and/or recommendations by securities analysts;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fluctuations in the valuation of companies perceived by investors to be comparable to us;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market conditions in the pharmaceutical and biotechnology sector;</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changes in the structure of healthcare payment systems;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share price and volume fluctuations attributable to inconsistent trading volume levels of our shares;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announcement or expectation of additional financing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sales of our common stock by us, our insiders or our other stockholders;</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expiration of market stand-off or lock-up agreements;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impact of any natural disasters or public health emergencies, such as the COVID-19 pandemic;</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fluctuations in interest rates and inflation rates; and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general economic, political, industry and market conditions.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operating results may fluctuate significantly, which makes our future operating results difficult to predict and could cause our operating results to fall below expectations or our guidance.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quarterly and annual operating results may fluctuate significantly in the future due to a variety of factors, many of which are outside of our control and may be difficult to predict. 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principal stockholders and management own a significant percentage of our stock and will be able to exert significant control over matters subject to stockholder approval.</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June 30, 2024, our executive officers, directors, holders of 5% or more of our capital stock and their respective affiliates beneficially owned approximately 63% of our common stock. These stockholders, acting together, may be able to control matters requiring stockholder approval. For example, they may be able to control elections of directors, amendments of our organizational documents or approval of any merger or other major corporate transactions. This concentration of ownership may delay, discourage or prevent a change of control, including unsolicited acquisition proposals or offers for our common stock that you may feel are in your best interest as a stockholder, entrench our management and board of directors or delay or prevent a merger,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and might affect the prevailing market price for our common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sz w:val="20"/>
        </w:rPr>
      </w:pPr>
      <w:r>
        <w:rPr>
          <w:rFonts w:ascii="Times New Roman" w:hAnsi="Times New Roman"/>
          <w:color w:val="231F20"/>
          <w:sz w:val="20"/>
        </w:rPr>
        <w:t>Sales of a substantial number of shares of our common stock in the public market could occur at any time. For example, we filed a shelf registration statement on Form S-3 that became effective on August 17, 2022, which allows us to undertake various equity and debt offerings up to $300.0 million (the Shelf Registration), and as of June 30, 2024, we have sold 34,854,373 shares of our common stock and pre-funded warrants to purchase 8,458,964 shares of our common stock pursuant to the Shelf Registration</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231F20"/>
          <w:sz w:val="20"/>
        </w:rPr>
        <w:t>Moreover, c</w:t>
      </w:r>
      <w:r>
        <w:rPr>
          <w:rFonts w:ascii="Times New Roman" w:hAnsi="Times New Roman"/>
          <w:color w:val="000000"/>
          <w:sz w:val="20"/>
        </w:rPr>
        <w:t>ertain holders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these shares are sold, or if it is perceived that they will be sold, in the public market, the trading price of our common stock could decline.</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As a public company, we are subject to the reporting requirements of the Exchange Act, the Sarbanes-Oxley Act, the Dodd-Frank Wall Street Reform and Protection Act, as well as rules adopted, and to be adopted, by the SEC and the Nasdaq Stock Market LLC (Nasdaq). As a result of our initiatives to comply with such regulatory requirements, we incur significant legal, accounting and other expenses which may increase after we are no longer an “emerging growth company.” Moreover, our management and other personnel need to devote a substantial amount of time to these compliance initiatives.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particular, as a public company we are required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deadlines imposed by the Sarbanes-Oxley Act.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We may be subject to securities litigation, which is expensive and could divert management attention.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Provisions in our certificate of incorporation and bylaws and Delaware law might discourage, delay or prevent a change in control of our company or changes in our management and, therefore, depress the market price of our common stock.</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prevent any attempts by our stockholders to replace or remove our current management by making it more difficult for stockholders to replace members of our board of directors. These provisions, among other things: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 a classified board of directors so that not all members of our board are elected at one time;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permit only the board of directors to establish the number of directors and fill vacancies on the board;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provide that directors may only be removed “for cause”;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authorize the issuance of “blank check” preferred stock that our board could use to implement a stockholder rights plan (also known as a poison pill);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eliminate the ability of our stockholders to call special meetings of stockholders;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prohibit stockholder action by written consent, which requires all stockholder actions to be taken at a meeting of our stockholders;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prohibit cumulative voting;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authorize our board of directors to amend the bylaws;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establish advance notice requirements for nominations for election to our board or for proposing matters that can be acted upon by stockholders at annual stockholder meetings;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require a super-majority vote of stockholders to amend or repeal specified provisions of our certificate of incorporation and bylaws.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or certain other conditions are met.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Our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derivative action or proceeding brought on our behalf;</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action asserting a claim of breach of fiduciary duty;</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action asserting a claim against us arising under the DGCL, our certificate of incorporation or our bylaws;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action asserting a claim against us that is governed by the internal-affairs doctrine.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This provision would not apply to suits brought to enforce a duty or liability created by the Exchange Act or any other claim for which the U.S. federal courts have exclusive jurisdiction.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Our bylaws further provide that the federal district courts of the United States of America will be the exclusive forum for resolving any complaint asserting a cause of action arising under the Securities Act.</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Proceeds from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30, 2024, no director or officer, as defined in Rule 16a-1(f), adopted or terminated a “Rule 10b5-1 trading arrangement” or a “non-Rule 10b5-1 trading arrangement,” each as defined in Regulation S-K Item 408.</w:t>
      </w:r>
    </w:p>
    <w:p>
      <w:pPr>
        <w:pStyle w:val="TextBody"/>
        <w:bidi w:val="0"/>
        <w:spacing w:before="240" w:after="283"/>
        <w:jc w:val="left"/>
        <w:rPr>
          <w:rFonts w:ascii="Times New Roman" w:hAnsi="Times New Roman"/>
          <w:sz w:val="20"/>
        </w:rPr>
      </w:pPr>
      <w:r>
        <w:rPr>
          <w:rFonts w:ascii="Times New Roman" w:hAnsi="Times New Roman"/>
          <w:b/>
          <w:color w:val="000000"/>
          <w:sz w:val="20"/>
        </w:rPr>
        <w:t>Silicon Valley Bank Loan and Security Agreement and Warrant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6, 2024, we entered into a loan and security agreement (the Loan Agreement), with Silicon Valley Bank, a division of First-Citizens Bank &amp; Trust Company (SVB).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Loan Agreement, term loans in an aggregate principal amount of up to $45 million may be made under multiple tranches. The tranches can be drawn as follows: the first tranche of up to $15.0 million is available at the closing date through June 30, 2025; the second tranche of $5 million and the third tranche of $2.5 million are available until December 31, 2025, subject to the achievement of certain clinical milestones; the fourth tranche of $2.5 million is available through December 31, 2025, subject to the achievement of a clinical milestone or satisfaction of certain capitalization requirements; and the final tranche of $20.0 million is available through July 31, 2026, on such terms as may be agreed by the parties and subject to approval by SVB's credit committee. With the exception of the final tranche, and subject to achievement of the applicable milestones and other requirements with respect to each tranche, draw downs are at our 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will accrue on the term loan advances at a rate that is equal to the greater of 8.50% and the prime rate and will be payable monthly in arrears.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Loan Agreement, we are bound by certain affirmative covenants setting forth actions that are required during the term of the Loan Agreement, including, without limitation, certain information delivery requirements, obligations to maintain certain insurance and certain notice requirements. Additionally, we are bound by certain negative covenants setting forth actions that are not permitted to be taken during the term of the Loan Agreement without SVB’s consent, including, without limitation, incurring additional indebtedness, making certain asset dispositions, entering into certain business combination transactions or incurring any non-permitted lien or other encumbrance on our assets, in each case subject to specified exceptions.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granted SVB a security interest in substantially all of our property, rights and assets, excluding our intellectual property, to secure payment of all amounts owed to SVB under the Loan Agreement. We have also agreed not to encumber any of our intellectual property without SVB’s prior written consent.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Loan Agreement, we issued to SVB a warrant to purchase shares of our common stock (the Lender Warrant). </w:t>
      </w:r>
      <w:r>
        <w:rPr>
          <w:rFonts w:ascii="Times New Roman" w:hAnsi="Times New Roman"/>
          <w:color w:val="212529"/>
          <w:sz w:val="20"/>
        </w:rPr>
        <w:t>The Lender Warrant is exercisable for 73,649 shares upon closing, which represents 0.</w:t>
      </w:r>
      <w:r>
        <w:rPr>
          <w:rFonts w:ascii="Times New Roman" w:hAnsi="Times New Roman"/>
          <w:color w:val="000000"/>
          <w:sz w:val="20"/>
        </w:rPr>
        <w:t xml:space="preserve">075% of our common stock and common stock equivalents outstanding as of June 30, 2024, on a fully-diluted basis, at an exercise price of $2.55 per share. </w:t>
      </w:r>
      <w:r>
        <w:rPr>
          <w:rFonts w:ascii="Times New Roman" w:hAnsi="Times New Roman"/>
          <w:color w:val="212529"/>
          <w:sz w:val="20"/>
        </w:rPr>
        <w:t>The Lender Warrant becomes exercisable for up to an additional 98,199 shares pro-rated based on amounts actually advanced for the various tranches under the Loan Agreement.</w:t>
      </w:r>
      <w:r>
        <w:rPr>
          <w:rFonts w:ascii="Times New Roman" w:hAnsi="Times New Roman"/>
          <w:color w:val="000000"/>
          <w:sz w:val="20"/>
        </w:rPr>
        <w:t xml:space="preserve"> The Lender Warrant expires on August 6, 2034. The exercise price and the number of shares of common stock issuable upon exercise of the Lender Warrant are subject to appropriate adjustments in the event of certain stock dividends and distributions, stock splits, stock combinations, reclassifications or similar events affecting the common stock. The Lender Warrant is exercisable, in the holder’s discretion, by (i) payment in full in immediately available funds for the number of shares of common stock purchased upon such exercise or (ii) a cashless exercise, in which case the holder would receive upon such exercise the net number of shares of common stock determined according to the formula set forth in the Lender Warrant.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is only a brief description of the Loan Agreement and the Lender Warrant, does not purport to be a complete description of the rights and obligations of the parties thereunder and is qualified in its entirety by reference to the Lender Warrant and the Loan Agreement, which will be filed with our Quarterly Report on Form 10-Q for the fiscal quarter ending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relied on the exemption from registration contained in Section 4(a)(2) of the Securities Act in connection with the issuance of the Lender Warrant. The Lender Warrant and the shares of common stock issuable under the Lender Warrant, have not been registered under the Securities Act, or state securities laws, and may not be offered or sold in the United States without being registered with the SEC or through an applicable exemption from SEC registration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60"/>
        <w:gridCol w:w="146"/>
        <w:gridCol w:w="6347"/>
        <w:gridCol w:w="586"/>
        <w:gridCol w:w="754"/>
        <w:gridCol w:w="736"/>
        <w:gridCol w:w="776"/>
      </w:tblGrid>
      <w:tr>
        <w:trPr/>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860"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Filing</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Composite Amended and Restated Certificate of Incorporation of Tenaya Therapeutics, Inc., as amended</w:t>
              </w:r>
            </w:hyperlink>
          </w:p>
        </w:tc>
        <w:tc>
          <w:tcPr>
            <w:tcW w:w="5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5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001-40656</w:t>
            </w:r>
          </w:p>
        </w:tc>
        <w:tc>
          <w:tcPr>
            <w:tcW w:w="7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8-9-2023</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center"/>
              <w:rPr/>
            </w:pPr>
            <w:r>
              <w:rPr/>
              <w:t> </w:t>
            </w:r>
          </w:p>
        </w:tc>
        <w:tc>
          <w:tcPr>
            <w:tcW w:w="754" w:type="dxa"/>
            <w:tcBorders/>
            <w:shd w:fill="FFFFFF" w:val="clear"/>
            <w:vAlign w:val="center"/>
          </w:tcPr>
          <w:p>
            <w:pPr>
              <w:pStyle w:val="TableContents"/>
              <w:bidi w:val="0"/>
              <w:spacing w:before="0" w:after="283"/>
              <w:jc w:val="center"/>
              <w:rPr/>
            </w:pPr>
            <w:r>
              <w:rPr/>
              <w:t> </w:t>
            </w:r>
          </w:p>
        </w:tc>
        <w:tc>
          <w:tcPr>
            <w:tcW w:w="736" w:type="dxa"/>
            <w:tcBorders/>
            <w:shd w:fill="FFFFFF" w:val="clear"/>
            <w:vAlign w:val="center"/>
          </w:tcPr>
          <w:p>
            <w:pPr>
              <w:pStyle w:val="TableContents"/>
              <w:bidi w:val="0"/>
              <w:spacing w:before="0" w:after="283"/>
              <w:jc w:val="center"/>
              <w:rPr/>
            </w:pPr>
            <w:r>
              <w:rPr/>
              <w:t> </w:t>
            </w:r>
          </w:p>
        </w:tc>
        <w:tc>
          <w:tcPr>
            <w:tcW w:w="776" w:type="dxa"/>
            <w:tcBorders/>
            <w:shd w:fill="FFFFFF" w:val="clear"/>
            <w:vAlign w:val="center"/>
          </w:tcPr>
          <w:p>
            <w:pPr>
              <w:pStyle w:val="TableContents"/>
              <w:bidi w:val="0"/>
              <w:spacing w:before="0" w:after="283"/>
              <w:jc w:val="center"/>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Tenaya Therapeutics, Inc.</w:t>
              </w:r>
            </w:hyperlink>
          </w:p>
        </w:tc>
        <w:tc>
          <w:tcPr>
            <w:tcW w:w="5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5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001-40656</w:t>
            </w:r>
          </w:p>
        </w:tc>
        <w:tc>
          <w:tcPr>
            <w:tcW w:w="7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3-21-2023</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10_1.htm">
              <w:r>
                <w:rPr>
                  <w:rStyle w:val="InternetLink"/>
                  <w:rFonts w:ascii="Times New Roman" w:hAnsi="Times New Roman"/>
                  <w:color w:val="0000FF"/>
                  <w:sz w:val="20"/>
                  <w:u w:val="single"/>
                </w:rPr>
                <w:t>First Amendment to Lease between HCP Oyster Point III LLC and the Registrant dated as of September 6, 2016.</w:t>
              </w:r>
            </w:hyperlink>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nya-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vAlign w:val="center"/>
          </w:tcPr>
          <w:p>
            <w:pPr>
              <w:pStyle w:val="TableContents"/>
              <w:bidi w:val="0"/>
              <w:spacing w:before="0" w:after="283"/>
              <w:jc w:val="left"/>
              <w:rPr/>
            </w:pPr>
            <w:r>
              <w:rPr/>
              <w:t> </w:t>
            </w:r>
          </w:p>
        </w:tc>
        <w:tc>
          <w:tcPr>
            <w:tcW w:w="6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Taxonomy Extension Schema With </w:t>
            </w:r>
          </w:p>
        </w:tc>
        <w:tc>
          <w:tcPr>
            <w:tcW w:w="58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957" w:type="dxa"/>
        <w:jc w:val="left"/>
        <w:tblInd w:w="0" w:type="dxa"/>
        <w:tblLayout w:type="fixed"/>
        <w:tblCellMar>
          <w:top w:w="28" w:type="dxa"/>
          <w:left w:w="28" w:type="dxa"/>
          <w:bottom w:w="28" w:type="dxa"/>
          <w:right w:w="28" w:type="dxa"/>
        </w:tblCellMar>
      </w:tblPr>
      <w:tblGrid>
        <w:gridCol w:w="541"/>
        <w:gridCol w:w="146"/>
        <w:gridCol w:w="5641"/>
        <w:gridCol w:w="146"/>
        <w:gridCol w:w="146"/>
        <w:gridCol w:w="146"/>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Embedded Linkbase Documents.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127" w:type="dxa"/>
        <w:jc w:val="left"/>
        <w:tblInd w:w="0" w:type="dxa"/>
        <w:tblLayout w:type="fixed"/>
        <w:tblCellMar>
          <w:top w:w="28" w:type="dxa"/>
          <w:left w:w="28" w:type="dxa"/>
          <w:bottom w:w="28" w:type="dxa"/>
          <w:right w:w="28" w:type="dxa"/>
        </w:tblCellMar>
      </w:tblPr>
      <w:tblGrid>
        <w:gridCol w:w="1846"/>
        <w:gridCol w:w="109"/>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Tenaya Therapeutics,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Faraz Ali,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Faraz Ali,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Leone D. Patterson,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Leone D. Patterson, M.B.A.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and Business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both"/>
        <w:rPr/>
      </w:pPr>
      <w:bookmarkStart w:id="21" w:name="tnya-ex10_1.htm"/>
      <w:bookmarkStart w:id="22" w:name="kstnyaex10_1"/>
      <w:bookmarkEnd w:id="21"/>
      <w:bookmarkEnd w:id="2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10.1</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FIRST AMENDMENT TO LEASE</w:t>
      </w:r>
    </w:p>
    <w:p>
      <w:pPr>
        <w:pStyle w:val="TextBody"/>
        <w:bidi w:val="0"/>
        <w:spacing w:before="240" w:after="283"/>
        <w:jc w:val="both"/>
        <w:rPr>
          <w:rFonts w:ascii="Times New Roman" w:hAnsi="Times New Roman"/>
          <w:sz w:val="20"/>
        </w:rPr>
      </w:pPr>
      <w:r>
        <w:rPr>
          <w:rFonts w:ascii="Times New Roman" w:hAnsi="Times New Roman"/>
          <w:color w:val="000000"/>
          <w:sz w:val="24"/>
        </w:rPr>
        <w:t>This FIRST AMENDMENT TO LEASE ("</w:t>
      </w:r>
      <w:r>
        <w:rPr>
          <w:rFonts w:ascii="Times New Roman" w:hAnsi="Times New Roman"/>
          <w:b/>
          <w:color w:val="000000"/>
          <w:sz w:val="24"/>
        </w:rPr>
        <w:t>First Amendment</w:t>
      </w:r>
      <w:r>
        <w:rPr>
          <w:rFonts w:ascii="Times New Roman" w:hAnsi="Times New Roman"/>
          <w:color w:val="000000"/>
          <w:sz w:val="24"/>
        </w:rPr>
        <w:t>") is made and entered into as of June 14, 2024, by and between HCP OYSTER POINT III LLC, a Delaware limited liability company ("</w:t>
      </w:r>
      <w:r>
        <w:rPr>
          <w:rFonts w:ascii="Times New Roman" w:hAnsi="Times New Roman"/>
          <w:b/>
          <w:color w:val="000000"/>
          <w:sz w:val="24"/>
        </w:rPr>
        <w:t>Landlord</w:t>
      </w:r>
      <w:r>
        <w:rPr>
          <w:rFonts w:ascii="Times New Roman" w:hAnsi="Times New Roman"/>
          <w:color w:val="000000"/>
          <w:sz w:val="24"/>
        </w:rPr>
        <w:t>"), and TENAYA THERAPEUTICS, INC., a Delaware corporation ("</w:t>
      </w:r>
      <w:r>
        <w:rPr>
          <w:rFonts w:ascii="Times New Roman" w:hAnsi="Times New Roman"/>
          <w:b/>
          <w:color w:val="000000"/>
          <w:sz w:val="24"/>
        </w:rPr>
        <w:t>Tenant</w:t>
      </w:r>
      <w:r>
        <w:rPr>
          <w:rFonts w:ascii="Times New Roman" w:hAnsi="Times New Roman"/>
          <w:color w:val="000000"/>
          <w:sz w:val="24"/>
        </w:rPr>
        <w:t>").</w:t>
      </w:r>
    </w:p>
    <w:p>
      <w:pPr>
        <w:pStyle w:val="TextBody"/>
        <w:bidi w:val="0"/>
        <w:spacing w:before="480" w:after="240"/>
        <w:jc w:val="center"/>
        <w:rPr>
          <w:rFonts w:ascii="Times New Roman" w:hAnsi="Times New Roman"/>
          <w:sz w:val="20"/>
        </w:rPr>
      </w:pPr>
      <w:r>
        <w:rPr>
          <w:rFonts w:ascii="Times New Roman" w:hAnsi="Times New Roman"/>
          <w:caps/>
          <w:color w:val="000000"/>
          <w:sz w:val="24"/>
          <w:u w:val="single"/>
        </w:rPr>
        <w:t xml:space="preserve">r e c i t a l s </w:t>
      </w:r>
      <w:r>
        <w:rPr>
          <w:rFonts w:ascii="Times New Roman" w:hAnsi="Times New Roman"/>
          <w:caps/>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Landlord and Tenant (as successor-in-interest to The Column Group, LLC) are parties to the Lease dated September 6, 2016 (the "</w:t>
      </w:r>
      <w:r>
        <w:rPr>
          <w:rFonts w:ascii="Times New Roman" w:hAnsi="Times New Roman"/>
          <w:b/>
          <w:color w:val="000000"/>
          <w:sz w:val="24"/>
        </w:rPr>
        <w:t>Lease</w:t>
      </w:r>
      <w:r>
        <w:rPr>
          <w:rFonts w:ascii="Times New Roman" w:hAnsi="Times New Roman"/>
          <w:color w:val="000000"/>
          <w:sz w:val="24"/>
        </w:rPr>
        <w:t>"), pursuant to which Tenant leases approximately 32,370 rentable square feet of space (the "</w:t>
      </w:r>
      <w:r>
        <w:rPr>
          <w:rFonts w:ascii="Times New Roman" w:hAnsi="Times New Roman"/>
          <w:b/>
          <w:color w:val="000000"/>
          <w:sz w:val="24"/>
        </w:rPr>
        <w:t>Premises</w:t>
      </w:r>
      <w:r>
        <w:rPr>
          <w:rFonts w:ascii="Times New Roman" w:hAnsi="Times New Roman"/>
          <w:color w:val="000000"/>
          <w:sz w:val="24"/>
        </w:rPr>
        <w:t>") on the fifth (5</w:t>
      </w:r>
      <w:r>
        <w:rPr>
          <w:rFonts w:ascii="Times New Roman" w:hAnsi="Times New Roman"/>
          <w:color w:val="000000"/>
          <w:sz w:val="16"/>
        </w:rPr>
        <w:t>th</w:t>
      </w:r>
      <w:r>
        <w:rPr>
          <w:rFonts w:ascii="Times New Roman" w:hAnsi="Times New Roman"/>
          <w:color w:val="000000"/>
          <w:sz w:val="24"/>
        </w:rPr>
        <w:t>) floor of the building (the "</w:t>
      </w:r>
      <w:r>
        <w:rPr>
          <w:rFonts w:ascii="Times New Roman" w:hAnsi="Times New Roman"/>
          <w:b/>
          <w:color w:val="000000"/>
          <w:sz w:val="24"/>
        </w:rPr>
        <w:t>Building</w:t>
      </w:r>
      <w:r>
        <w:rPr>
          <w:rFonts w:ascii="Times New Roman" w:hAnsi="Times New Roman"/>
          <w:color w:val="000000"/>
          <w:sz w:val="24"/>
        </w:rPr>
        <w:t>") located at 171 Oyster Point Boulevard, South San Francisco, California 94080.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parties desire to amend the Lease on the terms and conditions set forth in this First Amendment.</w:t>
      </w:r>
    </w:p>
    <w:p>
      <w:pPr>
        <w:pStyle w:val="TextBody"/>
        <w:bidi w:val="0"/>
        <w:spacing w:before="480" w:after="240"/>
        <w:jc w:val="center"/>
        <w:rPr>
          <w:rFonts w:ascii="Times New Roman" w:hAnsi="Times New Roman"/>
          <w:sz w:val="20"/>
        </w:rPr>
      </w:pPr>
      <w:r>
        <w:rPr>
          <w:rFonts w:ascii="Times New Roman" w:hAnsi="Times New Roman"/>
          <w:caps/>
          <w:color w:val="000000"/>
          <w:sz w:val="24"/>
          <w:u w:val="single"/>
        </w:rPr>
        <w:t xml:space="preserve">a g r e e m e n t </w:t>
      </w:r>
      <w:r>
        <w:rPr>
          <w:rFonts w:ascii="Times New Roman" w:hAnsi="Times New Roman"/>
          <w:caps/>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the foregoing recitals and the mutual covenants contained herein, and for other good and valuable consideration, the receipt and sufficiency of which are hereby acknowledged, the parties hereto hereby agree as follows:</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240" w:after="283"/>
        <w:jc w:val="both"/>
        <w:rPr/>
      </w:pPr>
      <w:r>
        <w:rPr>
          <w:rFonts w:ascii="Times New Roman" w:hAnsi="Times New Roman"/>
          <w:b/>
          <w:color w:val="000000"/>
          <w:sz w:val="24"/>
          <w:u w:val="single"/>
        </w:rPr>
        <w:t>Terms</w:t>
      </w:r>
      <w:r>
        <w:rPr>
          <w:rFonts w:ascii="Times New Roman" w:hAnsi="Times New Roman"/>
          <w:color w:val="000000"/>
          <w:sz w:val="24"/>
        </w:rPr>
        <w:t>. All capitalized terms when used herein shall have the same respective meanings as are given such terms in the Lease unless expressly provided otherwise in this First</w:t>
      </w:r>
      <w:r>
        <w:rPr>
          <w:color w:val="000000"/>
        </w:rPr>
        <w:t xml:space="preserve"> </w:t>
      </w:r>
      <w:r>
        <w:rPr>
          <w:rFonts w:ascii="Times New Roman" w:hAnsi="Times New Roman"/>
          <w:color w:val="000000"/>
          <w:sz w:val="24"/>
        </w:rPr>
        <w:t>Amendment.</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240" w:after="283"/>
        <w:jc w:val="both"/>
        <w:rPr/>
      </w:pPr>
      <w:r>
        <w:rPr>
          <w:rFonts w:ascii="Times New Roman" w:hAnsi="Times New Roman"/>
          <w:b/>
          <w:color w:val="000000"/>
          <w:sz w:val="24"/>
          <w:u w:val="single"/>
        </w:rPr>
        <w:t>Condition of the Premises</w:t>
      </w:r>
      <w:r>
        <w:rPr>
          <w:rFonts w:ascii="Times New Roman" w:hAnsi="Times New Roman"/>
          <w:color w:val="000000"/>
          <w:sz w:val="24"/>
        </w:rPr>
        <w:t>. Landlord and Tenant acknowledge that Tenant has been occupying the Premises pursuant to the Lease, and therefore Tenant continues to accept the Premises in its presently existing, "as is" condition, subject to Landlord’s ongoing maintenance, repair and compliance obligations under the Lease. Landlord shall not be obligated to provide or pay for any improvement work or services related to the improvement of the Premises, except for Landlord’s ongoing maintenance, repair and compliance obligations under the Lease. Tenant also acknowledges that neither Landlord nor any agent of Landlord has made any representation or warranty regarding the condition of the Premises, the Building, or the Project or with respect to the suitability of the same for the conduct of Tenant's business, except to the extent expressly provided in the Lease.</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240" w:after="283"/>
        <w:jc w:val="both"/>
        <w:rPr/>
      </w:pPr>
      <w:r>
        <w:rPr>
          <w:rFonts w:ascii="Times New Roman" w:hAnsi="Times New Roman"/>
          <w:b/>
          <w:color w:val="000000"/>
          <w:sz w:val="24"/>
          <w:u w:val="single"/>
        </w:rPr>
        <w:t>Lease Term</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3.1</w:t>
      </w:r>
    </w:p>
    <w:p>
      <w:pPr>
        <w:pStyle w:val="TextBody"/>
        <w:bidi w:val="0"/>
        <w:spacing w:before="240" w:after="283"/>
        <w:jc w:val="both"/>
        <w:rPr/>
      </w:pPr>
      <w:r>
        <w:rPr>
          <w:rFonts w:ascii="Times New Roman" w:hAnsi="Times New Roman"/>
          <w:b/>
          <w:color w:val="000000"/>
          <w:sz w:val="24"/>
          <w:u w:val="single"/>
        </w:rPr>
        <w:t>Extended Lease Term</w:t>
      </w:r>
      <w:r>
        <w:rPr>
          <w:rFonts w:ascii="Times New Roman" w:hAnsi="Times New Roman"/>
          <w:color w:val="000000"/>
          <w:sz w:val="24"/>
        </w:rPr>
        <w:t>. Pursuant to the Lease, the Lease Term is scheduled to expire on May 31, 2025. Landlord and Tenant hereby agree to extend the Lease Term for a period of thirty (30) months, from June 1, 2025, through November 30, 2027 (the "</w:t>
      </w:r>
      <w:r>
        <w:rPr>
          <w:rFonts w:ascii="Times New Roman" w:hAnsi="Times New Roman"/>
          <w:b/>
          <w:color w:val="000000"/>
          <w:sz w:val="24"/>
        </w:rPr>
        <w:t xml:space="preserve">Extended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jc w:val="right"/>
              <w:rPr/>
            </w:pPr>
            <w:r>
              <w:rPr/>
              <w:t> </w:t>
            </w:r>
          </w:p>
          <w:p>
            <w:pPr>
              <w:pStyle w:val="TableContents"/>
              <w:bidi w:val="0"/>
              <w:spacing w:before="0" w:after="283"/>
              <w:jc w:val="righ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pPr>
      <w:r>
        <w:rPr>
          <w:rFonts w:ascii="Times New Roman" w:hAnsi="Times New Roman"/>
          <w:b/>
          <w:color w:val="000000"/>
          <w:sz w:val="24"/>
        </w:rPr>
        <w:t>Term</w:t>
      </w:r>
      <w:r>
        <w:rPr>
          <w:rFonts w:ascii="Times New Roman" w:hAnsi="Times New Roman"/>
          <w:color w:val="000000"/>
          <w:sz w:val="24"/>
        </w:rPr>
        <w:t>"), on the terms and conditions set forth in the Lease, as hereby amended by this First</w:t>
      </w:r>
      <w:r>
        <w:rPr>
          <w:color w:val="000000"/>
        </w:rPr>
        <w:t xml:space="preserve"> </w:t>
      </w:r>
      <w:r>
        <w:rPr>
          <w:rFonts w:ascii="Times New Roman" w:hAnsi="Times New Roman"/>
          <w:color w:val="000000"/>
          <w:sz w:val="24"/>
        </w:rPr>
        <w:t>Amendment, unless sooner terminated as provided in the Lease.</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3.2</w:t>
      </w:r>
    </w:p>
    <w:p>
      <w:pPr>
        <w:pStyle w:val="TextBody"/>
        <w:bidi w:val="0"/>
        <w:spacing w:before="240" w:after="283"/>
        <w:jc w:val="both"/>
        <w:rPr/>
      </w:pPr>
      <w:r>
        <w:rPr>
          <w:rFonts w:ascii="Times New Roman" w:hAnsi="Times New Roman"/>
          <w:b/>
          <w:color w:val="000000"/>
          <w:sz w:val="24"/>
          <w:u w:val="single"/>
        </w:rPr>
        <w:t>Option to Extend Lease Term</w:t>
      </w:r>
      <w:r>
        <w:rPr>
          <w:rFonts w:ascii="Times New Roman" w:hAnsi="Times New Roman"/>
          <w:color w:val="000000"/>
          <w:sz w:val="24"/>
        </w:rPr>
        <w:t xml:space="preserve">. Landlord and Tenant acknowledge and agree that the Extended Term provided herein shall be deemed to represent the first of Tenant's two (2) options to extend the Lease Term as provided in </w:t>
      </w:r>
      <w:r>
        <w:rPr>
          <w:rFonts w:ascii="Times New Roman" w:hAnsi="Times New Roman"/>
          <w:color w:val="000000"/>
          <w:sz w:val="24"/>
          <w:u w:val="single"/>
        </w:rPr>
        <w:t>Section 2.2</w:t>
      </w:r>
      <w:r>
        <w:rPr>
          <w:color w:val="000000"/>
        </w:rPr>
        <w:t xml:space="preserve"> </w:t>
      </w:r>
      <w:r>
        <w:rPr>
          <w:rFonts w:ascii="Times New Roman" w:hAnsi="Times New Roman"/>
          <w:color w:val="000000"/>
          <w:sz w:val="24"/>
        </w:rPr>
        <w:t xml:space="preserve">of the Lease, and that effective as of the date of this First Amendment, Tenant shall continue to have only one (1) option to extend the Lease Term for a period of five (5) years at the end of the Extended Term in accordance with, and pursuant to the terms of, </w:t>
      </w:r>
      <w:r>
        <w:rPr>
          <w:rFonts w:ascii="Times New Roman" w:hAnsi="Times New Roman"/>
          <w:color w:val="000000"/>
          <w:sz w:val="24"/>
          <w:u w:val="single"/>
        </w:rPr>
        <w:t>Section 2.2</w:t>
      </w:r>
      <w:r>
        <w:rPr>
          <w:color w:val="000000"/>
        </w:rPr>
        <w:t xml:space="preserve"> </w:t>
      </w:r>
      <w:r>
        <w:rPr>
          <w:rFonts w:ascii="Times New Roman" w:hAnsi="Times New Roman"/>
          <w:color w:val="000000"/>
          <w:sz w:val="24"/>
        </w:rPr>
        <w:t>of the Lease. The last sentence of Section 2.2.1 of the Lease is of no further force and effect.</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240" w:after="283"/>
        <w:jc w:val="both"/>
        <w:rPr/>
      </w:pPr>
      <w:r>
        <w:rPr>
          <w:rFonts w:ascii="Times New Roman" w:hAnsi="Times New Roman"/>
          <w:b/>
          <w:color w:val="000000"/>
          <w:sz w:val="24"/>
          <w:u w:val="single"/>
        </w:rPr>
        <w:t>Rent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4.1</w:t>
      </w:r>
    </w:p>
    <w:p>
      <w:pPr>
        <w:pStyle w:val="TextBody"/>
        <w:bidi w:val="0"/>
        <w:spacing w:before="240" w:after="283"/>
        <w:jc w:val="both"/>
        <w:rPr/>
      </w:pPr>
      <w:r>
        <w:rPr>
          <w:rFonts w:ascii="Times New Roman" w:hAnsi="Times New Roman"/>
          <w:b/>
          <w:color w:val="000000"/>
          <w:sz w:val="24"/>
          <w:u w:val="single"/>
        </w:rPr>
        <w:t>Base Rent</w:t>
      </w:r>
      <w:r>
        <w:rPr>
          <w:rFonts w:ascii="Times New Roman" w:hAnsi="Times New Roman"/>
          <w:color w:val="000000"/>
          <w:sz w:val="24"/>
        </w:rPr>
        <w:t>. Prior to June 1, 2025, Tenant shall continue to pay monthly installments of Base Rent for the Premises in accordance with the terms of the Lease. During the Extended Term, Tenant shall pay monthly installments of Base Rent for the Premises as follows, and otherwise shall pay Base Rent in accordance with the terms of the Lease:</w:t>
      </w:r>
    </w:p>
    <w:tbl>
      <w:tblPr>
        <w:tblW w:w="8959" w:type="dxa"/>
        <w:jc w:val="left"/>
        <w:tblInd w:w="0" w:type="dxa"/>
        <w:tblLayout w:type="fixed"/>
        <w:tblCellMar>
          <w:top w:w="28" w:type="dxa"/>
          <w:left w:w="28" w:type="dxa"/>
          <w:bottom w:w="28" w:type="dxa"/>
          <w:right w:w="28" w:type="dxa"/>
        </w:tblCellMar>
      </w:tblPr>
      <w:tblGrid>
        <w:gridCol w:w="2026"/>
        <w:gridCol w:w="1486"/>
        <w:gridCol w:w="2011"/>
        <w:gridCol w:w="3436"/>
      </w:tblGrid>
      <w:tr>
        <w:trPr/>
        <w:tc>
          <w:tcPr>
            <w:tcW w:w="20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sz w:val="24"/>
              </w:rPr>
            </w:pPr>
            <w:r>
              <w:rPr>
                <w:rFonts w:ascii="Times New Roman" w:hAnsi="Times New Roman"/>
                <w:color w:val="000000"/>
                <w:sz w:val="24"/>
              </w:rPr>
              <w:t>Period During</w:t>
            </w:r>
            <w:r>
              <w:rPr>
                <w:rFonts w:ascii="Times New Roman" w:hAnsi="Times New Roman"/>
                <w:color w:val="000000"/>
                <w:sz w:val="24"/>
                <w:u w:val="single"/>
              </w:rPr>
              <w:br/>
              <w:t>Extended Term</w:t>
            </w:r>
          </w:p>
        </w:tc>
        <w:tc>
          <w:tcPr>
            <w:tcW w:w="148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sz w:val="24"/>
              </w:rPr>
            </w:pPr>
            <w:r>
              <w:rPr>
                <w:rFonts w:ascii="Times New Roman" w:hAnsi="Times New Roman"/>
                <w:color w:val="000000"/>
                <w:sz w:val="24"/>
              </w:rPr>
              <w:t>Annual</w:t>
              <w:br/>
            </w:r>
            <w:r>
              <w:rPr>
                <w:rFonts w:ascii="Times New Roman" w:hAnsi="Times New Roman"/>
                <w:color w:val="000000"/>
                <w:sz w:val="24"/>
                <w:u w:val="single"/>
              </w:rPr>
              <w:t>Base Rent</w:t>
            </w:r>
          </w:p>
        </w:tc>
        <w:tc>
          <w:tcPr>
            <w:tcW w:w="201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sz w:val="24"/>
              </w:rPr>
            </w:pPr>
            <w:r>
              <w:rPr>
                <w:rFonts w:ascii="Times New Roman" w:hAnsi="Times New Roman"/>
                <w:color w:val="000000"/>
                <w:sz w:val="24"/>
              </w:rPr>
              <w:t>Monthly Installment</w:t>
              <w:br/>
            </w:r>
            <w:r>
              <w:rPr>
                <w:rFonts w:ascii="Times New Roman" w:hAnsi="Times New Roman"/>
                <w:color w:val="000000"/>
                <w:sz w:val="24"/>
                <w:u w:val="single"/>
              </w:rPr>
              <w:t>of Base Rent</w:t>
            </w:r>
          </w:p>
        </w:tc>
        <w:tc>
          <w:tcPr>
            <w:tcW w:w="343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sz w:val="24"/>
              </w:rPr>
            </w:pPr>
            <w:r>
              <w:rPr>
                <w:rFonts w:ascii="Times New Roman" w:hAnsi="Times New Roman"/>
                <w:color w:val="000000"/>
                <w:sz w:val="24"/>
              </w:rPr>
              <w:t>Approximate Monthly Rental Rate</w:t>
              <w:br/>
            </w:r>
            <w:r>
              <w:rPr>
                <w:rFonts w:ascii="Times New Roman" w:hAnsi="Times New Roman"/>
                <w:color w:val="000000"/>
                <w:sz w:val="24"/>
                <w:u w:val="single"/>
              </w:rPr>
              <w:t>per Square Foot</w:t>
            </w:r>
          </w:p>
        </w:tc>
      </w:tr>
      <w:tr>
        <w:trPr/>
        <w:tc>
          <w:tcPr>
            <w:tcW w:w="202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4"/>
              </w:rPr>
            </w:pPr>
            <w:r>
              <w:rPr>
                <w:rFonts w:ascii="Times New Roman" w:hAnsi="Times New Roman"/>
                <w:color w:val="000000"/>
                <w:sz w:val="24"/>
              </w:rPr>
              <w:t xml:space="preserve">June 1, 2025 – </w:t>
              <w:br/>
              <w:t>May 31, 2026</w:t>
            </w:r>
          </w:p>
        </w:tc>
        <w:tc>
          <w:tcPr>
            <w:tcW w:w="148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4"/>
              </w:rPr>
            </w:pPr>
            <w:r>
              <w:rPr>
                <w:rFonts w:ascii="Times New Roman" w:hAnsi="Times New Roman"/>
                <w:color w:val="000000"/>
                <w:sz w:val="24"/>
              </w:rPr>
              <w:t>$2,427,750.00</w:t>
            </w:r>
          </w:p>
        </w:tc>
        <w:tc>
          <w:tcPr>
            <w:tcW w:w="201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4"/>
              </w:rPr>
            </w:pPr>
            <w:r>
              <w:rPr>
                <w:rFonts w:ascii="Times New Roman" w:hAnsi="Times New Roman"/>
                <w:color w:val="000000"/>
                <w:sz w:val="24"/>
              </w:rPr>
              <w:t>$202,312.50</w:t>
            </w:r>
          </w:p>
        </w:tc>
        <w:tc>
          <w:tcPr>
            <w:tcW w:w="343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4"/>
              </w:rPr>
            </w:pPr>
            <w:r>
              <w:rPr>
                <w:rFonts w:ascii="Times New Roman" w:hAnsi="Times New Roman"/>
                <w:color w:val="000000"/>
                <w:sz w:val="24"/>
              </w:rPr>
              <w:t>$6.25</w:t>
            </w:r>
          </w:p>
        </w:tc>
      </w:tr>
      <w:tr>
        <w:trPr/>
        <w:tc>
          <w:tcPr>
            <w:tcW w:w="202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4"/>
              </w:rPr>
            </w:pPr>
            <w:r>
              <w:rPr>
                <w:rFonts w:ascii="Times New Roman" w:hAnsi="Times New Roman"/>
                <w:color w:val="000000"/>
                <w:sz w:val="24"/>
              </w:rPr>
              <w:t xml:space="preserve">June 1, 2026 – </w:t>
              <w:br/>
              <w:t>May 31, 2027</w:t>
            </w:r>
          </w:p>
        </w:tc>
        <w:tc>
          <w:tcPr>
            <w:tcW w:w="148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4"/>
              </w:rPr>
            </w:pPr>
            <w:r>
              <w:rPr>
                <w:rFonts w:ascii="Times New Roman" w:hAnsi="Times New Roman"/>
                <w:color w:val="000000"/>
                <w:sz w:val="24"/>
              </w:rPr>
              <w:t>$2,512,721.25</w:t>
            </w:r>
          </w:p>
        </w:tc>
        <w:tc>
          <w:tcPr>
            <w:tcW w:w="201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4"/>
              </w:rPr>
            </w:pPr>
            <w:r>
              <w:rPr>
                <w:rFonts w:ascii="Times New Roman" w:hAnsi="Times New Roman"/>
                <w:color w:val="000000"/>
                <w:sz w:val="24"/>
              </w:rPr>
              <w:t>$209,393.44</w:t>
            </w:r>
          </w:p>
        </w:tc>
        <w:tc>
          <w:tcPr>
            <w:tcW w:w="343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4"/>
              </w:rPr>
            </w:pPr>
            <w:r>
              <w:rPr>
                <w:rFonts w:ascii="Times New Roman" w:hAnsi="Times New Roman"/>
                <w:color w:val="000000"/>
                <w:sz w:val="24"/>
              </w:rPr>
              <w:t>$6.47</w:t>
            </w:r>
          </w:p>
        </w:tc>
      </w:tr>
      <w:tr>
        <w:trPr/>
        <w:tc>
          <w:tcPr>
            <w:tcW w:w="202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4"/>
              </w:rPr>
            </w:pPr>
            <w:r>
              <w:rPr>
                <w:rFonts w:ascii="Times New Roman" w:hAnsi="Times New Roman"/>
                <w:color w:val="000000"/>
                <w:sz w:val="24"/>
              </w:rPr>
              <w:t xml:space="preserve">June 1, 2027 – </w:t>
              <w:br/>
              <w:t>November 30, 2027</w:t>
            </w:r>
          </w:p>
        </w:tc>
        <w:tc>
          <w:tcPr>
            <w:tcW w:w="148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4"/>
              </w:rPr>
            </w:pPr>
            <w:r>
              <w:rPr>
                <w:rFonts w:ascii="Times New Roman" w:hAnsi="Times New Roman"/>
                <w:color w:val="000000"/>
                <w:sz w:val="24"/>
              </w:rPr>
              <w:t>N/A</w:t>
            </w:r>
          </w:p>
        </w:tc>
        <w:tc>
          <w:tcPr>
            <w:tcW w:w="201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4"/>
              </w:rPr>
            </w:pPr>
            <w:r>
              <w:rPr>
                <w:rFonts w:ascii="Times New Roman" w:hAnsi="Times New Roman"/>
                <w:color w:val="000000"/>
                <w:sz w:val="24"/>
              </w:rPr>
              <w:t>$216,722.21</w:t>
            </w:r>
          </w:p>
        </w:tc>
        <w:tc>
          <w:tcPr>
            <w:tcW w:w="343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4"/>
              </w:rPr>
            </w:pPr>
            <w:r>
              <w:rPr>
                <w:rFonts w:ascii="Times New Roman" w:hAnsi="Times New Roman"/>
                <w:color w:val="000000"/>
                <w:sz w:val="24"/>
              </w:rPr>
              <w:t>$6.70</w:t>
            </w:r>
          </w:p>
        </w:tc>
      </w:tr>
    </w:tbl>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avoidance of doubt, there shall be no First or Second Additional TI Allowance Payments due during the Extended Term.</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4.2</w:t>
      </w:r>
    </w:p>
    <w:p>
      <w:pPr>
        <w:pStyle w:val="TextBody"/>
        <w:bidi w:val="0"/>
        <w:spacing w:before="240" w:after="283"/>
        <w:jc w:val="both"/>
        <w:rPr/>
      </w:pPr>
      <w:r>
        <w:rPr>
          <w:rFonts w:ascii="Times New Roman" w:hAnsi="Times New Roman"/>
          <w:b/>
          <w:color w:val="000000"/>
          <w:sz w:val="24"/>
          <w:u w:val="single"/>
        </w:rPr>
        <w:t>Direct Expenses</w:t>
      </w:r>
      <w:r>
        <w:rPr>
          <w:rFonts w:ascii="Times New Roman" w:hAnsi="Times New Roman"/>
          <w:color w:val="000000"/>
          <w:sz w:val="24"/>
        </w:rPr>
        <w:t xml:space="preserve">. Prior to and continuing throughout the Extended Term, Tenant shall continue to be obligated to pay Tenant's Share of the annual Direct Expenses in accordance with the terms of the Lease. </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240" w:after="283"/>
        <w:jc w:val="both"/>
        <w:rPr/>
      </w:pPr>
      <w:r>
        <w:rPr>
          <w:rFonts w:ascii="Times New Roman" w:hAnsi="Times New Roman"/>
          <w:b/>
          <w:color w:val="000000"/>
          <w:sz w:val="24"/>
          <w:u w:val="single"/>
        </w:rPr>
        <w:t>No Defaults</w:t>
      </w:r>
      <w:r>
        <w:rPr>
          <w:rFonts w:ascii="Times New Roman" w:hAnsi="Times New Roman"/>
          <w:color w:val="000000"/>
          <w:sz w:val="24"/>
        </w:rPr>
        <w:t xml:space="preserve">. Tenant hereby represents and warrants to Landlord that, as of the date of this First Amendment, Tenant is in full compliance with all terms, covenants and conditions of the Lease, that Tenant has no actual knowledge, without inquiry, of any breaches or defaults under the Lease by Landlord or Tenant. In addition to any other events of default specified elsewhere in the Lease, the occurrence of the following shall constitute a default of the Lease by Tenant: to the extent permitted by Applicable Laws, (i) Tenant or any guarantor of the Lease being placed into receivership or conservatorship, or becoming subject to similar proceedings under Federal or State law unless dismissed within thirty (30) days, or (ii) a general assignment by Tenant or any guarantor of the Lease for the benefit of creditors, or (iii) the filing by or against Tenant or any guarantor of any proceeding under an insolvency or bankruptcy law, unless in the case of such a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righ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pPr>
      <w:r>
        <w:rPr>
          <w:rFonts w:ascii="Times New Roman" w:hAnsi="Times New Roman"/>
          <w:color w:val="000000"/>
          <w:sz w:val="24"/>
        </w:rPr>
        <w:t>proceeding filed against Tenant or any guarantor the same is dismissed within sixty (60) days, or (iv) the appointment of a trustee or receiver to take possession of all or substantially all of the assets of Tenant or any guarantor, unless possession is restored to Tenant or such guarantor within thirty (30) days, or (v) any execution or other judicially authorized seizure of all or substantially all of Tenant's assets located upon the Premises or of Tenant's interest in the Lease, unless such seizure is discharged within thirty (30) days.</w:t>
      </w:r>
      <w:r>
        <w:rPr>
          <w:color w:val="000000"/>
        </w:rPr>
        <w:t xml:space="preserve"> </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240" w:after="283"/>
        <w:jc w:val="both"/>
        <w:rPr/>
      </w:pPr>
      <w:r>
        <w:rPr>
          <w:rFonts w:ascii="Times New Roman" w:hAnsi="Times New Roman"/>
          <w:b/>
          <w:color w:val="000000"/>
          <w:sz w:val="24"/>
          <w:u w:val="single"/>
        </w:rPr>
        <w:t>Utility Information</w:t>
      </w:r>
      <w:r>
        <w:rPr>
          <w:rFonts w:ascii="Times New Roman" w:hAnsi="Times New Roman"/>
          <w:color w:val="000000"/>
          <w:sz w:val="24"/>
        </w:rPr>
        <w:t>. Tenant hereby acknowledges that Landlord may be required to disclose certain information concerning the energy performance of the Building pursuant to Applicable Laws, and Tenant hereby (i) consents to all such disclosures required by Applicable Laws only, and (ii) acknowledges that Landlord shall not be required to notify Tenant of any such disclosures. In the event that Tenant is permitted to contract directly for the provision of electricity, gas, water or other utility services to the Premises with the third-party provider as described in the Lease, then (x) Tenant shall provide Landlord a copy of every invoice for such services within ten (10) business days following Landlord's request, and (y) upon request of Landlord, Tenant shall provide Landlord with written authorization to any such utility company to release utility consumption information to Landlord (and such other information or authorization(s) as may be necessary for any such utility company to provide such information to Landlord). In addition, Tenant shall otherwise cooperate with Landlord as necessary for Landlord to obtain information and data on the energy and other utility services being consumed at the Premises, and Tenant agrees to take such reasonable further actions as are necessary in connection with the same (or to otherwise further the purposes of this paragraph). The terms of this paragraph shall survive the expiration or earlier termination of this Lease.</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240" w:after="283"/>
        <w:jc w:val="both"/>
        <w:rPr/>
      </w:pPr>
      <w:r>
        <w:rPr>
          <w:rFonts w:ascii="Times New Roman" w:hAnsi="Times New Roman"/>
          <w:b/>
          <w:color w:val="000000"/>
          <w:sz w:val="24"/>
          <w:u w:val="single"/>
        </w:rPr>
        <w:t>Brokers</w:t>
      </w:r>
      <w:r>
        <w:rPr>
          <w:rFonts w:ascii="Times New Roman" w:hAnsi="Times New Roman"/>
          <w:color w:val="000000"/>
          <w:sz w:val="24"/>
        </w:rPr>
        <w:t>. Landlord and Tenant hereby warrant to each other that they have had no dealings with any real estate broker or agent in connection with the negotiation of this First Amendment other than CBRE, Inc. and Newmark (the "</w:t>
      </w:r>
      <w:r>
        <w:rPr>
          <w:rFonts w:ascii="Times New Roman" w:hAnsi="Times New Roman"/>
          <w:b/>
          <w:color w:val="000000"/>
          <w:sz w:val="24"/>
        </w:rPr>
        <w:t>Brokers</w:t>
      </w:r>
      <w:r>
        <w:rPr>
          <w:rFonts w:ascii="Times New Roman" w:hAnsi="Times New Roman"/>
          <w:color w:val="000000"/>
          <w:sz w:val="24"/>
        </w:rPr>
        <w:t xml:space="preserve">"), and that they know of no other real estate broker or agent who is entitled to a commission in connection with this First Amendment.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w:t>
      </w:r>
      <w:r>
        <w:rPr>
          <w:rFonts w:ascii="Times New Roman" w:hAnsi="Times New Roman"/>
          <w:color w:val="000000"/>
          <w:sz w:val="24"/>
          <w:u w:val="single"/>
        </w:rPr>
        <w:t>Section 7</w:t>
      </w:r>
      <w:r>
        <w:rPr>
          <w:color w:val="000000"/>
        </w:rPr>
        <w:t xml:space="preserve"> </w:t>
      </w:r>
      <w:r>
        <w:rPr>
          <w:rFonts w:ascii="Times New Roman" w:hAnsi="Times New Roman"/>
          <w:color w:val="000000"/>
          <w:sz w:val="24"/>
        </w:rPr>
        <w:t>shall survive the expiration or earlier termination of the term of the Lease, as hereby amended.</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240" w:after="283"/>
        <w:jc w:val="both"/>
        <w:rPr/>
      </w:pPr>
      <w:r>
        <w:rPr>
          <w:rFonts w:ascii="Times New Roman" w:hAnsi="Times New Roman"/>
          <w:b/>
          <w:color w:val="000000"/>
          <w:sz w:val="24"/>
          <w:u w:val="single"/>
        </w:rPr>
        <w:t>Letter of Credit</w:t>
      </w:r>
      <w:r>
        <w:rPr>
          <w:rFonts w:ascii="Times New Roman" w:hAnsi="Times New Roman"/>
          <w:color w:val="000000"/>
          <w:sz w:val="24"/>
        </w:rPr>
        <w:t xml:space="preserve">. The “L-C”, as that term is defined in the Lease, currently held by Landlord is in the amount of $399,481.70. Landlord shall continue to hold such L-C throughout the Extended Term, and in connection therewith Tenant shall provide to Landlord an amendment to the L-C (in form and content reasonably acceptable to Landlord) in order that the current and final expiration dates of the L-C shall be modified as necessary to take into account the extension of the Lease Term provided for in this First Amendment. </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9.</w:t>
      </w:r>
    </w:p>
    <w:p>
      <w:pPr>
        <w:pStyle w:val="TextBody"/>
        <w:bidi w:val="0"/>
        <w:spacing w:before="240" w:after="283"/>
        <w:jc w:val="both"/>
        <w:rPr/>
      </w:pPr>
      <w:r>
        <w:rPr>
          <w:rFonts w:ascii="Times New Roman" w:hAnsi="Times New Roman"/>
          <w:b/>
          <w:color w:val="000000"/>
          <w:sz w:val="24"/>
          <w:u w:val="single"/>
        </w:rPr>
        <w:t>California Required Disclosures</w:t>
      </w:r>
      <w:r>
        <w:rPr>
          <w:rFonts w:ascii="Times New Roman" w:hAnsi="Times New Roman"/>
          <w:color w:val="000000"/>
          <w:sz w:val="24"/>
        </w:rPr>
        <w:t xml:space="preserve">. For purposes of Section 1938 of the California Civil Code, Landlord hereby discloses to Tenant, and Tenant hereby acknowledges that the Common Areas and the Premises have not undergone inspection by a Certified Access Specialist (CASp). As required by Section 1938(e) of the California Civil Code, Landlord hereby states as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righ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Tenant's sole cost and expense, by a CASp approved in advance by Landlord; and (b) pursuant to the Lease, but subject to Section 10.2 thereof, Tenant, at its cost, is responsible for making any repairs within the Premises to correct violations of construction-related accessibility standards; and, if anything done by or for Tenant in its use or occupancy of the Premises shall require repairs to the Building (outside the Premises) to correct violations of construction-related accessibility standards, then Tenant shall, at Landlord's option, either perform such repairs at Tenant's sole cost and expense or reimburse Landlord upon demand, as Additional Rent, for the cost to Landlord of performing such repairs. Tenant’s obligations under this Section 9 and subject to the limitations in Section 10.2 of the Lease.</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10.</w:t>
      </w:r>
    </w:p>
    <w:p>
      <w:pPr>
        <w:pStyle w:val="TextBody"/>
        <w:bidi w:val="0"/>
        <w:spacing w:before="240" w:after="283"/>
        <w:jc w:val="both"/>
        <w:rPr/>
      </w:pPr>
      <w:r>
        <w:rPr>
          <w:rFonts w:ascii="Times New Roman" w:hAnsi="Times New Roman"/>
          <w:b/>
          <w:color w:val="000000"/>
          <w:sz w:val="24"/>
          <w:u w:val="single"/>
        </w:rPr>
        <w:t>Electronic Signatures</w:t>
      </w:r>
      <w:r>
        <w:rPr>
          <w:rFonts w:ascii="Times New Roman" w:hAnsi="Times New Roman"/>
          <w:color w:val="000000"/>
          <w:sz w:val="24"/>
        </w:rPr>
        <w:t>. The parties agree that this First Amendment may be signed and/or transmitted by electronic mail of a .PDF document or electronic signature (</w:t>
      </w:r>
      <w:r>
        <w:rPr>
          <w:rFonts w:ascii="Times New Roman" w:hAnsi="Times New Roman"/>
          <w:i/>
          <w:color w:val="000000"/>
          <w:sz w:val="24"/>
        </w:rPr>
        <w:t>e.g.</w:t>
      </w:r>
      <w:r>
        <w:rPr>
          <w:rFonts w:ascii="Times New Roman" w:hAnsi="Times New Roman"/>
          <w:color w:val="000000"/>
          <w:sz w:val="24"/>
        </w:rPr>
        <w:t xml:space="preserve">, DocuSign or similar electronic signature technology) and thereafter maintained in electronic form, and that such electronic record shall be valid and effective to bind the party so signing as a paper copy bearing such party's hand-written signature. The parties further consent and agree that the electronic signatures appearing on this First Amendment shall be treated, for purpose of validity, enforceability and admissibility, the same as hand-written signatures. </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11.</w:t>
      </w:r>
    </w:p>
    <w:p>
      <w:pPr>
        <w:pStyle w:val="TextBody"/>
        <w:bidi w:val="0"/>
        <w:spacing w:before="240" w:after="283"/>
        <w:jc w:val="both"/>
        <w:rPr/>
      </w:pPr>
      <w:r>
        <w:rPr>
          <w:rFonts w:ascii="Times New Roman" w:hAnsi="Times New Roman"/>
          <w:b/>
          <w:color w:val="000000"/>
          <w:sz w:val="24"/>
          <w:u w:val="single"/>
        </w:rPr>
        <w:t>No Mortgages or Restoration of Existing Improvements</w:t>
      </w:r>
      <w:r>
        <w:rPr>
          <w:rFonts w:ascii="Times New Roman" w:hAnsi="Times New Roman"/>
          <w:color w:val="000000"/>
          <w:sz w:val="24"/>
        </w:rPr>
        <w:t>. Landlord hereby represents and warrants to Tenant that the Project is not currently subject to any ground lease, or to the lien of any mortgage or deed of trust. Tenant shall not be required to restore any Alterations or improvements that exist in the Premises as of the date of this First Amendment.</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12.</w:t>
      </w:r>
    </w:p>
    <w:p>
      <w:pPr>
        <w:pStyle w:val="TextBody"/>
        <w:bidi w:val="0"/>
        <w:spacing w:before="240" w:after="283"/>
        <w:jc w:val="both"/>
        <w:rPr/>
      </w:pPr>
      <w:r>
        <w:rPr>
          <w:rFonts w:ascii="Times New Roman" w:hAnsi="Times New Roman"/>
          <w:b/>
          <w:color w:val="000000"/>
          <w:sz w:val="24"/>
          <w:u w:val="single"/>
        </w:rPr>
        <w:t>No Remeasurement</w:t>
      </w:r>
      <w:r>
        <w:rPr>
          <w:rFonts w:ascii="Times New Roman" w:hAnsi="Times New Roman"/>
          <w:color w:val="000000"/>
          <w:sz w:val="24"/>
        </w:rPr>
        <w:t>. Landlord’s right to remeasure the Premises under Section 1.2 of the Lease is hereby deleted.</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13.</w:t>
      </w:r>
    </w:p>
    <w:p>
      <w:pPr>
        <w:pStyle w:val="TextBody"/>
        <w:bidi w:val="0"/>
        <w:spacing w:before="240" w:after="283"/>
        <w:jc w:val="both"/>
        <w:rPr/>
      </w:pPr>
      <w:r>
        <w:rPr>
          <w:rFonts w:ascii="Times New Roman" w:hAnsi="Times New Roman"/>
          <w:b/>
          <w:color w:val="000000"/>
          <w:sz w:val="24"/>
          <w:u w:val="single"/>
        </w:rPr>
        <w:t>No Guarantor</w:t>
      </w:r>
      <w:r>
        <w:rPr>
          <w:rFonts w:ascii="Times New Roman" w:hAnsi="Times New Roman"/>
          <w:color w:val="000000"/>
          <w:sz w:val="24"/>
        </w:rPr>
        <w:t>. Landlord acknowledges that The Column Group, LLC is not a guarantor of the Lease and has no further liability thereunder.</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14.</w:t>
      </w:r>
    </w:p>
    <w:p>
      <w:pPr>
        <w:pStyle w:val="TextBody"/>
        <w:bidi w:val="0"/>
        <w:spacing w:before="240" w:after="283"/>
        <w:jc w:val="both"/>
        <w:rPr/>
      </w:pPr>
      <w:r>
        <w:rPr>
          <w:rFonts w:ascii="Times New Roman" w:hAnsi="Times New Roman"/>
          <w:b/>
          <w:color w:val="000000"/>
          <w:sz w:val="24"/>
          <w:u w:val="single"/>
        </w:rPr>
        <w:t>No Further Modification; Conflict</w:t>
      </w:r>
      <w:r>
        <w:rPr>
          <w:rFonts w:ascii="Times New Roman" w:hAnsi="Times New Roman"/>
          <w:color w:val="000000"/>
          <w:sz w:val="24"/>
        </w:rPr>
        <w:t>. Except as specifically set forth in this First</w:t>
      </w:r>
      <w:r>
        <w:rPr>
          <w:color w:val="000000"/>
        </w:rPr>
        <w:t xml:space="preserve"> </w:t>
      </w:r>
      <w:r>
        <w:rPr>
          <w:rFonts w:ascii="Times New Roman" w:hAnsi="Times New Roman"/>
          <w:color w:val="000000"/>
          <w:sz w:val="24"/>
        </w:rPr>
        <w:t>Amendment, all of the terms and provisions of the Lease shall remain unmodified and in full force and effect. In the event of a conflict between the terms of the Lease and this First Amendment, the terms of this First Amendment shall prevail.</w:t>
      </w:r>
    </w:p>
    <w:p>
      <w:pPr>
        <w:pStyle w:val="TextBody"/>
        <w:bidi w:val="0"/>
        <w:spacing w:before="240" w:after="120"/>
        <w:jc w:val="center"/>
        <w:rPr>
          <w:rFonts w:ascii="Times New Roman" w:hAnsi="Times New Roman"/>
          <w:b/>
          <w:color w:val="000000"/>
          <w:sz w:val="24"/>
        </w:rPr>
      </w:pPr>
      <w:r>
        <w:rPr>
          <w:rFonts w:ascii="Times New Roman" w:hAnsi="Times New Roman"/>
          <w:b/>
          <w:color w:val="000000"/>
          <w:sz w:val="24"/>
        </w:rPr>
        <w:t>[SIGNATURES FOLLOW ON NEXT PAGE]</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righ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WITNESS WHEREOF, this First Amendment has been executed as of the day and year first above written.</w:t>
      </w:r>
    </w:p>
    <w:tbl>
      <w:tblPr>
        <w:tblW w:w="5507" w:type="dxa"/>
        <w:jc w:val="left"/>
        <w:tblInd w:w="0" w:type="dxa"/>
        <w:tblLayout w:type="fixed"/>
        <w:tblCellMar>
          <w:top w:w="28" w:type="dxa"/>
          <w:left w:w="28" w:type="dxa"/>
          <w:bottom w:w="28" w:type="dxa"/>
          <w:right w:w="28" w:type="dxa"/>
        </w:tblCellMar>
      </w:tblPr>
      <w:tblGrid>
        <w:gridCol w:w="1741"/>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4"/>
              </w:rPr>
            </w:pPr>
            <w:r>
              <w:rPr>
                <w:rFonts w:ascii="Times New Roman" w:hAnsi="Times New Roman"/>
                <w:color w:val="000000"/>
                <w:sz w:val="24"/>
              </w:rPr>
              <w:t>"</w:t>
            </w:r>
            <w:r>
              <w:rPr>
                <w:rFonts w:ascii="Times New Roman" w:hAnsi="Times New Roman"/>
                <w:b/>
                <w:color w:val="000000"/>
                <w:sz w:val="24"/>
              </w:rPr>
              <w:t>LANDLORD</w:t>
            </w:r>
            <w:r>
              <w:rPr>
                <w:rFonts w:ascii="Times New Roman" w:hAnsi="Times New Roman"/>
                <w:color w:val="000000"/>
                <w:sz w:val="24"/>
              </w:rPr>
              <w:t>"</w:t>
            </w:r>
          </w:p>
          <w:p>
            <w:pPr>
              <w:pStyle w:val="TableContents"/>
              <w:bidi w:val="0"/>
              <w:spacing w:before="24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HCP OYSTER POINT III LLC,</w:t>
              <w:br/>
              <w:t xml:space="preserve">a Delaware limited liability company </w:t>
            </w:r>
          </w:p>
          <w:p>
            <w:pPr>
              <w:pStyle w:val="TableContents"/>
              <w:bidi w:val="0"/>
              <w:spacing w:before="24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Scott Bohn</w:t>
            </w:r>
          </w:p>
          <w:p>
            <w:pPr>
              <w:pStyle w:val="TableContents"/>
              <w:bidi w:val="0"/>
              <w:spacing w:before="240" w:after="283"/>
              <w:ind w:left="372" w:right="0" w:hanging="0"/>
              <w:jc w:val="left"/>
              <w:rPr>
                <w:rFonts w:ascii="Times New Roman" w:hAnsi="Times New Roman"/>
                <w:color w:val="000000"/>
                <w:sz w:val="24"/>
              </w:rPr>
            </w:pPr>
            <w:r>
              <w:rPr>
                <w:rFonts w:ascii="Times New Roman" w:hAnsi="Times New Roman"/>
                <w:color w:val="000000"/>
                <w:sz w:val="24"/>
              </w:rPr>
              <w:t>Name: Scott Bohn</w:t>
            </w:r>
          </w:p>
          <w:p>
            <w:pPr>
              <w:pStyle w:val="TableContents"/>
              <w:bidi w:val="0"/>
              <w:spacing w:before="240" w:after="283"/>
              <w:ind w:left="372" w:right="0" w:hanging="0"/>
              <w:jc w:val="left"/>
              <w:rPr>
                <w:rFonts w:ascii="Times New Roman" w:hAnsi="Times New Roman"/>
                <w:color w:val="000000"/>
                <w:sz w:val="24"/>
              </w:rPr>
            </w:pPr>
            <w:r>
              <w:rPr>
                <w:rFonts w:ascii="Times New Roman" w:hAnsi="Times New Roman"/>
                <w:color w:val="000000"/>
                <w:sz w:val="24"/>
              </w:rPr>
              <w:t>Its: Chief Development Officer</w:t>
            </w:r>
          </w:p>
        </w:tc>
      </w:tr>
      <w:tr>
        <w:trPr/>
        <w:tc>
          <w:tcPr>
            <w:tcW w:w="174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4"/>
              </w:rPr>
            </w:pPr>
            <w:r>
              <w:rPr>
                <w:rFonts w:ascii="Times New Roman" w:hAnsi="Times New Roman"/>
                <w:color w:val="000000"/>
                <w:sz w:val="24"/>
              </w:rPr>
              <w:t>"</w:t>
            </w:r>
            <w:r>
              <w:rPr>
                <w:rFonts w:ascii="Times New Roman" w:hAnsi="Times New Roman"/>
                <w:b/>
                <w:color w:val="000000"/>
                <w:sz w:val="24"/>
              </w:rPr>
              <w:t>TENANT</w:t>
            </w:r>
            <w:r>
              <w:rPr>
                <w:rFonts w:ascii="Times New Roman" w:hAnsi="Times New Roman"/>
                <w:color w:val="000000"/>
                <w:sz w:val="24"/>
              </w:rPr>
              <w:t>"</w:t>
            </w:r>
          </w:p>
        </w:tc>
        <w:tc>
          <w:tcPr>
            <w:tcW w:w="37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 xml:space="preserve">TENAYA THERAPEUTICS, INC., </w:t>
              <w:br/>
              <w:t>a Delaware corporation</w:t>
            </w:r>
          </w:p>
          <w:p>
            <w:pPr>
              <w:pStyle w:val="TableContents"/>
              <w:bidi w:val="0"/>
              <w:spacing w:before="24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Faraz Ali</w:t>
            </w:r>
          </w:p>
          <w:p>
            <w:pPr>
              <w:pStyle w:val="TableContents"/>
              <w:bidi w:val="0"/>
              <w:spacing w:before="240" w:after="283"/>
              <w:ind w:left="372" w:right="0" w:hanging="0"/>
              <w:jc w:val="left"/>
              <w:rPr>
                <w:rFonts w:ascii="Times New Roman" w:hAnsi="Times New Roman"/>
                <w:sz w:val="24"/>
              </w:rPr>
            </w:pPr>
            <w:r>
              <w:rPr>
                <w:rFonts w:ascii="Times New Roman" w:hAnsi="Times New Roman"/>
                <w:color w:val="000000"/>
                <w:sz w:val="24"/>
              </w:rPr>
              <w:t xml:space="preserve">Name: </w:t>
            </w:r>
            <w:r>
              <w:rPr>
                <w:rFonts w:ascii="Times New Roman" w:hAnsi="Times New Roman"/>
                <w:color w:val="000000"/>
                <w:sz w:val="24"/>
                <w:u w:val="single"/>
              </w:rPr>
              <w:t>Faraz Ali</w:t>
            </w:r>
          </w:p>
          <w:p>
            <w:pPr>
              <w:pStyle w:val="TableContents"/>
              <w:bidi w:val="0"/>
              <w:spacing w:before="240" w:after="283"/>
              <w:ind w:left="372" w:right="0" w:hanging="0"/>
              <w:jc w:val="left"/>
              <w:rPr>
                <w:rFonts w:ascii="Times New Roman" w:hAnsi="Times New Roman"/>
                <w:sz w:val="24"/>
              </w:rPr>
            </w:pPr>
            <w:r>
              <w:rPr>
                <w:rFonts w:ascii="Times New Roman" w:hAnsi="Times New Roman"/>
                <w:color w:val="000000"/>
                <w:sz w:val="24"/>
              </w:rPr>
              <w:t>Its:</w:t>
            </w:r>
            <w:r>
              <w:rPr>
                <w:rFonts w:ascii="Times New Roman" w:hAnsi="Times New Roman"/>
                <w:color w:val="000000"/>
                <w:sz w:val="24"/>
                <w:u w:val="single"/>
              </w:rPr>
              <w:t> CEO</w:t>
            </w:r>
          </w:p>
          <w:p>
            <w:pPr>
              <w:pStyle w:val="TableContents"/>
              <w:bidi w:val="0"/>
              <w:spacing w:before="240" w:after="283"/>
              <w:ind w:left="372" w:right="0" w:hanging="0"/>
              <w:jc w:val="left"/>
              <w:rPr/>
            </w:pPr>
            <w:r>
              <w:rPr/>
              <w:t> </w:t>
            </w:r>
          </w:p>
          <w:p>
            <w:pPr>
              <w:pStyle w:val="TableContents"/>
              <w:bidi w:val="0"/>
              <w:spacing w:before="0" w:after="283"/>
              <w:ind w:left="372" w:right="0" w:hanging="0"/>
              <w:jc w:val="left"/>
              <w:rPr/>
            </w:pPr>
            <w:r>
              <w:rPr/>
              <w:t> </w:t>
            </w:r>
          </w:p>
        </w:tc>
      </w:tr>
    </w:tbl>
    <w:p>
      <w:pPr>
        <w:pStyle w:val="TextBody"/>
        <w:bidi w:val="0"/>
        <w:jc w:val="both"/>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righ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3" w:name="tnya-ex31_1.htm"/>
      <w:bookmarkStart w:id="24" w:name="kstnyaex31_1"/>
      <w:bookmarkEnd w:id="23"/>
      <w:bookmarkEnd w:id="24"/>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 Faraz Ali, M.B.A., certify that: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Tenaya Therapeutics,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8, 2024</w:t>
      </w:r>
    </w:p>
    <w:tbl>
      <w:tblPr>
        <w:tblW w:w="6313" w:type="dxa"/>
        <w:jc w:val="left"/>
        <w:tblInd w:w="0" w:type="dxa"/>
        <w:tblLayout w:type="fixed"/>
        <w:tblCellMar>
          <w:top w:w="28" w:type="dxa"/>
          <w:left w:w="28" w:type="dxa"/>
          <w:bottom w:w="28" w:type="dxa"/>
          <w:right w:w="28" w:type="dxa"/>
        </w:tblCellMar>
      </w:tblPr>
      <w:tblGrid>
        <w:gridCol w:w="161"/>
        <w:gridCol w:w="631"/>
        <w:gridCol w:w="552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5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5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5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TENAYA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552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Faraz Ali,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55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Faraz Ali,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Chief Executive Officer and Director </w:t>
            </w: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5" w:name="tnya-ex31_2.htm"/>
      <w:bookmarkStart w:id="26" w:name="kstnyaex31_2"/>
      <w:bookmarkEnd w:id="25"/>
      <w:bookmarkEnd w:id="26"/>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 Leone D. Patterson, M.B.A., certify that: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Tenaya Therapeutics,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8, 2024</w:t>
      </w:r>
    </w:p>
    <w:tbl>
      <w:tblPr>
        <w:tblW w:w="4663" w:type="dxa"/>
        <w:jc w:val="left"/>
        <w:tblInd w:w="0" w:type="dxa"/>
        <w:tblLayout w:type="fixed"/>
        <w:tblCellMar>
          <w:top w:w="28" w:type="dxa"/>
          <w:left w:w="28" w:type="dxa"/>
          <w:bottom w:w="28" w:type="dxa"/>
          <w:right w:w="28" w:type="dxa"/>
        </w:tblCellMar>
      </w:tblPr>
      <w:tblGrid>
        <w:gridCol w:w="161"/>
        <w:gridCol w:w="631"/>
        <w:gridCol w:w="387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0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TENAYA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387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Leone D. Patterson,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Leone D. Patterson, M.B.A.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87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Financial and Business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tnya-ex32_1.htm"/>
      <w:bookmarkStart w:id="28" w:name="kstnya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righ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CERTIFICATIONS OF PRINCIPAL EXECUTIVE OFFICER AND PRINCIPAL FINANCIAL OFFICER</w:t>
      </w:r>
    </w:p>
    <w:p>
      <w:pPr>
        <w:pStyle w:val="TextBody"/>
        <w:bidi w:val="0"/>
        <w:jc w:val="center"/>
        <w:rPr>
          <w:rFonts w:ascii="Times New Roman" w:hAnsi="Times New Roman"/>
          <w:b/>
          <w:color w:val="000000"/>
          <w:sz w:val="18"/>
        </w:rPr>
      </w:pPr>
      <w:r>
        <w:rPr>
          <w:rFonts w:ascii="Times New Roman" w:hAnsi="Times New Roman"/>
          <w:b/>
          <w:color w:val="000000"/>
          <w:sz w:val="18"/>
        </w:rPr>
        <w:t>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jc w:val="center"/>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 Faraz Ali, M.B.A., certify, pursuant to 18 U.S.C. Section 1350 as adopted pursuant to Section 906 of the Sarbanes-Oxley Act of 2002, that, (1) the Quarterly Report on Form 10-Q of Tenaya Therapeutics, Inc. (the “Company”) for the quarterly period ended June 30, 2024,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pStyle w:val="TextBody"/>
        <w:bidi w:val="0"/>
        <w:jc w:val="left"/>
        <w:rPr/>
      </w:pPr>
      <w:r>
        <w:rPr/>
        <w:t> </w:t>
      </w:r>
    </w:p>
    <w:tbl>
      <w:tblPr>
        <w:tblW w:w="3428" w:type="dxa"/>
        <w:jc w:val="left"/>
        <w:tblInd w:w="0" w:type="dxa"/>
        <w:tblLayout w:type="fixed"/>
        <w:tblCellMar>
          <w:top w:w="28" w:type="dxa"/>
          <w:left w:w="28" w:type="dxa"/>
          <w:bottom w:w="28" w:type="dxa"/>
          <w:right w:w="28" w:type="dxa"/>
        </w:tblCellMar>
      </w:tblPr>
      <w:tblGrid>
        <w:gridCol w:w="161"/>
        <w:gridCol w:w="146"/>
        <w:gridCol w:w="312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Faraz Ali, M.B.A.</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Faraz Ali, M.B.A.</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1" w:type="dxa"/>
            <w:tcBorders/>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 Leone D. Patterson, M.B.A., certify, pursuant to 18 U.S.C. Section 1350 as adopted pursuant to Section 906 of the Sarbanes-Oxley Act of 2002, that, (1) the Quarterly Report on Form 10-Q of Tenaya Therapeutics, Inc. (the “Company”) for the quarterly period ended June 30, 2024,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pStyle w:val="TextBody"/>
        <w:bidi w:val="0"/>
        <w:jc w:val="both"/>
        <w:rPr/>
      </w:pPr>
      <w:r>
        <w:rPr/>
        <w:t> </w:t>
      </w:r>
    </w:p>
    <w:tbl>
      <w:tblPr>
        <w:tblW w:w="4178" w:type="dxa"/>
        <w:jc w:val="left"/>
        <w:tblInd w:w="0" w:type="dxa"/>
        <w:tblLayout w:type="fixed"/>
        <w:tblCellMar>
          <w:top w:w="28" w:type="dxa"/>
          <w:left w:w="28" w:type="dxa"/>
          <w:bottom w:w="28" w:type="dxa"/>
          <w:right w:w="28" w:type="dxa"/>
        </w:tblCellMar>
      </w:tblPr>
      <w:tblGrid>
        <w:gridCol w:w="161"/>
        <w:gridCol w:w="146"/>
        <w:gridCol w:w="3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Leone D. Patterson, M.B.A.</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Leone D. Patterson, M.B.A.</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Financial and Business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8848/000095017023040651/tnya-ex3_1.htm" TargetMode="External"/><Relationship Id="rId3" Type="http://schemas.openxmlformats.org/officeDocument/2006/relationships/hyperlink" Target="https://www.sec.gov/Archives/edgar/data/1858848/000095017023008934/tnya-ex3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56325</Words>
  <Characters>315813</Characters>
  <CharactersWithSpaces>372214</CharactersWithSpaces>
  <Paragraphs>5294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