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200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200140"/>
                    </a:xfrm>
                    <a:prstGeom prst="rect">
                      <a:avLst/>
                    </a:prstGeom>
                    <a:noFill/>
                  </pic:spPr>
                </pic:pic>
              </a:graphicData>
            </a:graphic>
          </wp:anchor>
        </w:drawing>
      </w:r>
    </w:p>
    <w:p>
      <w:pPr>
        <w:sectPr>
          <w:pgSz w:w="11900" w:h="16877"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Saito Chihiro</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7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08/14/2024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Tenaya Therapeutics,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TNYA</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4" w:lineRule="exact"/>
        <w:rPr>
          <w:sz w:val="24"/>
          <w:szCs w:val="24"/>
          <w:color w:val="auto"/>
        </w:rPr>
      </w:pPr>
    </w:p>
    <w:p>
      <w:pPr>
        <w:sectPr>
          <w:pgSz w:w="11900" w:h="16877" w:orient="portrait"/>
          <w:cols w:equalWidth="0" w:num="2">
            <w:col w:w="472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57"/>
        <w:spacing w:after="0" w:line="275" w:lineRule="auto"/>
        <w:rPr>
          <w:sz w:val="20"/>
          <w:szCs w:val="20"/>
          <w:color w:val="auto"/>
        </w:rPr>
      </w:pPr>
      <w:r>
        <w:rPr>
          <w:rFonts w:ascii="Times New Roman" w:cs="Times New Roman" w:eastAsia="Times New Roman" w:hAnsi="Times New Roman"/>
          <w:sz w:val="20"/>
          <w:szCs w:val="20"/>
          <w:color w:val="0000FF"/>
        </w:rPr>
        <w:t>C/O TENAYA THERAPEUTICS, INC.</w:t>
      </w:r>
    </w:p>
    <w:p>
      <w:pPr>
        <w:spacing w:after="0" w:line="13" w:lineRule="exact"/>
        <w:rPr>
          <w:sz w:val="24"/>
          <w:szCs w:val="24"/>
          <w:color w:val="auto"/>
        </w:rPr>
      </w:pPr>
    </w:p>
    <w:p>
      <w:pPr>
        <w:ind w:left="140" w:right="1357"/>
        <w:spacing w:after="0" w:line="275" w:lineRule="auto"/>
        <w:rPr>
          <w:sz w:val="20"/>
          <w:szCs w:val="20"/>
          <w:color w:val="auto"/>
        </w:rPr>
      </w:pPr>
      <w:r>
        <w:rPr>
          <w:rFonts w:ascii="Times New Roman" w:cs="Times New Roman" w:eastAsia="Times New Roman" w:hAnsi="Times New Roman"/>
          <w:sz w:val="20"/>
          <w:szCs w:val="20"/>
          <w:color w:val="0000FF"/>
        </w:rPr>
        <w:t>171 OYSTER POINT BLVD., 5TH FLOOR</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SOUTH SAN</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CA</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94080</w:t>
            </w:r>
          </w:p>
        </w:tc>
        <w:tc>
          <w:tcPr>
            <w:tcW w:w="0" w:type="dxa"/>
            <w:vAlign w:val="bottom"/>
          </w:tcPr>
          <w:p>
            <w:pPr>
              <w:spacing w:after="0"/>
              <w:rPr>
                <w:sz w:val="1"/>
                <w:szCs w:val="1"/>
                <w:color w:val="auto"/>
              </w:rPr>
            </w:pPr>
          </w:p>
        </w:tc>
      </w:tr>
      <w:tr>
        <w:trPr>
          <w:trHeight w:val="254"/>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7"/>
              </w:rPr>
              <w:t>FRANCISCO</w:t>
            </w:r>
          </w:p>
        </w:tc>
        <w:tc>
          <w:tcPr>
            <w:tcW w:w="64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43"/>
        <w:spacing w:after="0"/>
        <w:rPr>
          <w:sz w:val="20"/>
          <w:szCs w:val="20"/>
          <w:color w:val="auto"/>
        </w:rPr>
      </w:pPr>
      <w:r>
        <w:rPr>
          <w:rFonts w:ascii="Times New Roman" w:cs="Times New Roman" w:eastAsia="Times New Roman" w:hAnsi="Times New Roman"/>
          <w:sz w:val="20"/>
          <w:szCs w:val="20"/>
          <w:color w:val="0000FF"/>
        </w:rPr>
        <w:t>SVP, Accounting and Fin. Ops.</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1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78" w:lineRule="exact"/>
        <w:rPr>
          <w:sz w:val="24"/>
          <w:szCs w:val="24"/>
          <w:color w:val="auto"/>
        </w:rPr>
      </w:pPr>
    </w:p>
    <w:p>
      <w:pPr>
        <w:sectPr>
          <w:pgSz w:w="11900" w:h="16877" w:orient="portrait"/>
          <w:cols w:equalWidth="0" w:num="3">
            <w:col w:w="4277" w:space="720"/>
            <w:col w:w="3003" w:space="269"/>
            <w:col w:w="2671"/>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40" w:type="dxa"/>
            <w:vAlign w:val="bottom"/>
          </w:tcPr>
          <w:p>
            <w:pPr>
              <w:jc w:val="right"/>
              <w:ind w:right="531"/>
              <w:spacing w:after="0"/>
              <w:rPr>
                <w:sz w:val="20"/>
                <w:szCs w:val="20"/>
                <w:color w:val="auto"/>
              </w:rPr>
            </w:pPr>
            <w:r>
              <w:rPr>
                <w:rFonts w:ascii="Times New Roman" w:cs="Times New Roman" w:eastAsia="Times New Roman" w:hAnsi="Times New Roman"/>
                <w:sz w:val="20"/>
                <w:szCs w:val="20"/>
                <w:color w:val="0000FF"/>
              </w:rPr>
              <w:t>7,832</w:t>
            </w:r>
          </w:p>
        </w:tc>
        <w:tc>
          <w:tcPr>
            <w:tcW w:w="8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ind w:right="391"/>
              <w:spacing w:after="0"/>
              <w:rPr>
                <w:sz w:val="20"/>
                <w:szCs w:val="20"/>
                <w:color w:val="auto"/>
              </w:rPr>
            </w:pPr>
            <w:r>
              <w:rPr>
                <w:rFonts w:ascii="Times New Roman" w:cs="Times New Roman" w:eastAsia="Times New Roman" w:hAnsi="Times New Roman"/>
                <w:sz w:val="20"/>
                <w:szCs w:val="20"/>
                <w:color w:val="0000FF"/>
              </w:rPr>
              <w:t>41,137</w:t>
            </w:r>
            <w:r>
              <w:rPr>
                <w:rFonts w:ascii="Times New Roman" w:cs="Times New Roman" w:eastAsia="Times New Roman" w:hAnsi="Times New Roman"/>
                <w:sz w:val="25"/>
                <w:szCs w:val="25"/>
                <w:color w:val="008000"/>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5"/>
                <w:szCs w:val="15"/>
                <w:color w:val="0000FF"/>
              </w:rPr>
              <w:t>09/30/2022</w:t>
            </w:r>
            <w:r>
              <w:rPr>
                <w:rFonts w:ascii="Times New Roman" w:cs="Times New Roman" w:eastAsia="Times New Roman" w:hAnsi="Times New Roman"/>
                <w:sz w:val="25"/>
                <w:szCs w:val="25"/>
                <w:color w:val="008000"/>
                <w:vertAlign w:val="superscript"/>
              </w:rPr>
              <w:t>(2)</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09/29/2031</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Borders>
              <w:bottom w:val="single" w:sz="8" w:color="2C2C2C"/>
            </w:tcBorders>
          </w:tcPr>
          <w:p>
            <w:pPr>
              <w:jc w:val="center"/>
              <w:ind w:left="13"/>
              <w:spacing w:after="0"/>
              <w:rPr>
                <w:sz w:val="20"/>
                <w:szCs w:val="20"/>
                <w:color w:val="auto"/>
              </w:rPr>
            </w:pPr>
            <w:r>
              <w:rPr>
                <w:rFonts w:ascii="Times New Roman" w:cs="Times New Roman" w:eastAsia="Times New Roman" w:hAnsi="Times New Roman"/>
                <w:sz w:val="20"/>
                <w:szCs w:val="20"/>
                <w:color w:val="0000FF"/>
                <w:w w:val="98"/>
              </w:rPr>
              <w:t>49,000</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20.65</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5"/>
                <w:szCs w:val="15"/>
                <w:color w:val="0000FF"/>
              </w:rPr>
              <w:t>03/15/2022</w:t>
            </w:r>
            <w:r>
              <w:rPr>
                <w:rFonts w:ascii="Times New Roman" w:cs="Times New Roman" w:eastAsia="Times New Roman" w:hAnsi="Times New Roman"/>
                <w:sz w:val="25"/>
                <w:szCs w:val="25"/>
                <w:color w:val="008000"/>
                <w:vertAlign w:val="superscript"/>
              </w:rPr>
              <w:t>(3)</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02/14/2032</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Borders>
              <w:bottom w:val="single" w:sz="8" w:color="2C2C2C"/>
            </w:tcBorders>
          </w:tcPr>
          <w:p>
            <w:pPr>
              <w:jc w:val="center"/>
              <w:ind w:left="33"/>
              <w:spacing w:after="0"/>
              <w:rPr>
                <w:sz w:val="20"/>
                <w:szCs w:val="20"/>
                <w:color w:val="auto"/>
              </w:rPr>
            </w:pPr>
            <w:r>
              <w:rPr>
                <w:rFonts w:ascii="Times New Roman" w:cs="Times New Roman" w:eastAsia="Times New Roman" w:hAnsi="Times New Roman"/>
                <w:sz w:val="20"/>
                <w:szCs w:val="20"/>
                <w:color w:val="0000FF"/>
                <w:w w:val="97"/>
              </w:rPr>
              <w:t>7,500</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15.19</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5"/>
                <w:szCs w:val="15"/>
                <w:color w:val="0000FF"/>
              </w:rPr>
              <w:t>03/15/2023</w:t>
            </w:r>
            <w:r>
              <w:rPr>
                <w:rFonts w:ascii="Times New Roman" w:cs="Times New Roman" w:eastAsia="Times New Roman" w:hAnsi="Times New Roman"/>
                <w:sz w:val="25"/>
                <w:szCs w:val="25"/>
                <w:color w:val="008000"/>
                <w:vertAlign w:val="superscript"/>
              </w:rPr>
              <w:t>(4)</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02/14/2033</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Borders>
              <w:bottom w:val="single" w:sz="8" w:color="2C2C2C"/>
            </w:tcBorders>
          </w:tcPr>
          <w:p>
            <w:pPr>
              <w:jc w:val="center"/>
              <w:ind w:left="13"/>
              <w:spacing w:after="0"/>
              <w:rPr>
                <w:sz w:val="20"/>
                <w:szCs w:val="20"/>
                <w:color w:val="auto"/>
              </w:rPr>
            </w:pPr>
            <w:r>
              <w:rPr>
                <w:rFonts w:ascii="Times New Roman" w:cs="Times New Roman" w:eastAsia="Times New Roman" w:hAnsi="Times New Roman"/>
                <w:sz w:val="20"/>
                <w:szCs w:val="20"/>
                <w:color w:val="0000FF"/>
                <w:w w:val="98"/>
              </w:rPr>
              <w:t>28,125</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3.06</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5"/>
                <w:szCs w:val="15"/>
                <w:color w:val="0000FF"/>
              </w:rPr>
              <w:t>03/23/2024</w:t>
            </w:r>
            <w:r>
              <w:rPr>
                <w:rFonts w:ascii="Times New Roman" w:cs="Times New Roman" w:eastAsia="Times New Roman" w:hAnsi="Times New Roman"/>
                <w:sz w:val="25"/>
                <w:szCs w:val="25"/>
                <w:color w:val="008000"/>
                <w:vertAlign w:val="superscript"/>
              </w:rPr>
              <w:t>(5)</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02/22/2034</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Borders>
              <w:bottom w:val="single" w:sz="8" w:color="2C2C2C"/>
            </w:tcBorders>
          </w:tcPr>
          <w:p>
            <w:pPr>
              <w:jc w:val="center"/>
              <w:ind w:left="13"/>
              <w:spacing w:after="0"/>
              <w:rPr>
                <w:sz w:val="20"/>
                <w:szCs w:val="20"/>
                <w:color w:val="auto"/>
              </w:rPr>
            </w:pPr>
            <w:r>
              <w:rPr>
                <w:rFonts w:ascii="Times New Roman" w:cs="Times New Roman" w:eastAsia="Times New Roman" w:hAnsi="Times New Roman"/>
                <w:sz w:val="20"/>
                <w:szCs w:val="20"/>
                <w:color w:val="0000FF"/>
                <w:w w:val="98"/>
              </w:rPr>
              <w:t>32,750</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5.22</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jc w:val="both"/>
        <w:ind w:left="40" w:right="22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Consists of restricted stock units ("RSUs") granted pursuant to the Tenaya Therapeutics, Inc. 2021 Equity Incentive Plan. Each RSU is the economic equivalent of one share of Tenaya Therapeutics, Inc. common stock. Certain of the RSUs have vested and are reported above and the remaining 32,772 RSUs will vest on various dates between August 15, 2024 and February 15, 2028, subject to Ms. Saito's continued service through the applicable vesting date.</w:t>
      </w:r>
    </w:p>
    <w:p>
      <w:pPr>
        <w:spacing w:after="0" w:line="29" w:lineRule="exact"/>
        <w:rPr>
          <w:rFonts w:ascii="Times New Roman" w:cs="Times New Roman" w:eastAsia="Times New Roman" w:hAnsi="Times New Roman"/>
          <w:sz w:val="15"/>
          <w:szCs w:val="15"/>
          <w:color w:val="008000"/>
        </w:rPr>
      </w:pPr>
    </w:p>
    <w:p>
      <w:pPr>
        <w:jc w:val="both"/>
        <w:ind w:left="40" w:right="28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Option granted pursuant to the Tenaya Therapeutics, Inc. 2021 Equity Incentive Plan. 34,708 shares subject to the option are fully vested and exercisable as of the date of this filing. The option vested as to 1/4th of the original number of shares subject to the option on the one-year anniversary of the grant date, and thereafter as to 1/48th of the original number of shares subject to the option on each monthly anniversary of the grant date through the date of this filing. The unvested portion of the option will continue to vest as to 1/48th of the original number of shares subject to the option on each monthly anniversary of the grant date.</w:t>
      </w:r>
    </w:p>
    <w:p>
      <w:pPr>
        <w:spacing w:after="0" w:line="33" w:lineRule="exact"/>
        <w:rPr>
          <w:rFonts w:ascii="Times New Roman" w:cs="Times New Roman" w:eastAsia="Times New Roman" w:hAnsi="Times New Roman"/>
          <w:sz w:val="15"/>
          <w:szCs w:val="15"/>
          <w:color w:val="008000"/>
        </w:rPr>
      </w:pPr>
    </w:p>
    <w:p>
      <w:pPr>
        <w:ind w:left="40" w:right="8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Option granted pursuant to the Tenaya Therapeutics, Inc. 2021 Equity Incentive Plan. 4,687 shares subject to the option are fully vested and exercisable as of the date of this filing. The option vested as to 1/48th of the original number of shares subject to the option on the one-month anniversary of the grant date, and thereafter as to 1/48th of the original number of shares subject to the option on each monthly anniversary of the grant date through the date of this filing. The unvested portion of the option will continue to vest as to 1/48th of the original number of shares subject to the option on each monthly anniversary of the grant date.</w:t>
      </w:r>
    </w:p>
    <w:p>
      <w:pPr>
        <w:spacing w:after="0" w:line="33" w:lineRule="exact"/>
        <w:rPr>
          <w:rFonts w:ascii="Times New Roman" w:cs="Times New Roman" w:eastAsia="Times New Roman" w:hAnsi="Times New Roman"/>
          <w:sz w:val="15"/>
          <w:szCs w:val="15"/>
          <w:color w:val="008000"/>
        </w:rPr>
      </w:pPr>
    </w:p>
    <w:p>
      <w:pPr>
        <w:ind w:left="40" w:right="8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Option granted pursuant to the Tenaya Therapeutics, Inc. 2021 Equity Incentive Plan. 10,546 shares subject to the option are fully vested and exercisable as of the date of this filing. The option vested as to 1/48th of the original number of shares subject to the option on the one-month anniversary of the grant date, and thereafter as to 1/48th of the original number of shares subject to the option on each monthly anniversary of the grant date through the date of this filing. The unvested portion of the option will continue to vest as to 1/48th of the original number of shares subject to the option on each monthly anniversary of the grant date.</w:t>
      </w:r>
    </w:p>
    <w:p>
      <w:pPr>
        <w:spacing w:after="0" w:line="33" w:lineRule="exact"/>
        <w:rPr>
          <w:rFonts w:ascii="Times New Roman" w:cs="Times New Roman" w:eastAsia="Times New Roman" w:hAnsi="Times New Roman"/>
          <w:sz w:val="15"/>
          <w:szCs w:val="15"/>
          <w:color w:val="008000"/>
        </w:rPr>
      </w:pPr>
    </w:p>
    <w:p>
      <w:pPr>
        <w:ind w:left="40" w:right="8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Option granted pursuant to the Tenaya Therapeutics, Inc. 2021 Equity Incentive Plan. 3,411 shares subject to the option are fully vested and exercisable as of the date of this filing. The option vested as to 1/48th of the original number of shares subject to the option on the one-month anniversary of the grant date, and thereafter as to 1/48th of the original number of shares subject to the option on each monthly anniversary of the grant date through the date of this filing. The unvested portion of the option will continue to vest as to 1/48th of the original number of shares subject to the option on each monthly anniversary of the grant date.</w:t>
      </w:r>
    </w:p>
    <w:p>
      <w:pPr>
        <w:sectPr>
          <w:pgSz w:w="11900" w:h="16877" w:orient="portrait"/>
          <w:cols w:equalWidth="0" w:num="1">
            <w:col w:w="10940"/>
          </w:cols>
          <w:pgMar w:left="480" w:top="230" w:right="479" w:bottom="0" w:gutter="0" w:footer="0" w:header="0"/>
          <w:type w:val="continuous"/>
        </w:sectPr>
      </w:pPr>
    </w:p>
    <w:p>
      <w:pPr>
        <w:spacing w:after="0" w:line="43" w:lineRule="exact"/>
        <w:rPr>
          <w:sz w:val="24"/>
          <w:szCs w:val="24"/>
          <w:color w:val="auto"/>
        </w:rPr>
      </w:pPr>
    </w:p>
    <w:tbl>
      <w:tblPr>
        <w:tblLayout w:type="fixed"/>
        <w:tblInd w:w="6580" w:type="dxa"/>
        <w:tblCellMar>
          <w:top w:w="0" w:type="dxa"/>
          <w:left w:w="0" w:type="dxa"/>
          <w:bottom w:w="0" w:type="dxa"/>
          <w:right w:w="0" w:type="dxa"/>
        </w:tblCellMar>
      </w:tblPr>
      <w:tr>
        <w:trPr>
          <w:trHeight w:val="230"/>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Jennifer Drimmer</w:t>
            </w:r>
          </w:p>
        </w:tc>
        <w:tc>
          <w:tcPr>
            <w:tcW w:w="5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0000FF"/>
                <w:w w:val="96"/>
              </w:rPr>
              <w:t>08/19/2024</w:t>
            </w:r>
          </w:p>
        </w:tc>
      </w:tr>
      <w:tr>
        <w:trPr>
          <w:trHeight w:val="220"/>
        </w:trPr>
        <w:tc>
          <w:tcPr>
            <w:tcW w:w="76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5"/>
              </w:rPr>
              <w:t>Rokovich</w:t>
            </w:r>
          </w:p>
        </w:tc>
        <w:tc>
          <w:tcPr>
            <w:tcW w:w="142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r>
    </w:tbl>
    <w:p>
      <w:pPr>
        <w:sectPr>
          <w:pgSz w:w="11900" w:h="16877" w:orient="portrait"/>
          <w:cols w:equalWidth="0" w:num="1">
            <w:col w:w="10940"/>
          </w:cols>
          <w:pgMar w:left="480" w:top="230" w:right="47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77"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5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20"/>
          <w:szCs w:val="20"/>
          <w:color w:val="auto"/>
        </w:rPr>
        <w:t>The undersigned, as a Section 16 reporting person of Tenaya Therapeutics, Inc. (the "Company"), hereby constitutes and appoints Faraz Ali and Jennifer Drimmer Rokovich, and each of them, as the undersigned's true and lawful attorney-in-fact to:</w:t>
      </w:r>
    </w:p>
    <w:p>
      <w:pPr>
        <w:spacing w:after="0" w:line="180" w:lineRule="exact"/>
        <w:rPr>
          <w:sz w:val="20"/>
          <w:szCs w:val="20"/>
          <w:color w:val="auto"/>
        </w:rPr>
      </w:pPr>
    </w:p>
    <w:p>
      <w:pPr>
        <w:ind w:right="120"/>
        <w:spacing w:after="0" w:line="261" w:lineRule="auto"/>
        <w:tabs>
          <w:tab w:leader="none" w:pos="4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00" w:lineRule="exact"/>
        <w:rPr>
          <w:rFonts w:ascii="Times New Roman" w:cs="Times New Roman" w:eastAsia="Times New Roman" w:hAnsi="Times New Roman"/>
          <w:sz w:val="20"/>
          <w:szCs w:val="20"/>
          <w:color w:val="auto"/>
        </w:rPr>
      </w:pPr>
    </w:p>
    <w:p>
      <w:pPr>
        <w:ind w:right="260"/>
        <w:spacing w:after="0" w:line="282" w:lineRule="auto"/>
        <w:tabs>
          <w:tab w:leader="none" w:pos="4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August 14, 2024.</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/s/ Chihiro Saito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Print Name: Chihiro Saito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540385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00"/>
      </w:cols>
      <w:pgMar w:left="480" w:top="84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034025" TargetMode="External"/><Relationship Id="rId11"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2024-08-19T19:34:16Z</dcterms:created>
  <dcterms:modified xsi:type="dcterms:W3CDTF">2024-08-19T19:34:16Z</dcterms:modified>
</cp:coreProperties>
</file>