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13335</wp:posOffset>
            </wp:positionV>
            <wp:extent cx="7047865" cy="4538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53898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Tingley Whittemore</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TENAYA THERAPEUTICS,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Tenaya Therapeutics,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TNYA</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02/15/2022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1" w:right="680" w:firstLine="1"/>
        <w:spacing w:after="0" w:line="234"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99" w:type="dxa"/>
        <w:tblCellMar>
          <w:top w:w="0" w:type="dxa"/>
          <w:left w:w="0" w:type="dxa"/>
          <w:bottom w:w="0" w:type="dxa"/>
          <w:right w:w="0" w:type="dxa"/>
        </w:tblCellMar>
      </w:tblPr>
      <w:tr>
        <w:trPr>
          <w:trHeight w:val="152"/>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859"/>
        <w:spacing w:after="0"/>
        <w:rPr>
          <w:sz w:val="20"/>
          <w:szCs w:val="20"/>
          <w:color w:val="auto"/>
        </w:rPr>
      </w:pPr>
      <w:r>
        <w:rPr>
          <w:rFonts w:ascii="Arial" w:cs="Arial" w:eastAsia="Arial" w:hAnsi="Arial"/>
          <w:sz w:val="16"/>
          <w:szCs w:val="16"/>
          <w:color w:val="0000FF"/>
        </w:rPr>
        <w:t>Chief Medical Officer</w:t>
      </w:r>
    </w:p>
    <w:p>
      <w:pPr>
        <w:spacing w:after="0" w:line="534" w:lineRule="exact"/>
        <w:rPr>
          <w:sz w:val="24"/>
          <w:szCs w:val="24"/>
          <w:color w:val="auto"/>
        </w:rPr>
      </w:pPr>
    </w:p>
    <w:p>
      <w:pPr>
        <w:sectPr>
          <w:pgSz w:w="11900" w:h="16838" w:orient="portrait"/>
          <w:cols w:equalWidth="0" w:num="3">
            <w:col w:w="3180" w:space="720"/>
            <w:col w:w="3121" w:space="720"/>
            <w:col w:w="3339"/>
          </w:cols>
          <w:pgMar w:left="460" w:top="219" w:right="359" w:bottom="144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6"/>
                <w:szCs w:val="16"/>
                <w:color w:val="0000FF"/>
              </w:rPr>
              <w:t>SOUTH SAN</w:t>
            </w:r>
          </w:p>
        </w:tc>
        <w:tc>
          <w:tcPr>
            <w:tcW w:w="960" w:type="dxa"/>
            <w:vAlign w:val="bottom"/>
            <w:vMerge w:val="restart"/>
          </w:tcPr>
          <w:p>
            <w:pPr>
              <w:ind w:left="160"/>
              <w:spacing w:after="0"/>
              <w:rPr>
                <w:sz w:val="20"/>
                <w:szCs w:val="20"/>
                <w:color w:val="auto"/>
              </w:rPr>
            </w:pPr>
            <w:r>
              <w:rPr>
                <w:rFonts w:ascii="Arial" w:cs="Arial" w:eastAsia="Arial" w:hAnsi="Arial"/>
                <w:sz w:val="16"/>
                <w:szCs w:val="16"/>
                <w:color w:val="0000FF"/>
              </w:rPr>
              <w:t>CA</w:t>
            </w:r>
          </w:p>
        </w:tc>
        <w:tc>
          <w:tcPr>
            <w:tcW w:w="1620" w:type="dxa"/>
            <w:vAlign w:val="bottom"/>
            <w:vMerge w:val="restart"/>
          </w:tcPr>
          <w:p>
            <w:pPr>
              <w:ind w:left="420"/>
              <w:spacing w:after="0"/>
              <w:rPr>
                <w:sz w:val="20"/>
                <w:szCs w:val="20"/>
                <w:color w:val="auto"/>
              </w:rPr>
            </w:pPr>
            <w:r>
              <w:rPr>
                <w:rFonts w:ascii="Arial" w:cs="Arial" w:eastAsia="Arial" w:hAnsi="Arial"/>
                <w:sz w:val="16"/>
                <w:szCs w:val="16"/>
                <w:color w:val="0000FF"/>
              </w:rPr>
              <w:t>94080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80" w:type="dxa"/>
            <w:vAlign w:val="bottom"/>
            <w:vMerge w:val="restart"/>
          </w:tcPr>
          <w:p>
            <w:pPr>
              <w:ind w:left="20"/>
              <w:spacing w:after="0"/>
              <w:rPr>
                <w:sz w:val="20"/>
                <w:szCs w:val="20"/>
                <w:color w:val="auto"/>
              </w:rPr>
            </w:pPr>
            <w:r>
              <w:rPr>
                <w:rFonts w:ascii="Arial" w:cs="Arial" w:eastAsia="Arial" w:hAnsi="Arial"/>
                <w:sz w:val="16"/>
                <w:szCs w:val="16"/>
                <w:color w:val="0000FF"/>
              </w:rPr>
              <w:t>FRANCISCO</w:t>
            </w:r>
          </w:p>
        </w:tc>
        <w:tc>
          <w:tcPr>
            <w:tcW w:w="9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4" w:lineRule="auto"/>
        <w:tabs>
          <w:tab w:leader="none" w:pos="436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466" w:lineRule="exact"/>
        <w:rPr>
          <w:sz w:val="24"/>
          <w:szCs w:val="24"/>
          <w:color w:val="auto"/>
        </w:rPr>
      </w:pPr>
    </w:p>
    <w:p>
      <w:pPr>
        <w:sectPr>
          <w:pgSz w:w="11900" w:h="16838" w:orient="portrait"/>
          <w:cols w:equalWidth="0" w:num="2">
            <w:col w:w="3760" w:space="14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20" w:type="dxa"/>
            <w:vAlign w:val="bottom"/>
          </w:tcPr>
          <w:p>
            <w:pPr>
              <w:ind w:left="840"/>
              <w:spacing w:after="0" w:line="123"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8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3"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6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15.19</w:t>
            </w:r>
          </w:p>
        </w:tc>
        <w:tc>
          <w:tcPr>
            <w:tcW w:w="1060" w:type="dxa"/>
            <w:vAlign w:val="bottom"/>
          </w:tcPr>
          <w:p>
            <w:pPr>
              <w:jc w:val="right"/>
              <w:ind w:right="182"/>
              <w:spacing w:after="0"/>
              <w:rPr>
                <w:sz w:val="20"/>
                <w:szCs w:val="20"/>
                <w:color w:val="auto"/>
              </w:rPr>
            </w:pPr>
            <w:r>
              <w:rPr>
                <w:rFonts w:ascii="Arial" w:cs="Arial" w:eastAsia="Arial" w:hAnsi="Arial"/>
                <w:sz w:val="13"/>
                <w:szCs w:val="13"/>
                <w:color w:val="0000FF"/>
              </w:rPr>
              <w:t>02/15/2022</w:t>
            </w:r>
          </w:p>
        </w:tc>
        <w:tc>
          <w:tcPr>
            <w:tcW w:w="106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20" w:type="dxa"/>
            <w:vAlign w:val="bottom"/>
          </w:tcPr>
          <w:p>
            <w:pPr>
              <w:ind w:left="80"/>
              <w:spacing w:after="0"/>
              <w:rPr>
                <w:sz w:val="20"/>
                <w:szCs w:val="20"/>
                <w:color w:val="auto"/>
              </w:rPr>
            </w:pPr>
            <w:r>
              <w:rPr>
                <w:rFonts w:ascii="Arial" w:cs="Arial" w:eastAsia="Arial" w:hAnsi="Arial"/>
                <w:sz w:val="13"/>
                <w:szCs w:val="13"/>
                <w:color w:val="0000FF"/>
              </w:rPr>
              <w:t>141,000</w:t>
            </w:r>
          </w:p>
        </w:tc>
        <w:tc>
          <w:tcPr>
            <w:tcW w:w="220" w:type="dxa"/>
            <w:vAlign w:val="bottom"/>
          </w:tcPr>
          <w:p>
            <w:pPr>
              <w:spacing w:after="0"/>
              <w:rPr>
                <w:sz w:val="17"/>
                <w:szCs w:val="17"/>
                <w:color w:val="auto"/>
              </w:rPr>
            </w:pPr>
          </w:p>
        </w:tc>
        <w:tc>
          <w:tcPr>
            <w:tcW w:w="900" w:type="dxa"/>
            <w:vAlign w:val="bottom"/>
          </w:tcPr>
          <w:p>
            <w:pPr>
              <w:ind w:left="80"/>
              <w:spacing w:after="0" w:line="199" w:lineRule="exact"/>
              <w:rPr>
                <w:sz w:val="20"/>
                <w:szCs w:val="20"/>
                <w:color w:val="auto"/>
              </w:rPr>
            </w:pPr>
            <w:r>
              <w:rPr>
                <w:rFonts w:ascii="Arial" w:cs="Arial" w:eastAsia="Arial" w:hAnsi="Arial"/>
                <w:sz w:val="13"/>
                <w:szCs w:val="13"/>
                <w:color w:val="0000FF"/>
                <w:w w:val="97"/>
              </w:rPr>
              <w:t>03/15/2022</w:t>
            </w:r>
            <w:r>
              <w:rPr>
                <w:rFonts w:ascii="Arial" w:cs="Arial" w:eastAsia="Arial" w:hAnsi="Arial"/>
                <w:sz w:val="21"/>
                <w:szCs w:val="21"/>
                <w:color w:val="008000"/>
                <w:w w:val="97"/>
                <w:vertAlign w:val="superscript"/>
              </w:rPr>
              <w:t>(1)</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02/14/2032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6"/>
                <w:szCs w:val="16"/>
                <w:color w:val="0000FF"/>
              </w:rPr>
              <w:t>141,000</w:t>
            </w:r>
          </w:p>
        </w:tc>
        <w:tc>
          <w:tcPr>
            <w:tcW w:w="6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20" w:type="dxa"/>
            <w:vAlign w:val="bottom"/>
          </w:tcPr>
          <w:p>
            <w:pPr>
              <w:ind w:left="260"/>
              <w:spacing w:after="0"/>
              <w:rPr>
                <w:sz w:val="20"/>
                <w:szCs w:val="20"/>
                <w:color w:val="auto"/>
              </w:rPr>
            </w:pPr>
            <w:r>
              <w:rPr>
                <w:rFonts w:ascii="Arial" w:cs="Arial" w:eastAsia="Arial" w:hAnsi="Arial"/>
                <w:sz w:val="13"/>
                <w:szCs w:val="13"/>
                <w:color w:val="0000FF"/>
              </w:rPr>
              <w:t>141,000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0"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ind w:left="160"/>
              <w:spacing w:after="0" w:line="90" w:lineRule="exact"/>
              <w:rPr>
                <w:sz w:val="20"/>
                <w:szCs w:val="20"/>
                <w:color w:val="auto"/>
              </w:rPr>
            </w:pPr>
            <w:r>
              <w:rPr>
                <w:rFonts w:ascii="Arial" w:cs="Arial" w:eastAsia="Arial" w:hAnsi="Arial"/>
                <w:sz w:val="9"/>
                <w:szCs w:val="9"/>
                <w:color w:val="0000FF"/>
              </w:rPr>
              <w:t>Stock</w:t>
            </w: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280" w:hanging="1"/>
        <w:spacing w:after="0" w:line="234"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 granted pursuant to the Tenaya Therapeutics, Inc. 2021 Equity Incentive Plan. Option will vest as to 1/48th of the total number of shares subject to the option on the one (1) month anniversary of the Transaction Date and 1/48th of the total number of shares subject to the option on each monthly anniversary thereafter, subject to the Reporting Person continuing to be a service provider to the Issuer through each applicable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2" w:lineRule="auto"/>
        <w:rPr>
          <w:sz w:val="20"/>
          <w:szCs w:val="20"/>
          <w:color w:val="auto"/>
        </w:rPr>
      </w:pPr>
      <w:r>
        <w:rPr>
          <w:rFonts w:ascii="Arial" w:cs="Arial" w:eastAsia="Arial" w:hAnsi="Arial"/>
          <w:sz w:val="16"/>
          <w:szCs w:val="16"/>
          <w:color w:val="0000FF"/>
        </w:rPr>
        <w:t xml:space="preserve">/s/ Jennifer Drimmer Rokovich,  </w:t>
      </w:r>
      <w:r>
        <w:rPr>
          <w:rFonts w:ascii="Arial" w:cs="Arial" w:eastAsia="Arial" w:hAnsi="Arial"/>
          <w:sz w:val="32"/>
          <w:szCs w:val="32"/>
          <w:color w:val="0000FF"/>
          <w:vertAlign w:val="subscript"/>
        </w:rPr>
        <w:t>02/17/2022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277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7016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167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6"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POWER OF ATTORNEY</w:t>
      </w:r>
    </w:p>
    <w:p>
      <w:pPr>
        <w:spacing w:after="0" w:line="198" w:lineRule="exact"/>
        <w:rPr>
          <w:sz w:val="20"/>
          <w:szCs w:val="20"/>
          <w:color w:val="auto"/>
        </w:rPr>
      </w:pPr>
    </w:p>
    <w:p>
      <w:pPr>
        <w:ind w:right="2299"/>
        <w:spacing w:after="0" w:line="252" w:lineRule="auto"/>
        <w:rPr>
          <w:sz w:val="20"/>
          <w:szCs w:val="20"/>
          <w:color w:val="auto"/>
        </w:rPr>
      </w:pPr>
      <w:r>
        <w:rPr>
          <w:rFonts w:ascii="Courier New" w:cs="Courier New" w:eastAsia="Courier New" w:hAnsi="Courier New"/>
          <w:sz w:val="16"/>
          <w:szCs w:val="16"/>
          <w:color w:val="auto"/>
        </w:rPr>
        <w:t>The undersigned, as a Section 16 reporting person of Tenaya Therapeutics, Inc. (the Company), hereby constitutes and appoints Faraz Ali, Leone Patterson and Jennifer Drimmer Rokovich, and each of them, as the true and lawful attorney-in-fact of the undersigned to:</w:t>
      </w:r>
    </w:p>
    <w:p>
      <w:pPr>
        <w:spacing w:after="0" w:line="187" w:lineRule="exact"/>
        <w:rPr>
          <w:sz w:val="20"/>
          <w:szCs w:val="20"/>
          <w:color w:val="auto"/>
        </w:rPr>
      </w:pPr>
    </w:p>
    <w:p>
      <w:pPr>
        <w:ind w:right="2099" w:firstLine="1"/>
        <w:spacing w:after="0" w:line="252" w:lineRule="auto"/>
        <w:tabs>
          <w:tab w:leader="none" w:pos="7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ownership, acquisition or disposition of securities of the Company by the undersigned; and</w:t>
      </w:r>
    </w:p>
    <w:p>
      <w:pPr>
        <w:spacing w:after="0" w:line="186" w:lineRule="exact"/>
        <w:rPr>
          <w:rFonts w:ascii="Courier New" w:cs="Courier New" w:eastAsia="Courier New" w:hAnsi="Courier New"/>
          <w:sz w:val="16"/>
          <w:szCs w:val="16"/>
          <w:color w:val="auto"/>
        </w:rPr>
      </w:pPr>
    </w:p>
    <w:p>
      <w:pPr>
        <w:ind w:right="2299" w:firstLine="1"/>
        <w:spacing w:after="0" w:line="253" w:lineRule="auto"/>
        <w:tabs>
          <w:tab w:leader="none" w:pos="7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all acts necessary in order to file such forms with the SEC, any securities exchange or national association, the Company and such other person or agency as the attorneys-in-fact shall deem appropriate.</w:t>
      </w:r>
    </w:p>
    <w:p>
      <w:pPr>
        <w:spacing w:after="0" w:line="186" w:lineRule="exact"/>
        <w:rPr>
          <w:sz w:val="20"/>
          <w:szCs w:val="20"/>
          <w:color w:val="auto"/>
        </w:rPr>
      </w:pPr>
    </w:p>
    <w:p>
      <w:pPr>
        <w:ind w:right="2099"/>
        <w:spacing w:after="0" w:line="252" w:lineRule="auto"/>
        <w:rPr>
          <w:sz w:val="20"/>
          <w:szCs w:val="20"/>
          <w:color w:val="auto"/>
        </w:rPr>
      </w:pPr>
      <w:r>
        <w:rPr>
          <w:rFonts w:ascii="Courier New" w:cs="Courier New" w:eastAsia="Courier New" w:hAnsi="Courier New"/>
          <w:sz w:val="16"/>
          <w:szCs w:val="16"/>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responsibilities of the undersigned to comply with Section 16 of the Securities Exchange Act of 1934 (as amended).</w:t>
      </w:r>
    </w:p>
    <w:p>
      <w:pPr>
        <w:spacing w:after="0" w:line="186" w:lineRule="exact"/>
        <w:rPr>
          <w:sz w:val="20"/>
          <w:szCs w:val="20"/>
          <w:color w:val="auto"/>
        </w:rPr>
      </w:pPr>
    </w:p>
    <w:p>
      <w:pPr>
        <w:ind w:right="2099"/>
        <w:spacing w:after="0" w:line="252"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holdings of and transactions in securities issued by the Company, unless earlier revoked by the undersigned in a signed writing delivered to the Company and the foregoing attorneys-in-fact.</w:t>
      </w:r>
    </w:p>
    <w:p>
      <w:pPr>
        <w:spacing w:after="0" w:line="187" w:lineRule="exact"/>
        <w:rPr>
          <w:sz w:val="20"/>
          <w:szCs w:val="20"/>
          <w:color w:val="auto"/>
        </w:rPr>
      </w:pPr>
    </w:p>
    <w:p>
      <w:pPr>
        <w:ind w:right="2599"/>
        <w:spacing w:after="0" w:line="256"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14 day of February, 2022.</w:t>
      </w:r>
    </w:p>
    <w:p>
      <w:pPr>
        <w:spacing w:after="0" w:line="200" w:lineRule="exact"/>
        <w:rPr>
          <w:sz w:val="20"/>
          <w:szCs w:val="20"/>
          <w:color w:val="auto"/>
        </w:rPr>
      </w:pPr>
    </w:p>
    <w:p>
      <w:pPr>
        <w:spacing w:after="0" w:line="36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Signature:</w:t>
      </w:r>
      <w:r>
        <w:rPr>
          <w:sz w:val="20"/>
          <w:szCs w:val="20"/>
          <w:color w:val="auto"/>
        </w:rPr>
        <w:tab/>
      </w:r>
      <w:r>
        <w:rPr>
          <w:rFonts w:ascii="Courier New" w:cs="Courier New" w:eastAsia="Courier New" w:hAnsi="Courier New"/>
          <w:sz w:val="16"/>
          <w:szCs w:val="16"/>
          <w:color w:val="auto"/>
        </w:rPr>
        <w:t>/s/ Whit Tingley</w:t>
      </w:r>
    </w:p>
    <w:p>
      <w:pPr>
        <w:spacing w:after="0" w:line="38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Print Name:</w:t>
      </w:r>
      <w:r>
        <w:rPr>
          <w:sz w:val="20"/>
          <w:szCs w:val="20"/>
          <w:color w:val="auto"/>
        </w:rPr>
        <w:tab/>
      </w:r>
      <w:r>
        <w:rPr>
          <w:rFonts w:ascii="Courier New" w:cs="Courier New" w:eastAsia="Courier New" w:hAnsi="Courier New"/>
          <w:sz w:val="16"/>
          <w:szCs w:val="16"/>
          <w:color w:val="auto"/>
        </w:rPr>
        <w:t>Whit Tingley</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68494"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2022-02-17T16:39:57Z</dcterms:created>
  <dcterms:modified xsi:type="dcterms:W3CDTF">2022-02-17T16:39:57Z</dcterms:modified>
</cp:coreProperties>
</file>